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17E7A" w14:paraId="028231EB" w14:textId="77777777" w:rsidTr="0050008E">
        <w:trPr>
          <w:cantSplit/>
        </w:trPr>
        <w:tc>
          <w:tcPr>
            <w:tcW w:w="6911" w:type="dxa"/>
          </w:tcPr>
          <w:p w14:paraId="0C1F29CC" w14:textId="77777777" w:rsidR="0090121B" w:rsidRPr="00917E7A" w:rsidRDefault="005D46FB" w:rsidP="00CE73F5">
            <w:pPr>
              <w:spacing w:before="400" w:after="48"/>
              <w:rPr>
                <w:rFonts w:ascii="Verdana" w:hAnsi="Verdana"/>
                <w:position w:val="6"/>
              </w:rPr>
            </w:pPr>
            <w:r w:rsidRPr="00917E7A">
              <w:rPr>
                <w:rFonts w:ascii="Verdana" w:hAnsi="Verdana" w:cs="Times"/>
                <w:b/>
                <w:position w:val="6"/>
                <w:sz w:val="20"/>
              </w:rPr>
              <w:t>Conferencia Mundial de Radiocomunicaciones (CMR-1</w:t>
            </w:r>
            <w:r w:rsidR="00C44E9E" w:rsidRPr="00917E7A">
              <w:rPr>
                <w:rFonts w:ascii="Verdana" w:hAnsi="Verdana" w:cs="Times"/>
                <w:b/>
                <w:position w:val="6"/>
                <w:sz w:val="20"/>
              </w:rPr>
              <w:t>9</w:t>
            </w:r>
            <w:r w:rsidRPr="00917E7A">
              <w:rPr>
                <w:rFonts w:ascii="Verdana" w:hAnsi="Verdana" w:cs="Times"/>
                <w:b/>
                <w:position w:val="6"/>
                <w:sz w:val="20"/>
              </w:rPr>
              <w:t>)</w:t>
            </w:r>
            <w:r w:rsidRPr="00917E7A">
              <w:rPr>
                <w:rFonts w:ascii="Verdana" w:hAnsi="Verdana" w:cs="Times"/>
                <w:b/>
                <w:position w:val="6"/>
                <w:sz w:val="20"/>
              </w:rPr>
              <w:br/>
            </w:r>
            <w:r w:rsidR="006124AD" w:rsidRPr="00917E7A">
              <w:rPr>
                <w:rFonts w:ascii="Verdana" w:hAnsi="Verdana"/>
                <w:b/>
                <w:bCs/>
                <w:position w:val="6"/>
                <w:sz w:val="17"/>
                <w:szCs w:val="17"/>
              </w:rPr>
              <w:t>Sharm el-Sheikh (Egipto)</w:t>
            </w:r>
            <w:r w:rsidRPr="00917E7A">
              <w:rPr>
                <w:rFonts w:ascii="Verdana" w:hAnsi="Verdana"/>
                <w:b/>
                <w:bCs/>
                <w:position w:val="6"/>
                <w:sz w:val="17"/>
                <w:szCs w:val="17"/>
              </w:rPr>
              <w:t>, 2</w:t>
            </w:r>
            <w:r w:rsidR="00C44E9E" w:rsidRPr="00917E7A">
              <w:rPr>
                <w:rFonts w:ascii="Verdana" w:hAnsi="Verdana"/>
                <w:b/>
                <w:bCs/>
                <w:position w:val="6"/>
                <w:sz w:val="17"/>
                <w:szCs w:val="17"/>
              </w:rPr>
              <w:t xml:space="preserve">8 de octubre </w:t>
            </w:r>
            <w:r w:rsidR="00DE1C31" w:rsidRPr="00917E7A">
              <w:rPr>
                <w:rFonts w:ascii="Verdana" w:hAnsi="Verdana"/>
                <w:b/>
                <w:bCs/>
                <w:position w:val="6"/>
                <w:sz w:val="17"/>
                <w:szCs w:val="17"/>
              </w:rPr>
              <w:t>–</w:t>
            </w:r>
            <w:r w:rsidR="00C44E9E" w:rsidRPr="00917E7A">
              <w:rPr>
                <w:rFonts w:ascii="Verdana" w:hAnsi="Verdana"/>
                <w:b/>
                <w:bCs/>
                <w:position w:val="6"/>
                <w:sz w:val="17"/>
                <w:szCs w:val="17"/>
              </w:rPr>
              <w:t xml:space="preserve"> </w:t>
            </w:r>
            <w:r w:rsidRPr="00917E7A">
              <w:rPr>
                <w:rFonts w:ascii="Verdana" w:hAnsi="Verdana"/>
                <w:b/>
                <w:bCs/>
                <w:position w:val="6"/>
                <w:sz w:val="17"/>
                <w:szCs w:val="17"/>
              </w:rPr>
              <w:t>2</w:t>
            </w:r>
            <w:r w:rsidR="00C44E9E" w:rsidRPr="00917E7A">
              <w:rPr>
                <w:rFonts w:ascii="Verdana" w:hAnsi="Verdana"/>
                <w:b/>
                <w:bCs/>
                <w:position w:val="6"/>
                <w:sz w:val="17"/>
                <w:szCs w:val="17"/>
              </w:rPr>
              <w:t>2</w:t>
            </w:r>
            <w:r w:rsidRPr="00917E7A">
              <w:rPr>
                <w:rFonts w:ascii="Verdana" w:hAnsi="Verdana"/>
                <w:b/>
                <w:bCs/>
                <w:position w:val="6"/>
                <w:sz w:val="17"/>
                <w:szCs w:val="17"/>
              </w:rPr>
              <w:t xml:space="preserve"> de noviembre de 201</w:t>
            </w:r>
            <w:r w:rsidR="00C44E9E" w:rsidRPr="00917E7A">
              <w:rPr>
                <w:rFonts w:ascii="Verdana" w:hAnsi="Verdana"/>
                <w:b/>
                <w:bCs/>
                <w:position w:val="6"/>
                <w:sz w:val="17"/>
                <w:szCs w:val="17"/>
              </w:rPr>
              <w:t>9</w:t>
            </w:r>
          </w:p>
        </w:tc>
        <w:tc>
          <w:tcPr>
            <w:tcW w:w="3120" w:type="dxa"/>
          </w:tcPr>
          <w:p w14:paraId="2293286A" w14:textId="77777777" w:rsidR="0090121B" w:rsidRPr="00917E7A" w:rsidRDefault="00DA71A3" w:rsidP="00CE73F5">
            <w:pPr>
              <w:spacing w:before="0"/>
              <w:jc w:val="right"/>
            </w:pPr>
            <w:r w:rsidRPr="00917E7A">
              <w:rPr>
                <w:rFonts w:ascii="Verdana" w:hAnsi="Verdana"/>
                <w:b/>
                <w:bCs/>
                <w:noProof/>
                <w:szCs w:val="24"/>
                <w:lang w:eastAsia="zh-CN"/>
              </w:rPr>
              <w:drawing>
                <wp:inline distT="0" distB="0" distL="0" distR="0" wp14:anchorId="7FCDBC0D" wp14:editId="12B430C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17E7A" w14:paraId="7E241E75" w14:textId="77777777" w:rsidTr="0050008E">
        <w:trPr>
          <w:cantSplit/>
        </w:trPr>
        <w:tc>
          <w:tcPr>
            <w:tcW w:w="6911" w:type="dxa"/>
            <w:tcBorders>
              <w:bottom w:val="single" w:sz="12" w:space="0" w:color="auto"/>
            </w:tcBorders>
          </w:tcPr>
          <w:p w14:paraId="57C1BBD1" w14:textId="77777777" w:rsidR="0090121B" w:rsidRPr="00917E7A" w:rsidRDefault="0090121B" w:rsidP="00CE73F5">
            <w:pPr>
              <w:spacing w:before="0" w:after="48"/>
              <w:rPr>
                <w:b/>
                <w:smallCaps/>
                <w:szCs w:val="24"/>
              </w:rPr>
            </w:pPr>
            <w:bookmarkStart w:id="0" w:name="dhead"/>
          </w:p>
        </w:tc>
        <w:tc>
          <w:tcPr>
            <w:tcW w:w="3120" w:type="dxa"/>
            <w:tcBorders>
              <w:bottom w:val="single" w:sz="12" w:space="0" w:color="auto"/>
            </w:tcBorders>
          </w:tcPr>
          <w:p w14:paraId="3E4F2AA7" w14:textId="77777777" w:rsidR="0090121B" w:rsidRPr="00917E7A" w:rsidRDefault="0090121B" w:rsidP="00CE73F5">
            <w:pPr>
              <w:spacing w:before="0"/>
              <w:rPr>
                <w:rFonts w:ascii="Verdana" w:hAnsi="Verdana"/>
                <w:szCs w:val="24"/>
              </w:rPr>
            </w:pPr>
          </w:p>
        </w:tc>
      </w:tr>
      <w:tr w:rsidR="0090121B" w:rsidRPr="00917E7A" w14:paraId="5EE48D30" w14:textId="77777777" w:rsidTr="0090121B">
        <w:trPr>
          <w:cantSplit/>
        </w:trPr>
        <w:tc>
          <w:tcPr>
            <w:tcW w:w="6911" w:type="dxa"/>
            <w:tcBorders>
              <w:top w:val="single" w:sz="12" w:space="0" w:color="auto"/>
            </w:tcBorders>
          </w:tcPr>
          <w:p w14:paraId="4AB16DE2" w14:textId="77777777" w:rsidR="0090121B" w:rsidRPr="00917E7A" w:rsidRDefault="0090121B" w:rsidP="00CE73F5">
            <w:pPr>
              <w:spacing w:before="0" w:after="48"/>
              <w:rPr>
                <w:rFonts w:ascii="Verdana" w:hAnsi="Verdana"/>
                <w:b/>
                <w:smallCaps/>
                <w:sz w:val="20"/>
              </w:rPr>
            </w:pPr>
          </w:p>
        </w:tc>
        <w:tc>
          <w:tcPr>
            <w:tcW w:w="3120" w:type="dxa"/>
            <w:tcBorders>
              <w:top w:val="single" w:sz="12" w:space="0" w:color="auto"/>
            </w:tcBorders>
          </w:tcPr>
          <w:p w14:paraId="13D148DA" w14:textId="77777777" w:rsidR="0090121B" w:rsidRPr="00917E7A" w:rsidRDefault="0090121B" w:rsidP="00CE73F5">
            <w:pPr>
              <w:spacing w:before="0"/>
              <w:rPr>
                <w:rFonts w:ascii="Verdana" w:hAnsi="Verdana"/>
                <w:sz w:val="20"/>
              </w:rPr>
            </w:pPr>
          </w:p>
        </w:tc>
      </w:tr>
      <w:tr w:rsidR="0090121B" w:rsidRPr="00917E7A" w14:paraId="688D7E99" w14:textId="77777777" w:rsidTr="0090121B">
        <w:trPr>
          <w:cantSplit/>
        </w:trPr>
        <w:tc>
          <w:tcPr>
            <w:tcW w:w="6911" w:type="dxa"/>
          </w:tcPr>
          <w:p w14:paraId="01095AE9" w14:textId="77777777" w:rsidR="0090121B" w:rsidRPr="00917E7A" w:rsidRDefault="001E7D42" w:rsidP="00CE73F5">
            <w:pPr>
              <w:pStyle w:val="Committee"/>
              <w:framePr w:hSpace="0" w:wrap="auto" w:hAnchor="text" w:yAlign="inline"/>
              <w:spacing w:line="240" w:lineRule="auto"/>
              <w:rPr>
                <w:sz w:val="18"/>
                <w:szCs w:val="18"/>
                <w:lang w:val="es-ES_tradnl"/>
              </w:rPr>
            </w:pPr>
            <w:r w:rsidRPr="00917E7A">
              <w:rPr>
                <w:sz w:val="18"/>
                <w:szCs w:val="18"/>
                <w:lang w:val="es-ES_tradnl"/>
              </w:rPr>
              <w:t>SESIÓN PLENARIA</w:t>
            </w:r>
          </w:p>
        </w:tc>
        <w:tc>
          <w:tcPr>
            <w:tcW w:w="3120" w:type="dxa"/>
          </w:tcPr>
          <w:p w14:paraId="5EF14268" w14:textId="77777777" w:rsidR="0090121B" w:rsidRPr="00917E7A" w:rsidRDefault="00AE658F" w:rsidP="00CE73F5">
            <w:pPr>
              <w:spacing w:before="0"/>
              <w:rPr>
                <w:rFonts w:ascii="Verdana" w:hAnsi="Verdana"/>
                <w:sz w:val="18"/>
                <w:szCs w:val="18"/>
              </w:rPr>
            </w:pPr>
            <w:r w:rsidRPr="00917E7A">
              <w:rPr>
                <w:rFonts w:ascii="Verdana" w:hAnsi="Verdana"/>
                <w:b/>
                <w:sz w:val="18"/>
                <w:szCs w:val="18"/>
              </w:rPr>
              <w:t>Addéndum 2 al</w:t>
            </w:r>
            <w:r w:rsidRPr="00917E7A">
              <w:rPr>
                <w:rFonts w:ascii="Verdana" w:hAnsi="Verdana"/>
                <w:b/>
                <w:sz w:val="18"/>
                <w:szCs w:val="18"/>
              </w:rPr>
              <w:br/>
              <w:t>Documento 28(Add.21)</w:t>
            </w:r>
            <w:r w:rsidR="0090121B" w:rsidRPr="00917E7A">
              <w:rPr>
                <w:rFonts w:ascii="Verdana" w:hAnsi="Verdana"/>
                <w:b/>
                <w:sz w:val="18"/>
                <w:szCs w:val="18"/>
              </w:rPr>
              <w:t>-</w:t>
            </w:r>
            <w:r w:rsidRPr="00917E7A">
              <w:rPr>
                <w:rFonts w:ascii="Verdana" w:hAnsi="Verdana"/>
                <w:b/>
                <w:sz w:val="18"/>
                <w:szCs w:val="18"/>
              </w:rPr>
              <w:t>S</w:t>
            </w:r>
          </w:p>
        </w:tc>
      </w:tr>
      <w:bookmarkEnd w:id="0"/>
      <w:tr w:rsidR="000A5B9A" w:rsidRPr="00917E7A" w14:paraId="610E85C0" w14:textId="77777777" w:rsidTr="0090121B">
        <w:trPr>
          <w:cantSplit/>
        </w:trPr>
        <w:tc>
          <w:tcPr>
            <w:tcW w:w="6911" w:type="dxa"/>
          </w:tcPr>
          <w:p w14:paraId="173EB1B0" w14:textId="77777777" w:rsidR="000A5B9A" w:rsidRPr="00917E7A" w:rsidRDefault="000A5B9A" w:rsidP="00CE73F5">
            <w:pPr>
              <w:spacing w:before="0" w:after="48"/>
              <w:rPr>
                <w:rFonts w:ascii="Verdana" w:hAnsi="Verdana"/>
                <w:b/>
                <w:smallCaps/>
                <w:sz w:val="18"/>
                <w:szCs w:val="18"/>
              </w:rPr>
            </w:pPr>
          </w:p>
        </w:tc>
        <w:tc>
          <w:tcPr>
            <w:tcW w:w="3120" w:type="dxa"/>
          </w:tcPr>
          <w:p w14:paraId="5B337B50" w14:textId="77777777" w:rsidR="000A5B9A" w:rsidRPr="00917E7A" w:rsidRDefault="000A5B9A" w:rsidP="00CE73F5">
            <w:pPr>
              <w:spacing w:before="0"/>
              <w:rPr>
                <w:rFonts w:ascii="Verdana" w:hAnsi="Verdana"/>
                <w:b/>
                <w:sz w:val="18"/>
                <w:szCs w:val="18"/>
              </w:rPr>
            </w:pPr>
            <w:r w:rsidRPr="00917E7A">
              <w:rPr>
                <w:rFonts w:ascii="Verdana" w:hAnsi="Verdana"/>
                <w:b/>
                <w:sz w:val="18"/>
                <w:szCs w:val="18"/>
              </w:rPr>
              <w:t>27 de septiembre de 2019</w:t>
            </w:r>
          </w:p>
        </w:tc>
      </w:tr>
      <w:tr w:rsidR="000A5B9A" w:rsidRPr="00917E7A" w14:paraId="3EDEB0B5" w14:textId="77777777" w:rsidTr="0090121B">
        <w:trPr>
          <w:cantSplit/>
        </w:trPr>
        <w:tc>
          <w:tcPr>
            <w:tcW w:w="6911" w:type="dxa"/>
          </w:tcPr>
          <w:p w14:paraId="052E00DA" w14:textId="77777777" w:rsidR="000A5B9A" w:rsidRPr="00917E7A" w:rsidRDefault="000A5B9A" w:rsidP="00CE73F5">
            <w:pPr>
              <w:spacing w:before="0" w:after="48"/>
              <w:rPr>
                <w:rFonts w:ascii="Verdana" w:hAnsi="Verdana"/>
                <w:b/>
                <w:smallCaps/>
                <w:sz w:val="18"/>
                <w:szCs w:val="18"/>
              </w:rPr>
            </w:pPr>
          </w:p>
        </w:tc>
        <w:tc>
          <w:tcPr>
            <w:tcW w:w="3120" w:type="dxa"/>
          </w:tcPr>
          <w:p w14:paraId="50E36676" w14:textId="77777777" w:rsidR="000A5B9A" w:rsidRPr="00917E7A" w:rsidRDefault="000A5B9A" w:rsidP="00CE73F5">
            <w:pPr>
              <w:spacing w:before="0"/>
              <w:rPr>
                <w:rFonts w:ascii="Verdana" w:hAnsi="Verdana"/>
                <w:b/>
                <w:sz w:val="18"/>
                <w:szCs w:val="18"/>
              </w:rPr>
            </w:pPr>
            <w:r w:rsidRPr="00917E7A">
              <w:rPr>
                <w:rFonts w:ascii="Verdana" w:hAnsi="Verdana"/>
                <w:b/>
                <w:sz w:val="18"/>
                <w:szCs w:val="18"/>
              </w:rPr>
              <w:t>Original: chino</w:t>
            </w:r>
          </w:p>
        </w:tc>
      </w:tr>
      <w:tr w:rsidR="000A5B9A" w:rsidRPr="00917E7A" w14:paraId="7B590A0B" w14:textId="77777777" w:rsidTr="006744FC">
        <w:trPr>
          <w:cantSplit/>
        </w:trPr>
        <w:tc>
          <w:tcPr>
            <w:tcW w:w="10031" w:type="dxa"/>
            <w:gridSpan w:val="2"/>
          </w:tcPr>
          <w:p w14:paraId="002DE28E" w14:textId="77777777" w:rsidR="000A5B9A" w:rsidRPr="00917E7A" w:rsidRDefault="000A5B9A" w:rsidP="00CE73F5">
            <w:pPr>
              <w:spacing w:before="0"/>
              <w:rPr>
                <w:rFonts w:ascii="Verdana" w:hAnsi="Verdana"/>
                <w:b/>
                <w:sz w:val="18"/>
                <w:szCs w:val="22"/>
              </w:rPr>
            </w:pPr>
          </w:p>
        </w:tc>
      </w:tr>
      <w:tr w:rsidR="000A5B9A" w:rsidRPr="00917E7A" w14:paraId="27D426F9" w14:textId="77777777" w:rsidTr="0050008E">
        <w:trPr>
          <w:cantSplit/>
        </w:trPr>
        <w:tc>
          <w:tcPr>
            <w:tcW w:w="10031" w:type="dxa"/>
            <w:gridSpan w:val="2"/>
          </w:tcPr>
          <w:p w14:paraId="21E34B80" w14:textId="77777777" w:rsidR="000A5B9A" w:rsidRPr="00917E7A" w:rsidRDefault="000A5B9A" w:rsidP="00CE73F5">
            <w:pPr>
              <w:pStyle w:val="Source"/>
            </w:pPr>
            <w:bookmarkStart w:id="1" w:name="dsource" w:colFirst="0" w:colLast="0"/>
            <w:r w:rsidRPr="00917E7A">
              <w:t>China (República Popular de)</w:t>
            </w:r>
          </w:p>
        </w:tc>
      </w:tr>
      <w:tr w:rsidR="000A5B9A" w:rsidRPr="00917E7A" w14:paraId="2A421A6B" w14:textId="77777777" w:rsidTr="0050008E">
        <w:trPr>
          <w:cantSplit/>
        </w:trPr>
        <w:tc>
          <w:tcPr>
            <w:tcW w:w="10031" w:type="dxa"/>
            <w:gridSpan w:val="2"/>
          </w:tcPr>
          <w:p w14:paraId="10E7DE26" w14:textId="77777777" w:rsidR="000A5B9A" w:rsidRPr="00917E7A" w:rsidRDefault="000A5B9A" w:rsidP="00CE73F5">
            <w:pPr>
              <w:pStyle w:val="Title1"/>
            </w:pPr>
            <w:bookmarkStart w:id="2" w:name="dtitle1" w:colFirst="0" w:colLast="0"/>
            <w:bookmarkEnd w:id="1"/>
            <w:r w:rsidRPr="00917E7A">
              <w:t>Propuestas para los trabajos de la Conferencia</w:t>
            </w:r>
          </w:p>
        </w:tc>
      </w:tr>
      <w:tr w:rsidR="000A5B9A" w:rsidRPr="00917E7A" w14:paraId="1C4B1E52" w14:textId="77777777" w:rsidTr="0050008E">
        <w:trPr>
          <w:cantSplit/>
        </w:trPr>
        <w:tc>
          <w:tcPr>
            <w:tcW w:w="10031" w:type="dxa"/>
            <w:gridSpan w:val="2"/>
          </w:tcPr>
          <w:p w14:paraId="44FC40B4" w14:textId="77761B90" w:rsidR="000A5B9A" w:rsidRPr="00917E7A" w:rsidRDefault="007E6ACC" w:rsidP="00CE73F5">
            <w:pPr>
              <w:pStyle w:val="Title2"/>
            </w:pPr>
            <w:bookmarkStart w:id="3" w:name="dtitle2" w:colFirst="0" w:colLast="0"/>
            <w:bookmarkEnd w:id="2"/>
            <w:r w:rsidRPr="00917E7A">
              <w:t xml:space="preserve">puntos de vista y propuestas en relación con el tema 9.1.2 de la cmr-19 </w:t>
            </w:r>
          </w:p>
        </w:tc>
      </w:tr>
      <w:tr w:rsidR="000A5B9A" w:rsidRPr="00917E7A" w14:paraId="3AB36D04" w14:textId="77777777" w:rsidTr="0050008E">
        <w:trPr>
          <w:cantSplit/>
        </w:trPr>
        <w:tc>
          <w:tcPr>
            <w:tcW w:w="10031" w:type="dxa"/>
            <w:gridSpan w:val="2"/>
          </w:tcPr>
          <w:p w14:paraId="08D6FCF8" w14:textId="77777777" w:rsidR="000A5B9A" w:rsidRPr="00917E7A" w:rsidRDefault="000A5B9A" w:rsidP="00CE73F5">
            <w:pPr>
              <w:pStyle w:val="Agendaitem"/>
            </w:pPr>
            <w:bookmarkStart w:id="4" w:name="dtitle3" w:colFirst="0" w:colLast="0"/>
            <w:bookmarkEnd w:id="3"/>
            <w:r w:rsidRPr="00917E7A">
              <w:t>Punto 9.1(9.1.2) del orden del día</w:t>
            </w:r>
          </w:p>
        </w:tc>
      </w:tr>
    </w:tbl>
    <w:bookmarkEnd w:id="4"/>
    <w:p w14:paraId="106A11C4" w14:textId="77777777" w:rsidR="001C0E40" w:rsidRPr="00917E7A" w:rsidRDefault="00F62AF8" w:rsidP="00CE73F5">
      <w:r w:rsidRPr="00917E7A">
        <w:t>9</w:t>
      </w:r>
      <w:r w:rsidRPr="00917E7A">
        <w:tab/>
        <w:t xml:space="preserve">examinar y aprobar el Informe del </w:t>
      </w:r>
      <w:proofErr w:type="gramStart"/>
      <w:r w:rsidRPr="00917E7A">
        <w:t>Director</w:t>
      </w:r>
      <w:proofErr w:type="gramEnd"/>
      <w:r w:rsidRPr="00917E7A">
        <w:t xml:space="preserve"> de la Oficina de Radiocomunicaciones, de conformidad con el Artículo 7 del Convenio:</w:t>
      </w:r>
    </w:p>
    <w:p w14:paraId="5038417A" w14:textId="77777777" w:rsidR="001C0E40" w:rsidRPr="00917E7A" w:rsidRDefault="00F62AF8" w:rsidP="00CE73F5">
      <w:r w:rsidRPr="00917E7A">
        <w:t>9.1</w:t>
      </w:r>
      <w:r w:rsidRPr="00917E7A">
        <w:tab/>
        <w:t>sobre las actividades del Sector de Radiocomunicaciones desde la CMR</w:t>
      </w:r>
      <w:r w:rsidRPr="00917E7A">
        <w:noBreakHyphen/>
        <w:t>15;</w:t>
      </w:r>
    </w:p>
    <w:p w14:paraId="1934C4C8" w14:textId="77777777" w:rsidR="001C0E40" w:rsidRPr="00917E7A" w:rsidRDefault="00F62AF8" w:rsidP="00CE73F5">
      <w:r w:rsidRPr="00917E7A">
        <w:rPr>
          <w:rFonts w:cstheme="majorBidi"/>
          <w:color w:val="000000"/>
          <w:szCs w:val="24"/>
          <w:lang w:eastAsia="zh-CN"/>
        </w:rPr>
        <w:t>9.1 (</w:t>
      </w:r>
      <w:r w:rsidRPr="00917E7A">
        <w:rPr>
          <w:lang w:eastAsia="zh-CN"/>
        </w:rPr>
        <w:t>9.1.2)</w:t>
      </w:r>
      <w:r w:rsidRPr="00917E7A">
        <w:tab/>
      </w:r>
      <w:hyperlink w:anchor="RES_761" w:history="1">
        <w:r w:rsidRPr="00917E7A">
          <w:t xml:space="preserve">Resolución </w:t>
        </w:r>
        <w:r w:rsidRPr="00917E7A">
          <w:rPr>
            <w:b/>
            <w:bCs/>
          </w:rPr>
          <w:t>761 (CMR-15)</w:t>
        </w:r>
      </w:hyperlink>
      <w:r w:rsidRPr="00917E7A">
        <w:t xml:space="preserve"> – Compatibilidad de las telecomunicaciones móviles internacionales y el servicio de radiodifusión por satélite (sonora) en la banda de frecuencias 1 452</w:t>
      </w:r>
      <w:r w:rsidRPr="00917E7A">
        <w:noBreakHyphen/>
        <w:t>1 492 MHz en las Regiones 1 y 3</w:t>
      </w:r>
    </w:p>
    <w:p w14:paraId="68E48DEB" w14:textId="46C4C3B9" w:rsidR="007D07C7" w:rsidRPr="00917E7A" w:rsidRDefault="007E6ACC" w:rsidP="00CE73F5">
      <w:pPr>
        <w:pStyle w:val="Headingb"/>
      </w:pPr>
      <w:r w:rsidRPr="00917E7A">
        <w:t>Introducción</w:t>
      </w:r>
    </w:p>
    <w:p w14:paraId="0F4734D6" w14:textId="5ACCF5C6" w:rsidR="007D07C7" w:rsidRPr="00917E7A" w:rsidRDefault="007D07C7" w:rsidP="00CE73F5">
      <w:bookmarkStart w:id="5" w:name="_Hlk22031505"/>
      <w:r w:rsidRPr="00917E7A">
        <w:t>De conformidad con</w:t>
      </w:r>
      <w:r w:rsidR="007E6ACC" w:rsidRPr="00917E7A">
        <w:t xml:space="preserve"> lo dispuesto en</w:t>
      </w:r>
      <w:r w:rsidRPr="00917E7A">
        <w:t xml:space="preserve"> la Resolución </w:t>
      </w:r>
      <w:r w:rsidRPr="00917E7A">
        <w:rPr>
          <w:b/>
          <w:bCs/>
        </w:rPr>
        <w:t>761 (CMR-15)</w:t>
      </w:r>
      <w:r w:rsidRPr="00917E7A">
        <w:t>, el UIT-R realizó los estudios reglamentarios y técnicos apropiados entre las IMT y el servicio de radiodifusión por satélite (sonora) (SRS (sonora)) en la banda de frecuencias 1 452</w:t>
      </w:r>
      <w:r w:rsidRPr="00917E7A">
        <w:noBreakHyphen/>
        <w:t>1 492 MHz en las Regiones 1 y 3, habida cuenta de los requisitos operacionales de las IMT y el SRS (sonora).</w:t>
      </w:r>
    </w:p>
    <w:p w14:paraId="2325554D" w14:textId="2093BE9E" w:rsidR="007D07C7" w:rsidRPr="00917E7A" w:rsidRDefault="007E6ACC" w:rsidP="00CE73F5">
      <w:r w:rsidRPr="00917E7A">
        <w:t>La finalidad de e</w:t>
      </w:r>
      <w:r w:rsidR="007D07C7" w:rsidRPr="00917E7A">
        <w:t xml:space="preserve">stos estudios </w:t>
      </w:r>
      <w:r w:rsidRPr="00917E7A">
        <w:t xml:space="preserve">es </w:t>
      </w:r>
      <w:r w:rsidR="007D07C7" w:rsidRPr="00917E7A">
        <w:t>responde</w:t>
      </w:r>
      <w:r w:rsidRPr="00917E7A">
        <w:t>r</w:t>
      </w:r>
      <w:r w:rsidR="007D07C7" w:rsidRPr="00917E7A">
        <w:t xml:space="preserve"> al </w:t>
      </w:r>
      <w:r w:rsidR="007D07C7" w:rsidRPr="00917E7A">
        <w:rPr>
          <w:i/>
          <w:iCs/>
        </w:rPr>
        <w:t>resuelve invitar al UIT-R</w:t>
      </w:r>
      <w:r w:rsidR="007D07C7" w:rsidRPr="00917E7A">
        <w:t xml:space="preserve"> de la Resolución </w:t>
      </w:r>
      <w:r w:rsidR="007D07C7" w:rsidRPr="00917E7A">
        <w:rPr>
          <w:b/>
          <w:bCs/>
        </w:rPr>
        <w:t>761 (CMR-15)</w:t>
      </w:r>
      <w:r w:rsidR="007D07C7" w:rsidRPr="00917E7A">
        <w:t>, con objeto de que la CMR-19 pueda adoptar decisiones en la materia, según proceda.</w:t>
      </w:r>
      <w:bookmarkStart w:id="6" w:name="_Hlk22031495"/>
    </w:p>
    <w:p w14:paraId="22E4E718" w14:textId="16FD0A5C" w:rsidR="007D07C7" w:rsidRPr="00917E7A" w:rsidRDefault="00C86DB0" w:rsidP="00CE73F5">
      <w:pPr>
        <w:rPr>
          <w:highlight w:val="yellow"/>
        </w:rPr>
      </w:pPr>
      <w:r w:rsidRPr="00917E7A">
        <w:t>La banda de frecuencias 1 452</w:t>
      </w:r>
      <w:r w:rsidRPr="00917E7A">
        <w:noBreakHyphen/>
        <w:t xml:space="preserve">1 492 MHz está atribuida al servicio fijo (SF), el servicio móvil (SM), el servicio de radiodifusión (SR) y el servicio de radiodifusión por satélite (SRS). </w:t>
      </w:r>
      <w:r w:rsidR="007E6ACC" w:rsidRPr="00917E7A">
        <w:t xml:space="preserve">Sobre la base de </w:t>
      </w:r>
      <w:r w:rsidRPr="00917E7A">
        <w:t xml:space="preserve">los resultados de la CMR-15, la banda de frecuencias 1 452-1 492 MHz se ha identificado para su utilización por las administraciones de las Regiones 1 y 3 que deseen introducir las IMT de conformidad con la Resolución </w:t>
      </w:r>
      <w:r w:rsidRPr="00917E7A">
        <w:rPr>
          <w:b/>
          <w:bCs/>
        </w:rPr>
        <w:t>223 (Rev.CMR-15)</w:t>
      </w:r>
      <w:r w:rsidRPr="00917E7A">
        <w:t xml:space="preserve"> y la Resolución </w:t>
      </w:r>
      <w:r w:rsidRPr="00917E7A">
        <w:rPr>
          <w:b/>
          <w:bCs/>
        </w:rPr>
        <w:t xml:space="preserve">761 (CMR-15) </w:t>
      </w:r>
      <w:r w:rsidRPr="00917E7A">
        <w:t xml:space="preserve">(véanse los números </w:t>
      </w:r>
      <w:r w:rsidRPr="00917E7A">
        <w:rPr>
          <w:b/>
        </w:rPr>
        <w:t>5.346</w:t>
      </w:r>
      <w:r w:rsidRPr="00917E7A">
        <w:t xml:space="preserve"> y </w:t>
      </w:r>
      <w:r w:rsidRPr="00917E7A">
        <w:rPr>
          <w:b/>
        </w:rPr>
        <w:t>5.346A</w:t>
      </w:r>
      <w:r w:rsidRPr="00917E7A">
        <w:t xml:space="preserve"> del </w:t>
      </w:r>
      <w:r w:rsidR="007E6ACC" w:rsidRPr="00917E7A">
        <w:t>Reglamento de Radiocomunicaciones (</w:t>
      </w:r>
      <w:r w:rsidRPr="00917E7A">
        <w:t>RR</w:t>
      </w:r>
      <w:r w:rsidR="007E6ACC" w:rsidRPr="00917E7A">
        <w:t>)</w:t>
      </w:r>
      <w:r w:rsidRPr="00917E7A">
        <w:t xml:space="preserve">). Conforme a lo estipulado en la Resolución </w:t>
      </w:r>
      <w:r w:rsidRPr="00917E7A">
        <w:rPr>
          <w:b/>
          <w:bCs/>
        </w:rPr>
        <w:t>528 (Rev.CMR-15)</w:t>
      </w:r>
      <w:r w:rsidRPr="00917E7A">
        <w:t xml:space="preserve">, en el periodo transitorio, los sistemas de radiodifusión por satélite pueden introducirse únicamente en los 25 MHz superiores de esta banda de frecuencias, de conformidad con los procedimientos que figuran en las Secciones A a C de la Resolución </w:t>
      </w:r>
      <w:r w:rsidRPr="00917E7A">
        <w:rPr>
          <w:b/>
          <w:bCs/>
        </w:rPr>
        <w:t xml:space="preserve">33 (Rev.CMR-15) </w:t>
      </w:r>
      <w:r w:rsidRPr="00917E7A">
        <w:t xml:space="preserve">o en los Artículos </w:t>
      </w:r>
      <w:r w:rsidRPr="00917E7A">
        <w:rPr>
          <w:b/>
        </w:rPr>
        <w:t>9</w:t>
      </w:r>
      <w:r w:rsidRPr="00917E7A">
        <w:t xml:space="preserve"> a </w:t>
      </w:r>
      <w:r w:rsidRPr="00917E7A">
        <w:rPr>
          <w:b/>
        </w:rPr>
        <w:t>14</w:t>
      </w:r>
      <w:r w:rsidRPr="00917E7A">
        <w:t xml:space="preserve"> del RR, según proceda (véanse los </w:t>
      </w:r>
      <w:r w:rsidRPr="00917E7A">
        <w:rPr>
          <w:i/>
          <w:iCs/>
        </w:rPr>
        <w:t xml:space="preserve">resuelve </w:t>
      </w:r>
      <w:r w:rsidRPr="00917E7A">
        <w:t xml:space="preserve">1 y 2 de la Resolución </w:t>
      </w:r>
      <w:r w:rsidRPr="00917E7A">
        <w:rPr>
          <w:b/>
          <w:bCs/>
        </w:rPr>
        <w:t>33 (Rev.CMR-15)</w:t>
      </w:r>
      <w:r w:rsidRPr="00917E7A">
        <w:t>). El servicio terrenal complementario puede introducirse durante dicho periodo, a reserva de que se efectúe la coordinación con las administraciones cuyos servicios puedan resultar afectados.</w:t>
      </w:r>
    </w:p>
    <w:p w14:paraId="42823CAA" w14:textId="7335F22B" w:rsidR="007D07C7" w:rsidRPr="00917E7A" w:rsidRDefault="00C86DB0" w:rsidP="00CE73F5">
      <w:pPr>
        <w:rPr>
          <w:highlight w:val="cyan"/>
        </w:rPr>
      </w:pPr>
      <w:r w:rsidRPr="00917E7A">
        <w:lastRenderedPageBreak/>
        <w:t xml:space="preserve">Actualmente, los procedimientos de coordinación </w:t>
      </w:r>
      <w:r w:rsidR="007E6ACC" w:rsidRPr="00917E7A">
        <w:t>con arreglo</w:t>
      </w:r>
      <w:r w:rsidRPr="00917E7A">
        <w:t xml:space="preserve"> a los números </w:t>
      </w:r>
      <w:r w:rsidRPr="00917E7A">
        <w:rPr>
          <w:b/>
        </w:rPr>
        <w:t>9.11</w:t>
      </w:r>
      <w:r w:rsidRPr="00917E7A">
        <w:t xml:space="preserve"> y </w:t>
      </w:r>
      <w:r w:rsidRPr="00917E7A">
        <w:rPr>
          <w:b/>
        </w:rPr>
        <w:t>9.19</w:t>
      </w:r>
      <w:r w:rsidRPr="00917E7A">
        <w:t xml:space="preserve"> del RR se aplican a fin de lograr las condiciones de compartición y compatibilidad necesarias entre el SRS y los servicios terrenales.</w:t>
      </w:r>
    </w:p>
    <w:bookmarkEnd w:id="5"/>
    <w:bookmarkEnd w:id="6"/>
    <w:p w14:paraId="195E2166" w14:textId="7324F492" w:rsidR="007D07C7" w:rsidRPr="00917E7A" w:rsidRDefault="007E6ACC" w:rsidP="00CE73F5">
      <w:pPr>
        <w:rPr>
          <w:highlight w:val="yellow"/>
        </w:rPr>
      </w:pPr>
      <w:r w:rsidRPr="00917E7A">
        <w:t>En el contexto del tema 9.1.2 del punto 9.1 del orden del día de la CMR-19, el GT</w:t>
      </w:r>
      <w:r w:rsidR="007D07C7" w:rsidRPr="00917E7A">
        <w:t xml:space="preserve"> 4A </w:t>
      </w:r>
      <w:r w:rsidRPr="00917E7A">
        <w:t>y el GT</w:t>
      </w:r>
      <w:r w:rsidR="007D07C7" w:rsidRPr="00917E7A">
        <w:t xml:space="preserve"> 5D </w:t>
      </w:r>
      <w:r w:rsidRPr="00917E7A">
        <w:t xml:space="preserve">son los responsables de los estudios relativos al SRS (sonora) y las IMT, respectivamente. </w:t>
      </w:r>
      <w:r w:rsidR="00C86DB0" w:rsidRPr="00917E7A">
        <w:t>El Informe</w:t>
      </w:r>
      <w:r w:rsidRPr="00917E7A">
        <w:t xml:space="preserve"> de la RPC</w:t>
      </w:r>
      <w:r w:rsidR="00C86DB0" w:rsidRPr="00917E7A">
        <w:t xml:space="preserve"> ha sido elaborado y aprobado en la segunda sesión de la Reunión Preparatoria de la Conferencia (RPC), celebrada en Ginebra del 18 al 28 de febrero de 2019.</w:t>
      </w:r>
    </w:p>
    <w:p w14:paraId="186DEFDF" w14:textId="34DAACFD" w:rsidR="00363A65" w:rsidRPr="00917E7A" w:rsidRDefault="007E6ACC">
      <w:bookmarkStart w:id="7" w:name="_Hlk22117421"/>
      <w:r w:rsidRPr="00917E7A">
        <w:t>Teniendo en cuenta que las actuales condiciones del RR y técnicas podría</w:t>
      </w:r>
      <w:r w:rsidR="00CE73F5" w:rsidRPr="00917E7A">
        <w:t>n</w:t>
      </w:r>
      <w:r w:rsidRPr="00917E7A">
        <w:t xml:space="preserve"> garantizar suficientemente la compatibilidad de las IMT y del servicio de radiodifusión por satélite (SRS) (sonora) en la banda de frecuencias </w:t>
      </w:r>
      <w:r w:rsidR="007D07C7" w:rsidRPr="00917E7A">
        <w:t xml:space="preserve">1 452-1 492 MHz </w:t>
      </w:r>
      <w:r w:rsidRPr="00917E7A">
        <w:t>en las Regiones 1 y 3</w:t>
      </w:r>
      <w:bookmarkEnd w:id="7"/>
      <w:r w:rsidR="007D07C7" w:rsidRPr="00917E7A">
        <w:t xml:space="preserve">, China </w:t>
      </w:r>
      <w:r w:rsidR="00CE73F5" w:rsidRPr="00917E7A">
        <w:t>apoya la posible acción 1 (NOC) en el Informe de la RPC.</w:t>
      </w:r>
    </w:p>
    <w:p w14:paraId="4C97EEDD" w14:textId="77777777" w:rsidR="008750A8" w:rsidRPr="00917E7A" w:rsidRDefault="008750A8" w:rsidP="00CE73F5">
      <w:pPr>
        <w:tabs>
          <w:tab w:val="clear" w:pos="1134"/>
          <w:tab w:val="clear" w:pos="1871"/>
          <w:tab w:val="clear" w:pos="2268"/>
        </w:tabs>
        <w:overflowPunct/>
        <w:autoSpaceDE/>
        <w:autoSpaceDN/>
        <w:adjustRightInd/>
        <w:spacing w:before="0"/>
        <w:textAlignment w:val="auto"/>
      </w:pPr>
      <w:r w:rsidRPr="00917E7A">
        <w:br w:type="page"/>
      </w:r>
    </w:p>
    <w:p w14:paraId="027DF0BD" w14:textId="308C5D3E" w:rsidR="007A165A" w:rsidRPr="00917E7A" w:rsidRDefault="007A165A" w:rsidP="00862BFB">
      <w:pPr>
        <w:pStyle w:val="Headingb"/>
      </w:pPr>
      <w:r w:rsidRPr="00917E7A">
        <w:lastRenderedPageBreak/>
        <w:t>Propuestas</w:t>
      </w:r>
    </w:p>
    <w:p w14:paraId="7BB37E9B" w14:textId="36AC13BC" w:rsidR="006537F1" w:rsidRPr="00917E7A" w:rsidRDefault="00F62AF8" w:rsidP="00CE73F5">
      <w:pPr>
        <w:pStyle w:val="ArtNo"/>
      </w:pPr>
      <w:r w:rsidRPr="00917E7A">
        <w:t xml:space="preserve">ARTÍCULO </w:t>
      </w:r>
      <w:r w:rsidRPr="00917E7A">
        <w:rPr>
          <w:rStyle w:val="href"/>
        </w:rPr>
        <w:t>5</w:t>
      </w:r>
    </w:p>
    <w:p w14:paraId="300CF6D9" w14:textId="77777777" w:rsidR="006537F1" w:rsidRPr="00917E7A" w:rsidRDefault="00F62AF8" w:rsidP="00CE73F5">
      <w:pPr>
        <w:pStyle w:val="Arttitle"/>
      </w:pPr>
      <w:r w:rsidRPr="00917E7A">
        <w:t>Atribuciones de frecuencia</w:t>
      </w:r>
    </w:p>
    <w:p w14:paraId="7C66A417" w14:textId="77777777" w:rsidR="008D594D" w:rsidRPr="00917E7A" w:rsidRDefault="00F62AF8" w:rsidP="00CE73F5">
      <w:pPr>
        <w:pStyle w:val="Proposal"/>
      </w:pPr>
      <w:r w:rsidRPr="00917E7A">
        <w:rPr>
          <w:u w:val="single"/>
        </w:rPr>
        <w:t>NOC</w:t>
      </w:r>
      <w:r w:rsidRPr="00917E7A">
        <w:tab/>
        <w:t>CHN/28A21A2/1</w:t>
      </w:r>
    </w:p>
    <w:p w14:paraId="08B20E94" w14:textId="77777777" w:rsidR="006537F1" w:rsidRPr="00917E7A" w:rsidRDefault="00F62AF8" w:rsidP="00CE73F5">
      <w:pPr>
        <w:pStyle w:val="Section1"/>
      </w:pPr>
      <w:r w:rsidRPr="00917E7A">
        <w:t>Sección IV – Cuadro de atribución de bandas de frecuencias</w:t>
      </w:r>
      <w:r w:rsidRPr="00917E7A">
        <w:br/>
      </w:r>
      <w:r w:rsidRPr="00917E7A">
        <w:rPr>
          <w:b w:val="0"/>
          <w:bCs/>
        </w:rPr>
        <w:t>(Véase el número</w:t>
      </w:r>
      <w:r w:rsidRPr="00917E7A">
        <w:t xml:space="preserve"> </w:t>
      </w:r>
      <w:r w:rsidRPr="00917E7A">
        <w:rPr>
          <w:rStyle w:val="Artref"/>
        </w:rPr>
        <w:t>2.1</w:t>
      </w:r>
      <w:r w:rsidRPr="00917E7A">
        <w:rPr>
          <w:b w:val="0"/>
          <w:bCs/>
        </w:rPr>
        <w:t>)</w:t>
      </w:r>
      <w:r w:rsidRPr="00917E7A">
        <w:br/>
      </w:r>
    </w:p>
    <w:p w14:paraId="31E5FFEF" w14:textId="38592289" w:rsidR="008D594D" w:rsidRPr="00917E7A" w:rsidRDefault="00F62AF8" w:rsidP="00CE73F5">
      <w:pPr>
        <w:pStyle w:val="Reasons"/>
      </w:pPr>
      <w:r w:rsidRPr="00917E7A">
        <w:rPr>
          <w:b/>
        </w:rPr>
        <w:t>Motivos:</w:t>
      </w:r>
      <w:r w:rsidRPr="00917E7A">
        <w:tab/>
      </w:r>
      <w:r w:rsidR="00CE73F5" w:rsidRPr="00917E7A">
        <w:t>Teniendo en cuenta que las actuales condiciones del RR y técnicas podrían garantizar suficientemente la compatibilidad de las IMT y del servicio de radiodifusión por satélite (SRS) (sonora) en la banda de frecuencias 1 452-1 492 MHz en las Regiones 1 y 3, se propone que no se introduzcan cambios en el Reglamento de Radiocomunicaciones (RR).</w:t>
      </w:r>
    </w:p>
    <w:p w14:paraId="5F984831" w14:textId="77777777" w:rsidR="008D594D" w:rsidRPr="00917E7A" w:rsidRDefault="00F62AF8" w:rsidP="00CE73F5">
      <w:pPr>
        <w:pStyle w:val="Proposal"/>
      </w:pPr>
      <w:r w:rsidRPr="00917E7A">
        <w:rPr>
          <w:u w:val="single"/>
        </w:rPr>
        <w:t>NOC</w:t>
      </w:r>
      <w:r w:rsidRPr="00917E7A">
        <w:tab/>
        <w:t>CHN/28A21A2/2</w:t>
      </w:r>
    </w:p>
    <w:p w14:paraId="70166DDE" w14:textId="77777777" w:rsidR="006537F1" w:rsidRPr="00917E7A" w:rsidRDefault="00F62AF8" w:rsidP="00D278D9">
      <w:pPr>
        <w:pStyle w:val="ArtNo"/>
      </w:pPr>
      <w:r w:rsidRPr="00917E7A">
        <w:t xml:space="preserve">ARTÍCULO </w:t>
      </w:r>
      <w:r w:rsidRPr="00917E7A">
        <w:rPr>
          <w:rStyle w:val="href"/>
        </w:rPr>
        <w:t>21</w:t>
      </w:r>
    </w:p>
    <w:p w14:paraId="2781D755" w14:textId="77777777" w:rsidR="006537F1" w:rsidRPr="00917E7A" w:rsidRDefault="00F62AF8" w:rsidP="00CE73F5">
      <w:pPr>
        <w:pStyle w:val="Arttitle"/>
      </w:pPr>
      <w:r w:rsidRPr="00917E7A">
        <w:t>Servicios terrenales y espaciales que comparten bandas</w:t>
      </w:r>
      <w:r w:rsidRPr="00917E7A">
        <w:br/>
        <w:t>de frecuencias por encima de 1 GHz</w:t>
      </w:r>
    </w:p>
    <w:p w14:paraId="3B2EB11E" w14:textId="05E49731" w:rsidR="008D594D" w:rsidRPr="00917E7A" w:rsidRDefault="00F62AF8" w:rsidP="00CE73F5">
      <w:pPr>
        <w:pStyle w:val="Reasons"/>
      </w:pPr>
      <w:r w:rsidRPr="00917E7A">
        <w:rPr>
          <w:b/>
        </w:rPr>
        <w:t>Motivos:</w:t>
      </w:r>
      <w:r w:rsidRPr="00917E7A">
        <w:tab/>
      </w:r>
      <w:r w:rsidR="00CE73F5" w:rsidRPr="00917E7A">
        <w:t xml:space="preserve">Pueden aplicarse los actuales procedimientos de coordinación de los números 9.11 y 9.19 del RR, que podrían cumplir suficientemente las condiciones de compartición y compatibilidad entre el SRS y los servicios terrenales. </w:t>
      </w:r>
    </w:p>
    <w:p w14:paraId="094DB28E" w14:textId="77777777" w:rsidR="008D594D" w:rsidRPr="00917E7A" w:rsidRDefault="00F62AF8" w:rsidP="00CE73F5">
      <w:pPr>
        <w:pStyle w:val="Proposal"/>
      </w:pPr>
      <w:r w:rsidRPr="00917E7A">
        <w:rPr>
          <w:u w:val="single"/>
        </w:rPr>
        <w:t>NOC</w:t>
      </w:r>
      <w:r w:rsidRPr="00917E7A">
        <w:tab/>
        <w:t>CHN/28A21A2/3</w:t>
      </w:r>
    </w:p>
    <w:p w14:paraId="04C79F39" w14:textId="77777777" w:rsidR="00AE737D" w:rsidRPr="00917E7A" w:rsidRDefault="00F62AF8" w:rsidP="001A0676">
      <w:pPr>
        <w:pStyle w:val="AppendixNo"/>
      </w:pPr>
      <w:r w:rsidRPr="00917E7A">
        <w:t xml:space="preserve">APÉNDICE </w:t>
      </w:r>
      <w:r w:rsidRPr="00917E7A">
        <w:rPr>
          <w:rStyle w:val="href"/>
        </w:rPr>
        <w:t>5</w:t>
      </w:r>
      <w:r w:rsidRPr="00917E7A">
        <w:t xml:space="preserve"> (</w:t>
      </w:r>
      <w:r w:rsidRPr="00917E7A">
        <w:rPr>
          <w:caps w:val="0"/>
        </w:rPr>
        <w:t>REV</w:t>
      </w:r>
      <w:r w:rsidRPr="00917E7A">
        <w:t>.CMR-15)</w:t>
      </w:r>
    </w:p>
    <w:p w14:paraId="7933F292" w14:textId="77777777" w:rsidR="00CB78AE" w:rsidRPr="00917E7A" w:rsidRDefault="00F62AF8" w:rsidP="00CE73F5">
      <w:pPr>
        <w:pStyle w:val="Appendixtitle"/>
        <w:rPr>
          <w:color w:val="000000"/>
        </w:rPr>
      </w:pPr>
      <w:r w:rsidRPr="00917E7A">
        <w:t>Identificación de las administraciones con las que ha de efectuarse</w:t>
      </w:r>
      <w:r w:rsidRPr="00917E7A">
        <w:br/>
        <w:t>una coordinación o cuyo acuerdo se ha de obtener a tenor</w:t>
      </w:r>
      <w:r w:rsidRPr="00917E7A">
        <w:br/>
        <w:t xml:space="preserve">de las disposiciones del Artículo </w:t>
      </w:r>
      <w:r w:rsidRPr="00917E7A">
        <w:rPr>
          <w:rStyle w:val="Artref"/>
          <w:color w:val="000000"/>
        </w:rPr>
        <w:t>9</w:t>
      </w:r>
    </w:p>
    <w:p w14:paraId="58EDB2F7" w14:textId="3EEEF40F" w:rsidR="008D594D" w:rsidRPr="00917E7A" w:rsidRDefault="00F62AF8" w:rsidP="00CE73F5">
      <w:pPr>
        <w:pStyle w:val="Reasons"/>
      </w:pPr>
      <w:r w:rsidRPr="00917E7A">
        <w:rPr>
          <w:b/>
        </w:rPr>
        <w:t>Motivos:</w:t>
      </w:r>
      <w:r w:rsidRPr="00917E7A">
        <w:tab/>
      </w:r>
      <w:r w:rsidR="00CE73F5" w:rsidRPr="00917E7A">
        <w:t xml:space="preserve">Los actuales procedimientos de coordinación de los números </w:t>
      </w:r>
      <w:r w:rsidR="00CE73F5" w:rsidRPr="00772EE6">
        <w:t>9.11</w:t>
      </w:r>
      <w:r w:rsidR="00CE73F5" w:rsidRPr="00917E7A">
        <w:t xml:space="preserve"> y </w:t>
      </w:r>
      <w:bookmarkStart w:id="8" w:name="_GoBack"/>
      <w:r w:rsidR="00CE73F5" w:rsidRPr="00772EE6">
        <w:t>9.19</w:t>
      </w:r>
      <w:r w:rsidR="00CE73F5" w:rsidRPr="00917E7A">
        <w:t xml:space="preserve"> </w:t>
      </w:r>
      <w:bookmarkEnd w:id="8"/>
      <w:r w:rsidR="00CE73F5" w:rsidRPr="00917E7A">
        <w:t xml:space="preserve">del RR podrían cumplir suficientemente las condiciones de compartición y compatibilidad entre el SRS y los servicios terrenales. </w:t>
      </w:r>
    </w:p>
    <w:p w14:paraId="31F7852C" w14:textId="77777777" w:rsidR="008D594D" w:rsidRPr="00917E7A" w:rsidRDefault="00F62AF8" w:rsidP="00CE73F5">
      <w:pPr>
        <w:pStyle w:val="Proposal"/>
      </w:pPr>
      <w:r w:rsidRPr="00917E7A">
        <w:t>SUP</w:t>
      </w:r>
      <w:r w:rsidRPr="00917E7A">
        <w:tab/>
        <w:t>CHN/28A21A2/4</w:t>
      </w:r>
    </w:p>
    <w:p w14:paraId="7FBCC1D9" w14:textId="77777777" w:rsidR="007B7DBC" w:rsidRPr="00917E7A" w:rsidRDefault="00F62AF8" w:rsidP="001A0676">
      <w:pPr>
        <w:pStyle w:val="ResNo"/>
      </w:pPr>
      <w:r w:rsidRPr="00917E7A">
        <w:t xml:space="preserve">RESOLUCIÓN </w:t>
      </w:r>
      <w:r w:rsidRPr="00917E7A">
        <w:rPr>
          <w:rStyle w:val="href"/>
        </w:rPr>
        <w:t>761</w:t>
      </w:r>
      <w:r w:rsidRPr="00917E7A">
        <w:t xml:space="preserve"> (Cmr</w:t>
      </w:r>
      <w:r w:rsidRPr="00917E7A">
        <w:noBreakHyphen/>
        <w:t>15)</w:t>
      </w:r>
    </w:p>
    <w:p w14:paraId="07658C02" w14:textId="77777777" w:rsidR="007B7DBC" w:rsidRPr="00917E7A" w:rsidRDefault="00F62AF8" w:rsidP="00CE73F5">
      <w:pPr>
        <w:pStyle w:val="Restitle"/>
      </w:pPr>
      <w:bookmarkStart w:id="9" w:name="_Toc319401786"/>
      <w:bookmarkStart w:id="10" w:name="_Toc327364412"/>
      <w:r w:rsidRPr="00917E7A">
        <w:t xml:space="preserve">Compatibilidad de las telecomunicaciones móviles internacionales y </w:t>
      </w:r>
      <w:r w:rsidRPr="00917E7A">
        <w:br/>
        <w:t xml:space="preserve">el servicio de radiodifusión por satélite (sonora) en la banda </w:t>
      </w:r>
      <w:r w:rsidRPr="00917E7A">
        <w:br/>
        <w:t>de frecuencias 1 452</w:t>
      </w:r>
      <w:r w:rsidRPr="00917E7A">
        <w:noBreakHyphen/>
        <w:t>1 492 MHz en las Regiones 1 y 3</w:t>
      </w:r>
      <w:bookmarkEnd w:id="9"/>
      <w:bookmarkEnd w:id="10"/>
    </w:p>
    <w:p w14:paraId="1B39D02A" w14:textId="4DD69F02" w:rsidR="00F62AF8" w:rsidRPr="00917E7A" w:rsidRDefault="00F62AF8" w:rsidP="00CE73F5">
      <w:pPr>
        <w:pStyle w:val="Reasons"/>
      </w:pPr>
      <w:r w:rsidRPr="00917E7A">
        <w:rPr>
          <w:b/>
        </w:rPr>
        <w:t>Motivos:</w:t>
      </w:r>
      <w:r w:rsidRPr="00917E7A">
        <w:tab/>
      </w:r>
      <w:r w:rsidR="00CE73F5" w:rsidRPr="00917E7A">
        <w:t xml:space="preserve">La CMR-19 completará los estudios requeridos para la compartición y compatibilidad entre el SRS (sonora) y las IMT. </w:t>
      </w:r>
    </w:p>
    <w:p w14:paraId="3D9EE55F" w14:textId="77777777" w:rsidR="00A44DC9" w:rsidRPr="00917E7A" w:rsidRDefault="00A44DC9" w:rsidP="00A44DC9"/>
    <w:p w14:paraId="13F3AE22" w14:textId="77777777" w:rsidR="00F62AF8" w:rsidRPr="00917E7A" w:rsidRDefault="00F62AF8" w:rsidP="00CE73F5">
      <w:pPr>
        <w:jc w:val="center"/>
      </w:pPr>
      <w:r w:rsidRPr="00917E7A">
        <w:t>______________</w:t>
      </w:r>
    </w:p>
    <w:sectPr w:rsidR="00F62AF8" w:rsidRPr="00917E7A">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6603" w14:textId="77777777" w:rsidR="003C0613" w:rsidRDefault="003C0613">
      <w:r>
        <w:separator/>
      </w:r>
    </w:p>
  </w:endnote>
  <w:endnote w:type="continuationSeparator" w:id="0">
    <w:p w14:paraId="736D0187"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28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F99D5" w14:textId="50257A46" w:rsidR="0077084A" w:rsidRPr="00FC5080" w:rsidRDefault="0077084A">
    <w:pPr>
      <w:ind w:right="360"/>
    </w:pPr>
    <w:r>
      <w:fldChar w:fldCharType="begin"/>
    </w:r>
    <w:r w:rsidRPr="00FC5080">
      <w:instrText xml:space="preserve"> FILENAME \p  \* MERGEFORMAT </w:instrText>
    </w:r>
    <w:r>
      <w:fldChar w:fldCharType="separate"/>
    </w:r>
    <w:r w:rsidR="00FC5080">
      <w:rPr>
        <w:noProof/>
      </w:rPr>
      <w:t>P:\ESP\ITU-R\CONF-R\CMR19\000\028ADD21ADD02S.docx</w:t>
    </w:r>
    <w:r>
      <w:fldChar w:fldCharType="end"/>
    </w:r>
    <w:r w:rsidRPr="00FC5080">
      <w:tab/>
    </w:r>
    <w:r>
      <w:fldChar w:fldCharType="begin"/>
    </w:r>
    <w:r>
      <w:instrText xml:space="preserve"> SAVEDATE \@ DD.MM.YY </w:instrText>
    </w:r>
    <w:r>
      <w:fldChar w:fldCharType="separate"/>
    </w:r>
    <w:r w:rsidR="00FC5080">
      <w:rPr>
        <w:noProof/>
      </w:rPr>
      <w:t>23.10.19</w:t>
    </w:r>
    <w:r>
      <w:fldChar w:fldCharType="end"/>
    </w:r>
    <w:r w:rsidRPr="00FC5080">
      <w:tab/>
    </w:r>
    <w:r>
      <w:fldChar w:fldCharType="begin"/>
    </w:r>
    <w:r>
      <w:instrText xml:space="preserve"> PRINTDATE \@ DD.MM.YY </w:instrText>
    </w:r>
    <w:r>
      <w:fldChar w:fldCharType="separate"/>
    </w:r>
    <w:r w:rsidR="00FC508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926F" w14:textId="091A00CF" w:rsidR="00B22E49" w:rsidRPr="00B22E49" w:rsidRDefault="00862BFB" w:rsidP="00862BFB">
    <w:pPr>
      <w:pStyle w:val="Footer"/>
      <w:rPr>
        <w:lang w:val="en-US"/>
      </w:rPr>
    </w:pPr>
    <w:fldSimple w:instr=" FILENAME \p  \* MERGEFORMAT ">
      <w:r w:rsidR="00FC5080">
        <w:t>P:\ESP\ITU-R\CONF-R\CMR19\000\028ADD21ADD02S.docx</w:t>
      </w:r>
    </w:fldSimple>
    <w:r>
      <w:t xml:space="preserve"> (461507)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81F4" w14:textId="502CC639" w:rsidR="0077084A" w:rsidRPr="00B22E49" w:rsidRDefault="0077084A" w:rsidP="00B47331">
    <w:pPr>
      <w:pStyle w:val="Footer"/>
      <w:rPr>
        <w:lang w:val="en-US"/>
      </w:rPr>
    </w:pPr>
    <w:r>
      <w:fldChar w:fldCharType="begin"/>
    </w:r>
    <w:r>
      <w:rPr>
        <w:lang w:val="en-US"/>
      </w:rPr>
      <w:instrText xml:space="preserve"> FILENAME \p  \* MERGEFORMAT </w:instrText>
    </w:r>
    <w:r>
      <w:fldChar w:fldCharType="separate"/>
    </w:r>
    <w:r w:rsidR="00FC5080">
      <w:rPr>
        <w:lang w:val="en-US"/>
      </w:rPr>
      <w:t>P:\ESP\ITU-R\CONF-R\CMR19\000\028ADD21ADD02S.docx</w:t>
    </w:r>
    <w:r>
      <w:fldChar w:fldCharType="end"/>
    </w:r>
    <w:r w:rsidR="00B22E49" w:rsidRPr="00B22E49">
      <w:rPr>
        <w:lang w:val="en-US"/>
      </w:rPr>
      <w:t xml:space="preserve"> </w:t>
    </w:r>
    <w:r w:rsidR="00B22E49">
      <w:rPr>
        <w:lang w:val="en-US"/>
      </w:rPr>
      <w:t>(461507)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805D" w14:textId="77777777" w:rsidR="003C0613" w:rsidRDefault="003C0613">
      <w:r>
        <w:rPr>
          <w:b/>
        </w:rPr>
        <w:t>_______________</w:t>
      </w:r>
    </w:p>
  </w:footnote>
  <w:footnote w:type="continuationSeparator" w:id="0">
    <w:p w14:paraId="18C6A8D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F3E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DE3FB86" w14:textId="77777777" w:rsidR="0077084A" w:rsidRDefault="008750A8" w:rsidP="00C44E9E">
    <w:pPr>
      <w:pStyle w:val="Header"/>
      <w:rPr>
        <w:lang w:val="en-US"/>
      </w:rPr>
    </w:pPr>
    <w:r>
      <w:rPr>
        <w:lang w:val="en-US"/>
      </w:rPr>
      <w:t>CMR1</w:t>
    </w:r>
    <w:r w:rsidR="00C44E9E">
      <w:rPr>
        <w:lang w:val="en-US"/>
      </w:rPr>
      <w:t>9</w:t>
    </w:r>
    <w:r>
      <w:rPr>
        <w:lang w:val="en-US"/>
      </w:rPr>
      <w:t>/</w:t>
    </w:r>
    <w:r w:rsidR="00702F3D">
      <w:t>28(Add.21)(Add.2)-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676"/>
    <w:rsid w:val="001A083F"/>
    <w:rsid w:val="001C41FA"/>
    <w:rsid w:val="001E2B52"/>
    <w:rsid w:val="001E3F27"/>
    <w:rsid w:val="001E7D42"/>
    <w:rsid w:val="00220F17"/>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4D4C32"/>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2EE6"/>
    <w:rsid w:val="00783D38"/>
    <w:rsid w:val="007952C7"/>
    <w:rsid w:val="007A165A"/>
    <w:rsid w:val="007C0B95"/>
    <w:rsid w:val="007C2317"/>
    <w:rsid w:val="007D07C7"/>
    <w:rsid w:val="007D330A"/>
    <w:rsid w:val="007E6ACC"/>
    <w:rsid w:val="00862BFB"/>
    <w:rsid w:val="00866AE6"/>
    <w:rsid w:val="008750A8"/>
    <w:rsid w:val="008D3316"/>
    <w:rsid w:val="008D594D"/>
    <w:rsid w:val="008E5AF2"/>
    <w:rsid w:val="0090121B"/>
    <w:rsid w:val="009144C9"/>
    <w:rsid w:val="00917E7A"/>
    <w:rsid w:val="0094091F"/>
    <w:rsid w:val="00962171"/>
    <w:rsid w:val="00973754"/>
    <w:rsid w:val="009C0BED"/>
    <w:rsid w:val="009E11EC"/>
    <w:rsid w:val="00A021CC"/>
    <w:rsid w:val="00A118DB"/>
    <w:rsid w:val="00A4450C"/>
    <w:rsid w:val="00A44DC9"/>
    <w:rsid w:val="00AA5E6C"/>
    <w:rsid w:val="00AE5677"/>
    <w:rsid w:val="00AE658F"/>
    <w:rsid w:val="00AF2F78"/>
    <w:rsid w:val="00B22E49"/>
    <w:rsid w:val="00B239FA"/>
    <w:rsid w:val="00B372AB"/>
    <w:rsid w:val="00B47331"/>
    <w:rsid w:val="00B52D55"/>
    <w:rsid w:val="00B8288C"/>
    <w:rsid w:val="00B86034"/>
    <w:rsid w:val="00BD3A70"/>
    <w:rsid w:val="00BE2E80"/>
    <w:rsid w:val="00BE5EDD"/>
    <w:rsid w:val="00BE6A1F"/>
    <w:rsid w:val="00C126C4"/>
    <w:rsid w:val="00C44E9E"/>
    <w:rsid w:val="00C63EB5"/>
    <w:rsid w:val="00C86DB0"/>
    <w:rsid w:val="00C87DA7"/>
    <w:rsid w:val="00CC01E0"/>
    <w:rsid w:val="00CC7372"/>
    <w:rsid w:val="00CD5FEE"/>
    <w:rsid w:val="00CE60D2"/>
    <w:rsid w:val="00CE73F5"/>
    <w:rsid w:val="00CE7431"/>
    <w:rsid w:val="00D00CA8"/>
    <w:rsid w:val="00D0288A"/>
    <w:rsid w:val="00D278D9"/>
    <w:rsid w:val="00D72A5D"/>
    <w:rsid w:val="00DA71A3"/>
    <w:rsid w:val="00DC629B"/>
    <w:rsid w:val="00DE1C31"/>
    <w:rsid w:val="00E05BFF"/>
    <w:rsid w:val="00E262F1"/>
    <w:rsid w:val="00E3176A"/>
    <w:rsid w:val="00E36CE4"/>
    <w:rsid w:val="00E54754"/>
    <w:rsid w:val="00E56BD3"/>
    <w:rsid w:val="00E71D14"/>
    <w:rsid w:val="00EA77F0"/>
    <w:rsid w:val="00EC20A2"/>
    <w:rsid w:val="00F32316"/>
    <w:rsid w:val="00F62AF8"/>
    <w:rsid w:val="00F66597"/>
    <w:rsid w:val="00F675D0"/>
    <w:rsid w:val="00F8150C"/>
    <w:rsid w:val="00FC5080"/>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FDE6F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4D4C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4C3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B5479CCB-4BD2-4C61-9373-75217BBD277E}">
  <ds:schemaRefs>
    <ds:schemaRef ds:uri="996b2e75-67fd-4955-a3b0-5ab9934cb50b"/>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11BF8-CF6A-4E56-910E-FE43EAC1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813</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R16-WRC19-C-0028!A21-A2!MSW-S</vt:lpstr>
    </vt:vector>
  </TitlesOfParts>
  <Manager>Secretaría General - Pool</Manager>
  <Company>Unión Internacional de Telecomunicaciones (UIT)</Company>
  <LinksUpToDate>false</LinksUpToDate>
  <CharactersWithSpaces>5126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R16-WRC19-C-0028!A21-A2!MSW-S</dc:title>
  <dc:subject>Conferencia Mundial de Radiocomunicaciones - 2019</dc:subject>
  <dc:creator>Documents Proposals Manager (DPM)</dc:creator>
  <cp:keywords>DPM_v2019.10.14.1_prod</cp:keywords>
  <dc:description/>
  <cp:lastModifiedBy>Spanish</cp:lastModifiedBy>
  <cp:revision>10</cp:revision>
  <cp:lastPrinted>2019-10-23T07:07:00Z</cp:lastPrinted>
  <dcterms:created xsi:type="dcterms:W3CDTF">2019-10-23T06:57:00Z</dcterms:created>
  <dcterms:modified xsi:type="dcterms:W3CDTF">2019-10-23T07:21:00Z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