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6275A" w14:paraId="06650879" w14:textId="77777777" w:rsidTr="0050008E">
        <w:trPr>
          <w:cantSplit/>
        </w:trPr>
        <w:tc>
          <w:tcPr>
            <w:tcW w:w="6911" w:type="dxa"/>
          </w:tcPr>
          <w:p w14:paraId="4FB8AC29" w14:textId="77777777" w:rsidR="00BB1D82" w:rsidRPr="0056275A" w:rsidRDefault="00851625" w:rsidP="00F950C5">
            <w:pPr>
              <w:spacing w:before="400" w:after="48"/>
              <w:rPr>
                <w:rFonts w:ascii="Verdana" w:hAnsi="Verdana"/>
                <w:b/>
                <w:bCs/>
                <w:sz w:val="20"/>
              </w:rPr>
            </w:pPr>
            <w:r w:rsidRPr="0056275A">
              <w:rPr>
                <w:rFonts w:ascii="Verdana" w:hAnsi="Verdana"/>
                <w:b/>
                <w:bCs/>
                <w:sz w:val="20"/>
              </w:rPr>
              <w:t>Conférence mondiale des radiocommunications (CMR-1</w:t>
            </w:r>
            <w:r w:rsidR="00FD7AA3" w:rsidRPr="0056275A">
              <w:rPr>
                <w:rFonts w:ascii="Verdana" w:hAnsi="Verdana"/>
                <w:b/>
                <w:bCs/>
                <w:sz w:val="20"/>
              </w:rPr>
              <w:t>9</w:t>
            </w:r>
            <w:r w:rsidRPr="0056275A">
              <w:rPr>
                <w:rFonts w:ascii="Verdana" w:hAnsi="Verdana"/>
                <w:b/>
                <w:bCs/>
                <w:sz w:val="20"/>
              </w:rPr>
              <w:t>)</w:t>
            </w:r>
            <w:r w:rsidRPr="0056275A">
              <w:rPr>
                <w:rFonts w:ascii="Verdana" w:hAnsi="Verdana"/>
                <w:b/>
                <w:bCs/>
                <w:sz w:val="20"/>
              </w:rPr>
              <w:br/>
            </w:r>
            <w:r w:rsidR="00063A1F" w:rsidRPr="0056275A">
              <w:rPr>
                <w:rFonts w:ascii="Verdana" w:hAnsi="Verdana"/>
                <w:b/>
                <w:bCs/>
                <w:sz w:val="18"/>
                <w:szCs w:val="18"/>
              </w:rPr>
              <w:t xml:space="preserve">Charm el-Cheikh, </w:t>
            </w:r>
            <w:r w:rsidR="00081366" w:rsidRPr="0056275A">
              <w:rPr>
                <w:rFonts w:ascii="Verdana" w:hAnsi="Verdana"/>
                <w:b/>
                <w:bCs/>
                <w:sz w:val="18"/>
                <w:szCs w:val="18"/>
              </w:rPr>
              <w:t>É</w:t>
            </w:r>
            <w:r w:rsidR="00063A1F" w:rsidRPr="0056275A">
              <w:rPr>
                <w:rFonts w:ascii="Verdana" w:hAnsi="Verdana"/>
                <w:b/>
                <w:bCs/>
                <w:sz w:val="18"/>
                <w:szCs w:val="18"/>
              </w:rPr>
              <w:t>gypte</w:t>
            </w:r>
            <w:r w:rsidRPr="0056275A">
              <w:rPr>
                <w:rFonts w:ascii="Verdana" w:hAnsi="Verdana"/>
                <w:b/>
                <w:bCs/>
                <w:sz w:val="18"/>
                <w:szCs w:val="18"/>
              </w:rPr>
              <w:t>,</w:t>
            </w:r>
            <w:r w:rsidR="00E537FF" w:rsidRPr="0056275A">
              <w:rPr>
                <w:rFonts w:ascii="Verdana" w:hAnsi="Verdana"/>
                <w:b/>
                <w:bCs/>
                <w:sz w:val="18"/>
                <w:szCs w:val="18"/>
              </w:rPr>
              <w:t xml:space="preserve"> </w:t>
            </w:r>
            <w:r w:rsidRPr="0056275A">
              <w:rPr>
                <w:rFonts w:ascii="Verdana" w:hAnsi="Verdana"/>
                <w:b/>
                <w:bCs/>
                <w:sz w:val="18"/>
                <w:szCs w:val="18"/>
              </w:rPr>
              <w:t>2</w:t>
            </w:r>
            <w:r w:rsidR="00FD7AA3" w:rsidRPr="0056275A">
              <w:rPr>
                <w:rFonts w:ascii="Verdana" w:hAnsi="Verdana"/>
                <w:b/>
                <w:bCs/>
                <w:sz w:val="18"/>
                <w:szCs w:val="18"/>
              </w:rPr>
              <w:t xml:space="preserve">8 octobre </w:t>
            </w:r>
            <w:r w:rsidR="00F10064" w:rsidRPr="0056275A">
              <w:rPr>
                <w:rFonts w:ascii="Verdana" w:hAnsi="Verdana"/>
                <w:b/>
                <w:bCs/>
                <w:sz w:val="18"/>
                <w:szCs w:val="18"/>
              </w:rPr>
              <w:t>–</w:t>
            </w:r>
            <w:r w:rsidR="00FD7AA3" w:rsidRPr="0056275A">
              <w:rPr>
                <w:rFonts w:ascii="Verdana" w:hAnsi="Verdana"/>
                <w:b/>
                <w:bCs/>
                <w:sz w:val="18"/>
                <w:szCs w:val="18"/>
              </w:rPr>
              <w:t xml:space="preserve"> </w:t>
            </w:r>
            <w:r w:rsidRPr="0056275A">
              <w:rPr>
                <w:rFonts w:ascii="Verdana" w:hAnsi="Verdana"/>
                <w:b/>
                <w:bCs/>
                <w:sz w:val="18"/>
                <w:szCs w:val="18"/>
              </w:rPr>
              <w:t>2</w:t>
            </w:r>
            <w:r w:rsidR="00FD7AA3" w:rsidRPr="0056275A">
              <w:rPr>
                <w:rFonts w:ascii="Verdana" w:hAnsi="Verdana"/>
                <w:b/>
                <w:bCs/>
                <w:sz w:val="18"/>
                <w:szCs w:val="18"/>
              </w:rPr>
              <w:t>2</w:t>
            </w:r>
            <w:r w:rsidRPr="0056275A">
              <w:rPr>
                <w:rFonts w:ascii="Verdana" w:hAnsi="Verdana"/>
                <w:b/>
                <w:bCs/>
                <w:sz w:val="18"/>
                <w:szCs w:val="18"/>
              </w:rPr>
              <w:t xml:space="preserve"> novembre 201</w:t>
            </w:r>
            <w:r w:rsidR="00FD7AA3" w:rsidRPr="0056275A">
              <w:rPr>
                <w:rFonts w:ascii="Verdana" w:hAnsi="Verdana"/>
                <w:b/>
                <w:bCs/>
                <w:sz w:val="18"/>
                <w:szCs w:val="18"/>
              </w:rPr>
              <w:t>9</w:t>
            </w:r>
          </w:p>
        </w:tc>
        <w:tc>
          <w:tcPr>
            <w:tcW w:w="3120" w:type="dxa"/>
          </w:tcPr>
          <w:p w14:paraId="7AB17F13" w14:textId="77777777" w:rsidR="00BB1D82" w:rsidRPr="0056275A" w:rsidRDefault="000A55AE" w:rsidP="00F950C5">
            <w:pPr>
              <w:spacing w:before="0"/>
              <w:jc w:val="right"/>
            </w:pPr>
            <w:r w:rsidRPr="0056275A">
              <w:rPr>
                <w:rFonts w:ascii="Verdana" w:hAnsi="Verdana"/>
                <w:b/>
                <w:bCs/>
                <w:noProof/>
                <w:lang w:eastAsia="zh-CN"/>
              </w:rPr>
              <w:drawing>
                <wp:inline distT="0" distB="0" distL="0" distR="0" wp14:anchorId="3F8C31E3" wp14:editId="00629E5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6275A" w14:paraId="098BF1BD" w14:textId="77777777" w:rsidTr="0050008E">
        <w:trPr>
          <w:cantSplit/>
        </w:trPr>
        <w:tc>
          <w:tcPr>
            <w:tcW w:w="6911" w:type="dxa"/>
            <w:tcBorders>
              <w:bottom w:val="single" w:sz="12" w:space="0" w:color="auto"/>
            </w:tcBorders>
          </w:tcPr>
          <w:p w14:paraId="6D02B424" w14:textId="77777777" w:rsidR="00BB1D82" w:rsidRPr="0056275A" w:rsidRDefault="00BB1D82" w:rsidP="00F950C5">
            <w:pPr>
              <w:spacing w:before="0" w:after="48"/>
              <w:rPr>
                <w:b/>
                <w:smallCaps/>
                <w:szCs w:val="24"/>
              </w:rPr>
            </w:pPr>
          </w:p>
        </w:tc>
        <w:tc>
          <w:tcPr>
            <w:tcW w:w="3120" w:type="dxa"/>
            <w:tcBorders>
              <w:bottom w:val="single" w:sz="12" w:space="0" w:color="auto"/>
            </w:tcBorders>
          </w:tcPr>
          <w:p w14:paraId="1BC5AD09" w14:textId="77777777" w:rsidR="00BB1D82" w:rsidRPr="0056275A" w:rsidRDefault="00BB1D82" w:rsidP="00F950C5">
            <w:pPr>
              <w:spacing w:before="0"/>
              <w:rPr>
                <w:rFonts w:ascii="Verdana" w:hAnsi="Verdana"/>
                <w:szCs w:val="24"/>
              </w:rPr>
            </w:pPr>
          </w:p>
        </w:tc>
      </w:tr>
      <w:tr w:rsidR="00BB1D82" w:rsidRPr="0056275A" w14:paraId="318510C6" w14:textId="77777777" w:rsidTr="00BB1D82">
        <w:trPr>
          <w:cantSplit/>
        </w:trPr>
        <w:tc>
          <w:tcPr>
            <w:tcW w:w="6911" w:type="dxa"/>
            <w:tcBorders>
              <w:top w:val="single" w:sz="12" w:space="0" w:color="auto"/>
            </w:tcBorders>
          </w:tcPr>
          <w:p w14:paraId="58C58D5D" w14:textId="77777777" w:rsidR="00BB1D82" w:rsidRPr="0056275A" w:rsidRDefault="00BB1D82" w:rsidP="00F950C5">
            <w:pPr>
              <w:spacing w:before="0" w:after="48"/>
              <w:rPr>
                <w:rFonts w:ascii="Verdana" w:hAnsi="Verdana"/>
                <w:b/>
                <w:smallCaps/>
                <w:sz w:val="20"/>
              </w:rPr>
            </w:pPr>
          </w:p>
        </w:tc>
        <w:tc>
          <w:tcPr>
            <w:tcW w:w="3120" w:type="dxa"/>
            <w:tcBorders>
              <w:top w:val="single" w:sz="12" w:space="0" w:color="auto"/>
            </w:tcBorders>
          </w:tcPr>
          <w:p w14:paraId="2DCD2159" w14:textId="77777777" w:rsidR="00BB1D82" w:rsidRPr="0056275A" w:rsidRDefault="00BB1D82" w:rsidP="00F950C5">
            <w:pPr>
              <w:spacing w:before="0"/>
              <w:rPr>
                <w:rFonts w:ascii="Verdana" w:hAnsi="Verdana"/>
                <w:sz w:val="20"/>
              </w:rPr>
            </w:pPr>
          </w:p>
        </w:tc>
      </w:tr>
      <w:tr w:rsidR="00BB1D82" w:rsidRPr="0056275A" w14:paraId="425AC09C" w14:textId="77777777" w:rsidTr="00BB1D82">
        <w:trPr>
          <w:cantSplit/>
        </w:trPr>
        <w:tc>
          <w:tcPr>
            <w:tcW w:w="6911" w:type="dxa"/>
          </w:tcPr>
          <w:p w14:paraId="58E153AB" w14:textId="77777777" w:rsidR="00BB1D82" w:rsidRPr="0056275A" w:rsidRDefault="006D4724" w:rsidP="00F950C5">
            <w:pPr>
              <w:spacing w:before="0"/>
              <w:rPr>
                <w:rFonts w:ascii="Verdana" w:hAnsi="Verdana"/>
                <w:b/>
                <w:sz w:val="20"/>
              </w:rPr>
            </w:pPr>
            <w:r w:rsidRPr="0056275A">
              <w:rPr>
                <w:rFonts w:ascii="Verdana" w:hAnsi="Verdana"/>
                <w:b/>
                <w:sz w:val="20"/>
              </w:rPr>
              <w:t>SÉANCE PLÉNIÈRE</w:t>
            </w:r>
          </w:p>
        </w:tc>
        <w:tc>
          <w:tcPr>
            <w:tcW w:w="3120" w:type="dxa"/>
          </w:tcPr>
          <w:p w14:paraId="5753BBDC" w14:textId="77777777" w:rsidR="00BB1D82" w:rsidRPr="0056275A" w:rsidRDefault="006D4724" w:rsidP="00F950C5">
            <w:pPr>
              <w:spacing w:before="0"/>
              <w:rPr>
                <w:rFonts w:ascii="Verdana" w:hAnsi="Verdana"/>
                <w:sz w:val="20"/>
              </w:rPr>
            </w:pPr>
            <w:r w:rsidRPr="0056275A">
              <w:rPr>
                <w:rFonts w:ascii="Verdana" w:hAnsi="Verdana"/>
                <w:b/>
                <w:sz w:val="20"/>
              </w:rPr>
              <w:t>Addendum 2 au</w:t>
            </w:r>
            <w:r w:rsidRPr="0056275A">
              <w:rPr>
                <w:rFonts w:ascii="Verdana" w:hAnsi="Verdana"/>
                <w:b/>
                <w:sz w:val="20"/>
              </w:rPr>
              <w:br/>
              <w:t>Document 28(Add.21)</w:t>
            </w:r>
            <w:r w:rsidR="00BB1D82" w:rsidRPr="0056275A">
              <w:rPr>
                <w:rFonts w:ascii="Verdana" w:hAnsi="Verdana"/>
                <w:b/>
                <w:sz w:val="20"/>
              </w:rPr>
              <w:t>-</w:t>
            </w:r>
            <w:r w:rsidRPr="0056275A">
              <w:rPr>
                <w:rFonts w:ascii="Verdana" w:hAnsi="Verdana"/>
                <w:b/>
                <w:sz w:val="20"/>
              </w:rPr>
              <w:t>F</w:t>
            </w:r>
          </w:p>
        </w:tc>
      </w:tr>
      <w:tr w:rsidR="00690C7B" w:rsidRPr="0056275A" w14:paraId="06ABB702" w14:textId="77777777" w:rsidTr="00BB1D82">
        <w:trPr>
          <w:cantSplit/>
        </w:trPr>
        <w:tc>
          <w:tcPr>
            <w:tcW w:w="6911" w:type="dxa"/>
          </w:tcPr>
          <w:p w14:paraId="2E9C0AC6" w14:textId="77777777" w:rsidR="00690C7B" w:rsidRPr="0056275A" w:rsidRDefault="00690C7B" w:rsidP="00F950C5">
            <w:pPr>
              <w:spacing w:before="0"/>
              <w:rPr>
                <w:rFonts w:ascii="Verdana" w:hAnsi="Verdana"/>
                <w:b/>
                <w:sz w:val="20"/>
              </w:rPr>
            </w:pPr>
          </w:p>
        </w:tc>
        <w:tc>
          <w:tcPr>
            <w:tcW w:w="3120" w:type="dxa"/>
          </w:tcPr>
          <w:p w14:paraId="33560933" w14:textId="77777777" w:rsidR="00690C7B" w:rsidRPr="0056275A" w:rsidRDefault="00690C7B" w:rsidP="00F950C5">
            <w:pPr>
              <w:spacing w:before="0"/>
              <w:rPr>
                <w:rFonts w:ascii="Verdana" w:hAnsi="Verdana"/>
                <w:b/>
                <w:sz w:val="20"/>
              </w:rPr>
            </w:pPr>
            <w:r w:rsidRPr="0056275A">
              <w:rPr>
                <w:rFonts w:ascii="Verdana" w:hAnsi="Verdana"/>
                <w:b/>
                <w:sz w:val="20"/>
              </w:rPr>
              <w:t>27 septembre 2019</w:t>
            </w:r>
          </w:p>
        </w:tc>
      </w:tr>
      <w:tr w:rsidR="00690C7B" w:rsidRPr="0056275A" w14:paraId="7673CAFA" w14:textId="77777777" w:rsidTr="00BB1D82">
        <w:trPr>
          <w:cantSplit/>
        </w:trPr>
        <w:tc>
          <w:tcPr>
            <w:tcW w:w="6911" w:type="dxa"/>
          </w:tcPr>
          <w:p w14:paraId="0498742A" w14:textId="77777777" w:rsidR="00690C7B" w:rsidRPr="0056275A" w:rsidRDefault="00690C7B" w:rsidP="00F950C5">
            <w:pPr>
              <w:spacing w:before="0" w:after="48"/>
              <w:rPr>
                <w:rFonts w:ascii="Verdana" w:hAnsi="Verdana"/>
                <w:b/>
                <w:smallCaps/>
                <w:sz w:val="20"/>
              </w:rPr>
            </w:pPr>
          </w:p>
        </w:tc>
        <w:tc>
          <w:tcPr>
            <w:tcW w:w="3120" w:type="dxa"/>
          </w:tcPr>
          <w:p w14:paraId="67AD17B8" w14:textId="77777777" w:rsidR="00690C7B" w:rsidRPr="0056275A" w:rsidRDefault="00690C7B" w:rsidP="00F950C5">
            <w:pPr>
              <w:spacing w:before="0"/>
              <w:rPr>
                <w:rFonts w:ascii="Verdana" w:hAnsi="Verdana"/>
                <w:b/>
                <w:sz w:val="20"/>
              </w:rPr>
            </w:pPr>
            <w:r w:rsidRPr="0056275A">
              <w:rPr>
                <w:rFonts w:ascii="Verdana" w:hAnsi="Verdana"/>
                <w:b/>
                <w:sz w:val="20"/>
              </w:rPr>
              <w:t>Original: chinois</w:t>
            </w:r>
          </w:p>
        </w:tc>
      </w:tr>
      <w:tr w:rsidR="00690C7B" w:rsidRPr="0056275A" w14:paraId="2BD3BB9E" w14:textId="77777777" w:rsidTr="00C11970">
        <w:trPr>
          <w:cantSplit/>
        </w:trPr>
        <w:tc>
          <w:tcPr>
            <w:tcW w:w="10031" w:type="dxa"/>
            <w:gridSpan w:val="2"/>
          </w:tcPr>
          <w:p w14:paraId="533ED08E" w14:textId="77777777" w:rsidR="00690C7B" w:rsidRPr="0056275A" w:rsidRDefault="00690C7B" w:rsidP="00F950C5">
            <w:pPr>
              <w:spacing w:before="0"/>
              <w:rPr>
                <w:rFonts w:ascii="Verdana" w:hAnsi="Verdana"/>
                <w:b/>
                <w:sz w:val="20"/>
              </w:rPr>
            </w:pPr>
          </w:p>
        </w:tc>
      </w:tr>
      <w:tr w:rsidR="00690C7B" w:rsidRPr="0056275A" w14:paraId="1FC39597" w14:textId="77777777" w:rsidTr="0050008E">
        <w:trPr>
          <w:cantSplit/>
        </w:trPr>
        <w:tc>
          <w:tcPr>
            <w:tcW w:w="10031" w:type="dxa"/>
            <w:gridSpan w:val="2"/>
          </w:tcPr>
          <w:p w14:paraId="74D162AE" w14:textId="77777777" w:rsidR="00690C7B" w:rsidRPr="0056275A" w:rsidRDefault="00690C7B" w:rsidP="00F950C5">
            <w:pPr>
              <w:pStyle w:val="Source"/>
            </w:pPr>
            <w:bookmarkStart w:id="0" w:name="dsource" w:colFirst="0" w:colLast="0"/>
            <w:r w:rsidRPr="0056275A">
              <w:t>Chine (République populaire de)</w:t>
            </w:r>
          </w:p>
        </w:tc>
      </w:tr>
      <w:tr w:rsidR="00690C7B" w:rsidRPr="0056275A" w14:paraId="36204DBE" w14:textId="77777777" w:rsidTr="0050008E">
        <w:trPr>
          <w:cantSplit/>
        </w:trPr>
        <w:tc>
          <w:tcPr>
            <w:tcW w:w="10031" w:type="dxa"/>
            <w:gridSpan w:val="2"/>
          </w:tcPr>
          <w:p w14:paraId="2D4E7662" w14:textId="77777777" w:rsidR="00690C7B" w:rsidRPr="0056275A" w:rsidRDefault="00690C7B" w:rsidP="00F950C5">
            <w:pPr>
              <w:pStyle w:val="Title1"/>
            </w:pPr>
            <w:bookmarkStart w:id="1" w:name="dtitle1" w:colFirst="0" w:colLast="0"/>
            <w:bookmarkEnd w:id="0"/>
            <w:r w:rsidRPr="0056275A">
              <w:t>Propositions pour les travaux de la conférence</w:t>
            </w:r>
          </w:p>
        </w:tc>
      </w:tr>
      <w:tr w:rsidR="00690C7B" w:rsidRPr="0056275A" w14:paraId="639B5119" w14:textId="77777777" w:rsidTr="0050008E">
        <w:trPr>
          <w:cantSplit/>
        </w:trPr>
        <w:tc>
          <w:tcPr>
            <w:tcW w:w="10031" w:type="dxa"/>
            <w:gridSpan w:val="2"/>
          </w:tcPr>
          <w:p w14:paraId="10533816" w14:textId="0FF8EE67" w:rsidR="00690C7B" w:rsidRPr="0056275A" w:rsidRDefault="00572769" w:rsidP="00F950C5">
            <w:pPr>
              <w:pStyle w:val="Title2"/>
            </w:pPr>
            <w:bookmarkStart w:id="2" w:name="dtitle2" w:colFirst="0" w:colLast="0"/>
            <w:bookmarkEnd w:id="1"/>
            <w:r w:rsidRPr="0056275A">
              <w:t xml:space="preserve">points de vue et propositions concernant </w:t>
            </w:r>
            <w:r w:rsidRPr="0056275A">
              <w:br/>
              <w:t xml:space="preserve">la question 9.1.2 </w:t>
            </w:r>
            <w:r w:rsidR="0096651F" w:rsidRPr="0056275A">
              <w:t>(</w:t>
            </w:r>
            <w:r w:rsidRPr="0056275A">
              <w:t>cmr-19</w:t>
            </w:r>
            <w:r w:rsidR="0096651F" w:rsidRPr="0056275A">
              <w:t>)</w:t>
            </w:r>
          </w:p>
        </w:tc>
      </w:tr>
      <w:tr w:rsidR="00690C7B" w:rsidRPr="0056275A" w14:paraId="3786A963" w14:textId="77777777" w:rsidTr="0050008E">
        <w:trPr>
          <w:cantSplit/>
        </w:trPr>
        <w:tc>
          <w:tcPr>
            <w:tcW w:w="10031" w:type="dxa"/>
            <w:gridSpan w:val="2"/>
          </w:tcPr>
          <w:p w14:paraId="58831342" w14:textId="77777777" w:rsidR="00690C7B" w:rsidRPr="0056275A" w:rsidRDefault="00690C7B" w:rsidP="00F950C5">
            <w:pPr>
              <w:pStyle w:val="Agendaitem"/>
              <w:rPr>
                <w:lang w:val="fr-FR"/>
              </w:rPr>
            </w:pPr>
            <w:bookmarkStart w:id="3" w:name="dtitle3" w:colFirst="0" w:colLast="0"/>
            <w:bookmarkEnd w:id="2"/>
            <w:r w:rsidRPr="0056275A">
              <w:rPr>
                <w:lang w:val="fr-FR"/>
              </w:rPr>
              <w:t>Point 9.1(9.1.2) de l'ordre du jour</w:t>
            </w:r>
          </w:p>
        </w:tc>
      </w:tr>
    </w:tbl>
    <w:bookmarkEnd w:id="3"/>
    <w:p w14:paraId="441D0FB5" w14:textId="77777777" w:rsidR="001C0E40" w:rsidRPr="0056275A" w:rsidRDefault="008C078D" w:rsidP="006B1082">
      <w:pPr>
        <w:pStyle w:val="Normalaftertitle"/>
      </w:pPr>
      <w:r w:rsidRPr="0056275A">
        <w:t>9</w:t>
      </w:r>
      <w:r w:rsidRPr="0056275A">
        <w:tab/>
        <w:t>examiner et approuver le rapport du Directeur du Bureau des radiocommunications, conformément à l'article 7 de la Convention:</w:t>
      </w:r>
    </w:p>
    <w:p w14:paraId="29F07D4E" w14:textId="77777777" w:rsidR="001C0E40" w:rsidRPr="0056275A" w:rsidRDefault="008C078D" w:rsidP="00F950C5">
      <w:r w:rsidRPr="0056275A">
        <w:t>9.1</w:t>
      </w:r>
      <w:r w:rsidRPr="0056275A">
        <w:tab/>
        <w:t>sur les activités du Secteur des radiocommunications depuis la CMR</w:t>
      </w:r>
      <w:r w:rsidRPr="0056275A">
        <w:noBreakHyphen/>
        <w:t>15;</w:t>
      </w:r>
    </w:p>
    <w:p w14:paraId="0A03D80E" w14:textId="77777777" w:rsidR="001C0E40" w:rsidRPr="0056275A" w:rsidRDefault="008C078D" w:rsidP="00F950C5">
      <w:r w:rsidRPr="0056275A">
        <w:rPr>
          <w:rFonts w:cstheme="majorBidi"/>
          <w:color w:val="000000"/>
          <w:szCs w:val="24"/>
          <w:lang w:eastAsia="zh-CN"/>
        </w:rPr>
        <w:t>9.1 (</w:t>
      </w:r>
      <w:r w:rsidRPr="0056275A">
        <w:rPr>
          <w:lang w:eastAsia="zh-CN"/>
        </w:rPr>
        <w:t>9.1.2)</w:t>
      </w:r>
      <w:r w:rsidRPr="0056275A">
        <w:tab/>
      </w:r>
      <w:hyperlink w:anchor="RES_761" w:history="1">
        <w:r w:rsidRPr="0056275A">
          <w:t>Résolution </w:t>
        </w:r>
        <w:r w:rsidRPr="0056275A">
          <w:rPr>
            <w:b/>
            <w:bCs/>
          </w:rPr>
          <w:t>761 (CMR</w:t>
        </w:r>
        <w:r w:rsidRPr="0056275A">
          <w:rPr>
            <w:b/>
            <w:bCs/>
          </w:rPr>
          <w:noBreakHyphen/>
          <w:t>15)</w:t>
        </w:r>
      </w:hyperlink>
      <w:r w:rsidRPr="0056275A">
        <w:t xml:space="preserve"> – Compatibilité entre les Télécommunications mobiles internationales et le service de radiodiffusion par satellite (sonore) dans la bande de fréquences 1 452-1 492 MHz dans les Régions 1 et 3</w:t>
      </w:r>
    </w:p>
    <w:p w14:paraId="508445D6" w14:textId="7607F989" w:rsidR="003A583E" w:rsidRPr="0056275A" w:rsidRDefault="00242CEF" w:rsidP="00F950C5">
      <w:pPr>
        <w:pStyle w:val="Headingb"/>
      </w:pPr>
      <w:r w:rsidRPr="0056275A">
        <w:t>Introduction</w:t>
      </w:r>
    </w:p>
    <w:p w14:paraId="5B9ABD0B" w14:textId="1B45201F" w:rsidR="00242CEF" w:rsidRPr="0056275A" w:rsidRDefault="00242CEF" w:rsidP="00F950C5">
      <w:pPr>
        <w:spacing w:after="120"/>
        <w:rPr>
          <w:lang w:eastAsia="ja-JP"/>
        </w:rPr>
      </w:pPr>
      <w:r w:rsidRPr="0056275A">
        <w:rPr>
          <w:lang w:eastAsia="zh-CN"/>
        </w:rPr>
        <w:t xml:space="preserve">Conformément à la Résolution </w:t>
      </w:r>
      <w:r w:rsidRPr="0056275A">
        <w:rPr>
          <w:b/>
          <w:lang w:eastAsia="zh-CN"/>
        </w:rPr>
        <w:t>761 (CMR-15)</w:t>
      </w:r>
      <w:r w:rsidRPr="0056275A">
        <w:rPr>
          <w:lang w:eastAsia="zh-CN"/>
        </w:rPr>
        <w:t>, l'UIT</w:t>
      </w:r>
      <w:r w:rsidRPr="0056275A">
        <w:rPr>
          <w:lang w:eastAsia="zh-CN"/>
        </w:rPr>
        <w:noBreakHyphen/>
        <w:t xml:space="preserve">R a procédé aux études réglementaires et techniques </w:t>
      </w:r>
      <w:r w:rsidR="00811110" w:rsidRPr="0056275A">
        <w:rPr>
          <w:lang w:eastAsia="zh-CN"/>
        </w:rPr>
        <w:t xml:space="preserve">sur la compatibilité </w:t>
      </w:r>
      <w:r w:rsidRPr="0056275A">
        <w:rPr>
          <w:lang w:eastAsia="zh-CN"/>
        </w:rPr>
        <w:t>entre les Télécommunications mobiles internationales (IMT) et le service de radiodiffusion (sonore) par satellite (SRS (sonore)) dans</w:t>
      </w:r>
      <w:r w:rsidR="00260B70" w:rsidRPr="0056275A">
        <w:rPr>
          <w:lang w:eastAsia="zh-CN"/>
        </w:rPr>
        <w:t xml:space="preserve"> la bande de fréquences 1 452</w:t>
      </w:r>
      <w:r w:rsidR="00F950C5" w:rsidRPr="0056275A">
        <w:rPr>
          <w:lang w:eastAsia="zh-CN"/>
        </w:rPr>
        <w:noBreakHyphen/>
      </w:r>
      <w:r w:rsidR="00260B70" w:rsidRPr="0056275A">
        <w:rPr>
          <w:lang w:eastAsia="zh-CN"/>
        </w:rPr>
        <w:t>1 492 </w:t>
      </w:r>
      <w:r w:rsidRPr="0056275A">
        <w:rPr>
          <w:lang w:eastAsia="zh-CN"/>
        </w:rPr>
        <w:t>MHz dans les Régions 1 et 3, compte tenu des besoins opérationnels des IMT et du SRS (sonore).</w:t>
      </w:r>
    </w:p>
    <w:p w14:paraId="7F8CE784" w14:textId="504E9337" w:rsidR="00242CEF" w:rsidRPr="0056275A" w:rsidRDefault="00242CEF" w:rsidP="00F950C5">
      <w:pPr>
        <w:rPr>
          <w:lang w:eastAsia="zh-CN"/>
        </w:rPr>
      </w:pPr>
      <w:r w:rsidRPr="0056275A">
        <w:rPr>
          <w:lang w:eastAsia="zh-CN"/>
        </w:rPr>
        <w:t xml:space="preserve">Les études ont été menées en application du </w:t>
      </w:r>
      <w:r w:rsidRPr="0056275A">
        <w:rPr>
          <w:i/>
          <w:lang w:eastAsia="ja-JP"/>
        </w:rPr>
        <w:t>décide d'inviter l'UIT-R</w:t>
      </w:r>
      <w:r w:rsidRPr="0056275A">
        <w:rPr>
          <w:lang w:eastAsia="ja-JP"/>
        </w:rPr>
        <w:t xml:space="preserve"> de la Résolution </w:t>
      </w:r>
      <w:r w:rsidRPr="0056275A">
        <w:rPr>
          <w:b/>
          <w:lang w:eastAsia="ja-JP"/>
        </w:rPr>
        <w:t>761</w:t>
      </w:r>
      <w:r w:rsidR="00F950C5" w:rsidRPr="0056275A">
        <w:rPr>
          <w:b/>
          <w:lang w:eastAsia="ja-JP"/>
        </w:rPr>
        <w:t> </w:t>
      </w:r>
      <w:r w:rsidRPr="0056275A">
        <w:rPr>
          <w:b/>
          <w:lang w:eastAsia="ja-JP"/>
        </w:rPr>
        <w:t>(CMR</w:t>
      </w:r>
      <w:r w:rsidRPr="0056275A">
        <w:rPr>
          <w:b/>
          <w:lang w:eastAsia="ja-JP"/>
        </w:rPr>
        <w:noBreakHyphen/>
        <w:t xml:space="preserve">15) </w:t>
      </w:r>
      <w:r w:rsidRPr="0056275A">
        <w:rPr>
          <w:lang w:eastAsia="zh-CN"/>
        </w:rPr>
        <w:t>afin de permettre à la CMR-19 de se prononcer sur la question, selon</w:t>
      </w:r>
      <w:r w:rsidR="006B1082">
        <w:rPr>
          <w:lang w:eastAsia="zh-CN"/>
        </w:rPr>
        <w:t> </w:t>
      </w:r>
      <w:r w:rsidRPr="0056275A">
        <w:rPr>
          <w:lang w:eastAsia="zh-CN"/>
        </w:rPr>
        <w:t>qu'il conviendra.</w:t>
      </w:r>
    </w:p>
    <w:p w14:paraId="461421B1" w14:textId="2F100102" w:rsidR="00242CEF" w:rsidRPr="0056275A" w:rsidRDefault="00242CEF" w:rsidP="00F950C5">
      <w:r w:rsidRPr="0056275A">
        <w:t>La bande de fréquences 1 452</w:t>
      </w:r>
      <w:r w:rsidR="00260B70" w:rsidRPr="0056275A">
        <w:t>-1 492 </w:t>
      </w:r>
      <w:r w:rsidRPr="0056275A">
        <w:t>MHz est attribuée au service fixe (SF), au service mobile (SM), au service de radiodiffusion (SR) et au service de radiodiffusion par satellite (SRS). Sur la base des résultats de la CMR</w:t>
      </w:r>
      <w:r w:rsidRPr="0056275A">
        <w:noBreakHyphen/>
        <w:t xml:space="preserve">15, la </w:t>
      </w:r>
      <w:r w:rsidR="00260B70" w:rsidRPr="0056275A">
        <w:t>bande de fréquences 1 452-1 492 </w:t>
      </w:r>
      <w:r w:rsidRPr="0056275A">
        <w:t xml:space="preserve">MHz est identifiée pour être utilisée </w:t>
      </w:r>
      <w:r w:rsidR="002B6EE2" w:rsidRPr="0056275A">
        <w:t xml:space="preserve">par des administrations </w:t>
      </w:r>
      <w:r w:rsidRPr="0056275A">
        <w:t xml:space="preserve">des Régions 1 et 3 souhaitant mettre en </w:t>
      </w:r>
      <w:r w:rsidR="00572769" w:rsidRPr="0056275A">
        <w:t>œuvre</w:t>
      </w:r>
      <w:r w:rsidRPr="0056275A">
        <w:t xml:space="preserve"> les IMT conformément à la Résolution </w:t>
      </w:r>
      <w:r w:rsidRPr="0056275A">
        <w:rPr>
          <w:b/>
        </w:rPr>
        <w:t>223 (Rév.CMR-15)</w:t>
      </w:r>
      <w:r w:rsidRPr="0056275A">
        <w:t xml:space="preserve"> et à la Résolution </w:t>
      </w:r>
      <w:r w:rsidRPr="0056275A">
        <w:rPr>
          <w:b/>
        </w:rPr>
        <w:t xml:space="preserve">761 (CMR-15) </w:t>
      </w:r>
      <w:r w:rsidRPr="0056275A">
        <w:t xml:space="preserve">(voir les numéros </w:t>
      </w:r>
      <w:r w:rsidRPr="0056275A">
        <w:rPr>
          <w:b/>
        </w:rPr>
        <w:t>5.346</w:t>
      </w:r>
      <w:r w:rsidRPr="0056275A">
        <w:rPr>
          <w:bCs/>
        </w:rPr>
        <w:t xml:space="preserve"> </w:t>
      </w:r>
      <w:r w:rsidRPr="0056275A">
        <w:t xml:space="preserve">et </w:t>
      </w:r>
      <w:r w:rsidRPr="0056275A">
        <w:rPr>
          <w:b/>
        </w:rPr>
        <w:t xml:space="preserve">5.346A </w:t>
      </w:r>
      <w:r w:rsidRPr="0056275A">
        <w:rPr>
          <w:bCs/>
        </w:rPr>
        <w:t xml:space="preserve">du </w:t>
      </w:r>
      <w:r w:rsidR="002B6EE2" w:rsidRPr="0056275A">
        <w:rPr>
          <w:bCs/>
        </w:rPr>
        <w:t>Règlement des radiocommunications (</w:t>
      </w:r>
      <w:r w:rsidRPr="0056275A">
        <w:rPr>
          <w:bCs/>
        </w:rPr>
        <w:t>RR</w:t>
      </w:r>
      <w:r w:rsidR="002B6EE2" w:rsidRPr="0056275A">
        <w:rPr>
          <w:bCs/>
        </w:rPr>
        <w:t>)</w:t>
      </w:r>
      <w:r w:rsidRPr="0056275A">
        <w:t xml:space="preserve">). Conformément à la Résolution </w:t>
      </w:r>
      <w:r w:rsidRPr="0056275A">
        <w:rPr>
          <w:b/>
        </w:rPr>
        <w:t>528 (Rév.CMR-15)</w:t>
      </w:r>
      <w:r w:rsidRPr="0056275A">
        <w:rPr>
          <w:bCs/>
        </w:rPr>
        <w:t>,</w:t>
      </w:r>
      <w:r w:rsidRPr="0056275A">
        <w:t xml:space="preserve"> pendant la période intérimaire, des systèmes de radiodiffusion par satellite ne pourront être mis en </w:t>
      </w:r>
      <w:r w:rsidR="002B6EE2" w:rsidRPr="0056275A">
        <w:t>œuvre</w:t>
      </w:r>
      <w:r w:rsidRPr="0056275A">
        <w:t xml:space="preserve"> que dans les 25 MHz supérieurs de cette bande de fréquences conformément aux procédures des Sections A à C de la Résolution </w:t>
      </w:r>
      <w:r w:rsidRPr="0056275A">
        <w:rPr>
          <w:b/>
          <w:bCs/>
        </w:rPr>
        <w:t>33 (Rév.CMR-15)</w:t>
      </w:r>
      <w:r w:rsidRPr="0056275A">
        <w:t xml:space="preserve"> ou des Articles </w:t>
      </w:r>
      <w:r w:rsidRPr="0056275A">
        <w:rPr>
          <w:b/>
        </w:rPr>
        <w:t>9</w:t>
      </w:r>
      <w:r w:rsidRPr="0056275A">
        <w:t xml:space="preserve"> à </w:t>
      </w:r>
      <w:r w:rsidRPr="0056275A">
        <w:rPr>
          <w:b/>
        </w:rPr>
        <w:t>14</w:t>
      </w:r>
      <w:r w:rsidR="002B6EE2" w:rsidRPr="0056275A">
        <w:rPr>
          <w:bCs/>
        </w:rPr>
        <w:t xml:space="preserve"> du RR</w:t>
      </w:r>
      <w:r w:rsidRPr="0056275A">
        <w:t xml:space="preserve">, selon le cas (voir les points 1 et 2 du </w:t>
      </w:r>
      <w:r w:rsidRPr="0056275A">
        <w:rPr>
          <w:i/>
          <w:iCs/>
        </w:rPr>
        <w:t xml:space="preserve">décide </w:t>
      </w:r>
      <w:r w:rsidRPr="0056275A">
        <w:t>de la Résolution </w:t>
      </w:r>
      <w:r w:rsidRPr="0056275A">
        <w:rPr>
          <w:b/>
          <w:bCs/>
        </w:rPr>
        <w:t>33</w:t>
      </w:r>
      <w:r w:rsidR="00F950C5" w:rsidRPr="0056275A">
        <w:t> </w:t>
      </w:r>
      <w:r w:rsidRPr="0056275A">
        <w:rPr>
          <w:b/>
          <w:bCs/>
        </w:rPr>
        <w:t>(Rév.CMR</w:t>
      </w:r>
      <w:r w:rsidRPr="0056275A">
        <w:rPr>
          <w:b/>
          <w:bCs/>
        </w:rPr>
        <w:noBreakHyphen/>
        <w:t>15)</w:t>
      </w:r>
      <w:r w:rsidRPr="0056275A">
        <w:t xml:space="preserve">). Le service de Terre complémentaire peut être mis en </w:t>
      </w:r>
      <w:r w:rsidR="002B6EE2" w:rsidRPr="0056275A">
        <w:t>œuvre</w:t>
      </w:r>
      <w:r w:rsidRPr="0056275A">
        <w:t xml:space="preserve"> </w:t>
      </w:r>
      <w:r w:rsidRPr="0056275A">
        <w:lastRenderedPageBreak/>
        <w:t>pendant cette période intérimaire, sous réserve d'une coordination avec les administrations dont les services risquent d'être affectés.</w:t>
      </w:r>
    </w:p>
    <w:p w14:paraId="43414FE4" w14:textId="64FD321B" w:rsidR="00242CEF" w:rsidRPr="0056275A" w:rsidRDefault="00242CEF" w:rsidP="00F950C5">
      <w:r w:rsidRPr="0056275A">
        <w:t xml:space="preserve">Actuellement, les procédures de coordination prévues aux numéros </w:t>
      </w:r>
      <w:r w:rsidRPr="0056275A">
        <w:rPr>
          <w:b/>
          <w:bCs/>
        </w:rPr>
        <w:t>9.11</w:t>
      </w:r>
      <w:r w:rsidRPr="0056275A">
        <w:t xml:space="preserve"> et </w:t>
      </w:r>
      <w:r w:rsidRPr="0056275A">
        <w:rPr>
          <w:b/>
          <w:bCs/>
        </w:rPr>
        <w:t>9.19</w:t>
      </w:r>
      <w:r w:rsidRPr="0056275A">
        <w:t xml:space="preserve"> du RR sont appliquées afin de satisfaire les conditions de partage et de compatibilité requises entre le SRS et les services de Terre.</w:t>
      </w:r>
    </w:p>
    <w:p w14:paraId="6078326A" w14:textId="1041082D" w:rsidR="00242CEF" w:rsidRPr="0056275A" w:rsidRDefault="002B6EE2" w:rsidP="00F950C5">
      <w:r w:rsidRPr="0056275A">
        <w:t>Au titre de la Question 9.1.2 du point 9.1 de l'ordre du jour de la CMR-19, les Groupes de travail</w:t>
      </w:r>
      <w:r w:rsidR="006B1082">
        <w:t> </w:t>
      </w:r>
      <w:r w:rsidRPr="0056275A">
        <w:t>4A et 5D sont responsables respectivement des études concernant le SRS (sonore) et les</w:t>
      </w:r>
      <w:r w:rsidR="006B1082">
        <w:t> </w:t>
      </w:r>
      <w:r w:rsidRPr="0056275A">
        <w:t>IMT</w:t>
      </w:r>
      <w:r w:rsidR="00242CEF" w:rsidRPr="0056275A">
        <w:t xml:space="preserve">. </w:t>
      </w:r>
      <w:r w:rsidRPr="0056275A">
        <w:t>Le Rapport de la Réunion de préparation à la Conférence (RPC)</w:t>
      </w:r>
      <w:r w:rsidR="00242CEF" w:rsidRPr="0056275A">
        <w:t xml:space="preserve"> a été établi et approuvé par la </w:t>
      </w:r>
      <w:r w:rsidRPr="0056275A">
        <w:t>RPC</w:t>
      </w:r>
      <w:r w:rsidR="00242CEF" w:rsidRPr="0056275A">
        <w:t xml:space="preserve"> à sa seconde session, tenue à Genève du 18 au 28 février 2019.</w:t>
      </w:r>
    </w:p>
    <w:p w14:paraId="024C7816" w14:textId="363FDB4B" w:rsidR="00242CEF" w:rsidRDefault="00D24D8E" w:rsidP="00F950C5">
      <w:r w:rsidRPr="0056275A">
        <w:t>Étant donné</w:t>
      </w:r>
      <w:r w:rsidR="00E17B53" w:rsidRPr="0056275A">
        <w:t xml:space="preserve"> que les </w:t>
      </w:r>
      <w:r w:rsidRPr="0056275A">
        <w:t xml:space="preserve">dispositions </w:t>
      </w:r>
      <w:r w:rsidR="009F0688" w:rsidRPr="0056275A">
        <w:t xml:space="preserve">du RR </w:t>
      </w:r>
      <w:r w:rsidRPr="0056275A">
        <w:t xml:space="preserve">et </w:t>
      </w:r>
      <w:r w:rsidR="00811110" w:rsidRPr="0056275A">
        <w:t xml:space="preserve">les </w:t>
      </w:r>
      <w:r w:rsidRPr="0056275A">
        <w:t>conditions technique</w:t>
      </w:r>
      <w:r w:rsidR="007D1AFF" w:rsidRPr="0056275A">
        <w:t>s</w:t>
      </w:r>
      <w:r w:rsidRPr="0056275A">
        <w:t xml:space="preserve"> actuelles pourraient </w:t>
      </w:r>
      <w:r w:rsidR="00811110" w:rsidRPr="0056275A">
        <w:t>suffire pour assurer</w:t>
      </w:r>
      <w:r w:rsidRPr="0056275A">
        <w:t xml:space="preserve"> la compatibilité entre les IMT et le </w:t>
      </w:r>
      <w:r w:rsidR="009F0688" w:rsidRPr="0056275A">
        <w:t>SRS</w:t>
      </w:r>
      <w:r w:rsidRPr="0056275A">
        <w:t xml:space="preserve"> </w:t>
      </w:r>
      <w:r w:rsidR="009F0688" w:rsidRPr="0056275A">
        <w:t xml:space="preserve">(sonore) </w:t>
      </w:r>
      <w:r w:rsidRPr="0056275A">
        <w:t>dans la bande de fréquences</w:t>
      </w:r>
      <w:r w:rsidR="00242CEF" w:rsidRPr="0056275A">
        <w:t xml:space="preserve"> </w:t>
      </w:r>
      <w:r w:rsidR="00260B70" w:rsidRPr="0056275A">
        <w:t>1</w:t>
      </w:r>
      <w:r w:rsidR="00F950C5" w:rsidRPr="0056275A">
        <w:t> </w:t>
      </w:r>
      <w:r w:rsidR="00260B70" w:rsidRPr="0056275A">
        <w:t>452</w:t>
      </w:r>
      <w:r w:rsidR="00F950C5" w:rsidRPr="0056275A">
        <w:noBreakHyphen/>
      </w:r>
      <w:r w:rsidR="00260B70" w:rsidRPr="0056275A">
        <w:t>1 492 </w:t>
      </w:r>
      <w:r w:rsidR="00242CEF" w:rsidRPr="0056275A">
        <w:t xml:space="preserve">MHz </w:t>
      </w:r>
      <w:r w:rsidRPr="0056275A">
        <w:t>dans les</w:t>
      </w:r>
      <w:r w:rsidR="00242CEF" w:rsidRPr="0056275A">
        <w:t xml:space="preserve"> </w:t>
      </w:r>
      <w:r w:rsidRPr="0056275A">
        <w:t>Régions</w:t>
      </w:r>
      <w:r w:rsidR="00242CEF" w:rsidRPr="0056275A">
        <w:t xml:space="preserve"> 1 </w:t>
      </w:r>
      <w:r w:rsidRPr="0056275A">
        <w:t>et</w:t>
      </w:r>
      <w:r w:rsidR="00242CEF" w:rsidRPr="0056275A">
        <w:t xml:space="preserve"> 3, </w:t>
      </w:r>
      <w:r w:rsidRPr="0056275A">
        <w:t xml:space="preserve">la </w:t>
      </w:r>
      <w:r w:rsidR="00242CEF" w:rsidRPr="0056275A">
        <w:t>Chin</w:t>
      </w:r>
      <w:r w:rsidRPr="0056275A">
        <w:t>e</w:t>
      </w:r>
      <w:r w:rsidR="00242CEF" w:rsidRPr="0056275A">
        <w:t xml:space="preserve"> </w:t>
      </w:r>
      <w:r w:rsidRPr="0056275A">
        <w:t xml:space="preserve">appuie </w:t>
      </w:r>
      <w:r w:rsidR="00484F3D" w:rsidRPr="0056275A">
        <w:t>la mesure possible</w:t>
      </w:r>
      <w:r w:rsidR="00242CEF" w:rsidRPr="0056275A">
        <w:t xml:space="preserve"> 1 (NOC) </w:t>
      </w:r>
      <w:r w:rsidRPr="0056275A">
        <w:t>présentée dans le Rapport de la RPC</w:t>
      </w:r>
      <w:r w:rsidR="00242CEF" w:rsidRPr="0056275A">
        <w:t>.</w:t>
      </w:r>
    </w:p>
    <w:p w14:paraId="4ACCA75C" w14:textId="77777777" w:rsidR="006B1082" w:rsidRPr="0056275A" w:rsidRDefault="006B1082" w:rsidP="00F950C5"/>
    <w:p w14:paraId="7D77F7C8" w14:textId="60E0378F" w:rsidR="0015203F" w:rsidRDefault="0015203F" w:rsidP="00F950C5">
      <w:pPr>
        <w:tabs>
          <w:tab w:val="clear" w:pos="1134"/>
          <w:tab w:val="clear" w:pos="1871"/>
          <w:tab w:val="clear" w:pos="2268"/>
        </w:tabs>
        <w:overflowPunct/>
        <w:autoSpaceDE/>
        <w:autoSpaceDN/>
        <w:adjustRightInd/>
        <w:spacing w:before="0"/>
        <w:textAlignment w:val="auto"/>
      </w:pPr>
      <w:r w:rsidRPr="0056275A">
        <w:br w:type="page"/>
      </w:r>
    </w:p>
    <w:p w14:paraId="30CEBA09" w14:textId="77777777" w:rsidR="006B1082" w:rsidRPr="0056275A" w:rsidRDefault="006B1082" w:rsidP="006B1082">
      <w:pPr>
        <w:pStyle w:val="Headingb"/>
      </w:pPr>
      <w:r w:rsidRPr="0056275A">
        <w:lastRenderedPageBreak/>
        <w:t>Propositions</w:t>
      </w:r>
    </w:p>
    <w:p w14:paraId="7E69BA13" w14:textId="77777777" w:rsidR="007F3F42" w:rsidRPr="0056275A" w:rsidRDefault="008C078D" w:rsidP="00F950C5">
      <w:pPr>
        <w:pStyle w:val="ArtNo"/>
        <w:spacing w:before="0"/>
      </w:pPr>
      <w:bookmarkStart w:id="4" w:name="_Toc455752914"/>
      <w:bookmarkStart w:id="5" w:name="_Toc455756153"/>
      <w:r w:rsidRPr="0056275A">
        <w:t xml:space="preserve">ARTICLE </w:t>
      </w:r>
      <w:r w:rsidRPr="0056275A">
        <w:rPr>
          <w:rStyle w:val="href"/>
          <w:color w:val="000000"/>
        </w:rPr>
        <w:t>5</w:t>
      </w:r>
      <w:bookmarkEnd w:id="4"/>
      <w:bookmarkEnd w:id="5"/>
    </w:p>
    <w:p w14:paraId="39146603" w14:textId="77777777" w:rsidR="007F3F42" w:rsidRPr="0056275A" w:rsidRDefault="008C078D" w:rsidP="00F950C5">
      <w:pPr>
        <w:pStyle w:val="Arttitle"/>
      </w:pPr>
      <w:bookmarkStart w:id="6" w:name="_Toc455752915"/>
      <w:bookmarkStart w:id="7" w:name="_Toc455756154"/>
      <w:r w:rsidRPr="0056275A">
        <w:t>Attribution des bandes de fréquences</w:t>
      </w:r>
      <w:bookmarkEnd w:id="6"/>
      <w:bookmarkEnd w:id="7"/>
    </w:p>
    <w:p w14:paraId="5E9A4559" w14:textId="77777777" w:rsidR="00AC313F" w:rsidRPr="0056275A" w:rsidRDefault="008C078D" w:rsidP="00F950C5">
      <w:pPr>
        <w:pStyle w:val="Proposal"/>
      </w:pPr>
      <w:r w:rsidRPr="0056275A">
        <w:rPr>
          <w:u w:val="single"/>
        </w:rPr>
        <w:t>NOC</w:t>
      </w:r>
      <w:r w:rsidRPr="0056275A">
        <w:tab/>
        <w:t>CHN/28A21A2/1</w:t>
      </w:r>
    </w:p>
    <w:p w14:paraId="5F635361" w14:textId="5220FD7A" w:rsidR="00D73104" w:rsidRPr="0056275A" w:rsidRDefault="008C078D" w:rsidP="00F950C5">
      <w:pPr>
        <w:pStyle w:val="Section1"/>
        <w:keepNext/>
        <w:rPr>
          <w:b w:val="0"/>
          <w:color w:val="000000"/>
        </w:rPr>
      </w:pPr>
      <w:r w:rsidRPr="0056275A">
        <w:t>Section IV – Tableau d'attribution des bandes de fréquences</w:t>
      </w:r>
      <w:r w:rsidRPr="0056275A">
        <w:br/>
      </w:r>
      <w:r w:rsidRPr="0056275A">
        <w:rPr>
          <w:b w:val="0"/>
          <w:bCs/>
        </w:rPr>
        <w:t xml:space="preserve">(Voir le numéro </w:t>
      </w:r>
      <w:r w:rsidRPr="0056275A">
        <w:t>2.1</w:t>
      </w:r>
      <w:r w:rsidRPr="0056275A">
        <w:rPr>
          <w:b w:val="0"/>
          <w:bCs/>
        </w:rPr>
        <w:t>)</w:t>
      </w:r>
    </w:p>
    <w:p w14:paraId="0082873C" w14:textId="55AD1C52" w:rsidR="00AC313F" w:rsidRPr="0056275A" w:rsidRDefault="008C078D" w:rsidP="00F950C5">
      <w:pPr>
        <w:pStyle w:val="Reasons"/>
      </w:pPr>
      <w:r w:rsidRPr="0056275A">
        <w:rPr>
          <w:b/>
        </w:rPr>
        <w:t>Motifs:</w:t>
      </w:r>
      <w:r w:rsidRPr="0056275A">
        <w:tab/>
      </w:r>
      <w:r w:rsidR="0023411A" w:rsidRPr="0056275A">
        <w:t xml:space="preserve">Étant donné que les dispositions </w:t>
      </w:r>
      <w:r w:rsidR="009F0688" w:rsidRPr="0056275A">
        <w:t xml:space="preserve">du Règlement des radiocommunications </w:t>
      </w:r>
      <w:r w:rsidR="0023411A" w:rsidRPr="0056275A">
        <w:t xml:space="preserve">et </w:t>
      </w:r>
      <w:r w:rsidR="009F0688" w:rsidRPr="0056275A">
        <w:t xml:space="preserve">les </w:t>
      </w:r>
      <w:r w:rsidR="0023411A" w:rsidRPr="0056275A">
        <w:t xml:space="preserve">conditions techniques actuelles pourraient </w:t>
      </w:r>
      <w:r w:rsidR="009F0688" w:rsidRPr="0056275A">
        <w:t>suffire</w:t>
      </w:r>
      <w:r w:rsidR="00B572A1" w:rsidRPr="0056275A">
        <w:t xml:space="preserve"> pour assurer</w:t>
      </w:r>
      <w:r w:rsidR="0023411A" w:rsidRPr="0056275A">
        <w:t xml:space="preserve"> la compatibilité entre les IMT et le service de radiodiffusion </w:t>
      </w:r>
      <w:r w:rsidR="009F0688" w:rsidRPr="0056275A">
        <w:t xml:space="preserve">(sonore) par satellite (SRS </w:t>
      </w:r>
      <w:r w:rsidR="0023411A" w:rsidRPr="0056275A">
        <w:t>(sonore)</w:t>
      </w:r>
      <w:r w:rsidR="009F0688" w:rsidRPr="0056275A">
        <w:t>)</w:t>
      </w:r>
      <w:r w:rsidR="0023411A" w:rsidRPr="0056275A">
        <w:t xml:space="preserve"> dans la bande de fréquences 1</w:t>
      </w:r>
      <w:r w:rsidR="00E6414C" w:rsidRPr="0056275A">
        <w:t> </w:t>
      </w:r>
      <w:r w:rsidR="0023411A" w:rsidRPr="0056275A">
        <w:t>452</w:t>
      </w:r>
      <w:r w:rsidR="00E6414C" w:rsidRPr="0056275A">
        <w:noBreakHyphen/>
      </w:r>
      <w:r w:rsidR="0023411A" w:rsidRPr="0056275A">
        <w:t>1 492 MHz dans les Régions 1 et 3</w:t>
      </w:r>
      <w:r w:rsidR="00242CEF" w:rsidRPr="0056275A">
        <w:t xml:space="preserve">, </w:t>
      </w:r>
      <w:r w:rsidR="0023411A" w:rsidRPr="0056275A">
        <w:t xml:space="preserve">il est proposé de </w:t>
      </w:r>
      <w:r w:rsidR="009F0688" w:rsidRPr="0056275A">
        <w:t>ne pas modifier le</w:t>
      </w:r>
      <w:r w:rsidR="0023411A" w:rsidRPr="0056275A">
        <w:t xml:space="preserve"> Règlement des radiocommunications </w:t>
      </w:r>
      <w:r w:rsidR="00242CEF" w:rsidRPr="0056275A">
        <w:t>(RR).</w:t>
      </w:r>
    </w:p>
    <w:p w14:paraId="2A8AB7DA" w14:textId="77777777" w:rsidR="00AC313F" w:rsidRPr="0056275A" w:rsidRDefault="008C078D" w:rsidP="00F950C5">
      <w:pPr>
        <w:pStyle w:val="Proposal"/>
      </w:pPr>
      <w:r w:rsidRPr="0056275A">
        <w:rPr>
          <w:u w:val="single"/>
        </w:rPr>
        <w:t>NOC</w:t>
      </w:r>
      <w:r w:rsidRPr="0056275A">
        <w:tab/>
        <w:t>CHN/28A21A2/2</w:t>
      </w:r>
    </w:p>
    <w:p w14:paraId="26BC02BC" w14:textId="77777777" w:rsidR="007F3F42" w:rsidRPr="0056275A" w:rsidRDefault="008C078D" w:rsidP="00F950C5">
      <w:pPr>
        <w:pStyle w:val="ArtNo"/>
        <w:spacing w:before="0"/>
      </w:pPr>
      <w:bookmarkStart w:id="8" w:name="_Toc455752953"/>
      <w:bookmarkStart w:id="9" w:name="_Toc455756192"/>
      <w:r w:rsidRPr="0056275A">
        <w:t xml:space="preserve">ARTICLE </w:t>
      </w:r>
      <w:r w:rsidRPr="0056275A">
        <w:rPr>
          <w:rStyle w:val="href"/>
          <w:color w:val="000000"/>
        </w:rPr>
        <w:t>21</w:t>
      </w:r>
      <w:bookmarkEnd w:id="8"/>
      <w:bookmarkEnd w:id="9"/>
    </w:p>
    <w:p w14:paraId="15C1B1CA" w14:textId="77777777" w:rsidR="007F3F42" w:rsidRPr="0056275A" w:rsidRDefault="008C078D" w:rsidP="00F950C5">
      <w:pPr>
        <w:pStyle w:val="Arttitle"/>
      </w:pPr>
      <w:bookmarkStart w:id="10" w:name="_Toc455752954"/>
      <w:bookmarkStart w:id="11" w:name="_Toc455756193"/>
      <w:r w:rsidRPr="0056275A">
        <w:t>Services de Terre et services spatiaux partageant des bandes</w:t>
      </w:r>
      <w:r w:rsidRPr="0056275A">
        <w:br/>
        <w:t>de fréquences au-dessus de 1 GHz</w:t>
      </w:r>
      <w:bookmarkEnd w:id="10"/>
      <w:bookmarkEnd w:id="11"/>
    </w:p>
    <w:p w14:paraId="42CE5927" w14:textId="504E6A7D" w:rsidR="00AC313F" w:rsidRPr="0056275A" w:rsidRDefault="008C078D" w:rsidP="00F950C5">
      <w:pPr>
        <w:pStyle w:val="Reasons"/>
      </w:pPr>
      <w:r w:rsidRPr="0056275A">
        <w:rPr>
          <w:b/>
        </w:rPr>
        <w:t>Motifs:</w:t>
      </w:r>
      <w:r w:rsidRPr="0056275A">
        <w:tab/>
      </w:r>
      <w:r w:rsidR="0023411A" w:rsidRPr="0056275A">
        <w:t>Les procédures de coordination actuellement établies aux numéros</w:t>
      </w:r>
      <w:r w:rsidR="00242CEF" w:rsidRPr="0056275A">
        <w:t xml:space="preserve"> </w:t>
      </w:r>
      <w:r w:rsidR="00242CEF" w:rsidRPr="0056275A">
        <w:rPr>
          <w:b/>
          <w:bCs/>
        </w:rPr>
        <w:t>9.11</w:t>
      </w:r>
      <w:r w:rsidR="00242CEF" w:rsidRPr="0056275A">
        <w:t xml:space="preserve"> </w:t>
      </w:r>
      <w:r w:rsidR="0023411A" w:rsidRPr="0056275A">
        <w:t>et</w:t>
      </w:r>
      <w:r w:rsidR="00242CEF" w:rsidRPr="0056275A">
        <w:t xml:space="preserve"> </w:t>
      </w:r>
      <w:r w:rsidR="00242CEF" w:rsidRPr="0056275A">
        <w:rPr>
          <w:b/>
          <w:bCs/>
        </w:rPr>
        <w:t>9.19</w:t>
      </w:r>
      <w:r w:rsidR="00242CEF" w:rsidRPr="0056275A">
        <w:t xml:space="preserve"> </w:t>
      </w:r>
      <w:r w:rsidR="0023411A" w:rsidRPr="0056275A">
        <w:t xml:space="preserve">du RR pourraient </w:t>
      </w:r>
      <w:r w:rsidR="00260B70" w:rsidRPr="0056275A">
        <w:t xml:space="preserve">s'appliquer et être suffisantes </w:t>
      </w:r>
      <w:r w:rsidR="00B572A1" w:rsidRPr="0056275A">
        <w:t>pour</w:t>
      </w:r>
      <w:r w:rsidR="0023411A" w:rsidRPr="0056275A">
        <w:t xml:space="preserve"> garantir le respect</w:t>
      </w:r>
      <w:r w:rsidR="00242CEF" w:rsidRPr="0056275A">
        <w:t xml:space="preserve"> </w:t>
      </w:r>
      <w:r w:rsidR="0023411A" w:rsidRPr="0056275A">
        <w:t>des conditions de partage et de compatibilité</w:t>
      </w:r>
      <w:r w:rsidR="00242CEF" w:rsidRPr="0056275A">
        <w:t xml:space="preserve"> </w:t>
      </w:r>
      <w:r w:rsidR="0023411A" w:rsidRPr="0056275A">
        <w:t>entre le SRS et les services d</w:t>
      </w:r>
      <w:bookmarkStart w:id="12" w:name="_GoBack"/>
      <w:bookmarkEnd w:id="12"/>
      <w:r w:rsidR="0023411A" w:rsidRPr="0056275A">
        <w:t>e Terre</w:t>
      </w:r>
      <w:r w:rsidR="00242CEF" w:rsidRPr="0056275A">
        <w:t>.</w:t>
      </w:r>
    </w:p>
    <w:p w14:paraId="013F094C" w14:textId="77777777" w:rsidR="00AC313F" w:rsidRPr="0056275A" w:rsidRDefault="008C078D" w:rsidP="00F950C5">
      <w:pPr>
        <w:pStyle w:val="Proposal"/>
      </w:pPr>
      <w:r w:rsidRPr="0056275A">
        <w:rPr>
          <w:u w:val="single"/>
        </w:rPr>
        <w:t>NOC</w:t>
      </w:r>
      <w:r w:rsidRPr="0056275A">
        <w:tab/>
        <w:t>CHN/28A21A2/3</w:t>
      </w:r>
    </w:p>
    <w:p w14:paraId="6A54556A" w14:textId="77777777" w:rsidR="00AE737D" w:rsidRPr="0056275A" w:rsidRDefault="008C078D" w:rsidP="00F950C5">
      <w:pPr>
        <w:pStyle w:val="AppendixNo"/>
        <w:spacing w:before="0"/>
      </w:pPr>
      <w:bookmarkStart w:id="13" w:name="_Toc459986290"/>
      <w:bookmarkStart w:id="14" w:name="_Toc459987733"/>
      <w:r w:rsidRPr="0056275A">
        <w:t xml:space="preserve">APPENDICE </w:t>
      </w:r>
      <w:r w:rsidRPr="0056275A">
        <w:rPr>
          <w:rStyle w:val="href"/>
        </w:rPr>
        <w:t>5</w:t>
      </w:r>
      <w:r w:rsidRPr="0056275A">
        <w:t xml:space="preserve"> (RÉV.CMR-15)</w:t>
      </w:r>
      <w:bookmarkEnd w:id="13"/>
      <w:bookmarkEnd w:id="14"/>
    </w:p>
    <w:p w14:paraId="405DB52D" w14:textId="77777777" w:rsidR="00AE737D" w:rsidRPr="0056275A" w:rsidRDefault="008C078D" w:rsidP="00F950C5">
      <w:pPr>
        <w:pStyle w:val="Appendixtitle"/>
        <w:rPr>
          <w:color w:val="000000"/>
        </w:rPr>
      </w:pPr>
      <w:bookmarkStart w:id="15" w:name="_Toc459986291"/>
      <w:bookmarkStart w:id="16" w:name="_Toc459987734"/>
      <w:r w:rsidRPr="0056275A">
        <w:rPr>
          <w:color w:val="000000"/>
        </w:rPr>
        <w:t>Identification des administrations avec lesquelles la coordination doit être</w:t>
      </w:r>
      <w:r w:rsidRPr="0056275A">
        <w:rPr>
          <w:color w:val="000000"/>
        </w:rPr>
        <w:br/>
        <w:t xml:space="preserve">effectuée ou un accord recherché au titre des dispositions de l'Article </w:t>
      </w:r>
      <w:r w:rsidRPr="0056275A">
        <w:rPr>
          <w:rStyle w:val="Artref"/>
          <w:color w:val="000000"/>
        </w:rPr>
        <w:t>9</w:t>
      </w:r>
      <w:bookmarkEnd w:id="15"/>
      <w:bookmarkEnd w:id="16"/>
    </w:p>
    <w:p w14:paraId="65FC5357" w14:textId="0E8417D3" w:rsidR="00AC313F" w:rsidRPr="0056275A" w:rsidRDefault="008C078D" w:rsidP="00F950C5">
      <w:pPr>
        <w:pStyle w:val="Reasons"/>
      </w:pPr>
      <w:r w:rsidRPr="0056275A">
        <w:rPr>
          <w:b/>
        </w:rPr>
        <w:t>Motifs:</w:t>
      </w:r>
      <w:r w:rsidRPr="0056275A">
        <w:tab/>
      </w:r>
      <w:r w:rsidR="0023411A" w:rsidRPr="0056275A">
        <w:t xml:space="preserve">Les procédures de coordination actuellement établies aux numéros </w:t>
      </w:r>
      <w:r w:rsidR="0023411A" w:rsidRPr="0056275A">
        <w:rPr>
          <w:b/>
          <w:bCs/>
        </w:rPr>
        <w:t>9.11</w:t>
      </w:r>
      <w:r w:rsidR="0023411A" w:rsidRPr="0056275A">
        <w:t xml:space="preserve"> et </w:t>
      </w:r>
      <w:r w:rsidR="0023411A" w:rsidRPr="0056275A">
        <w:rPr>
          <w:b/>
          <w:bCs/>
        </w:rPr>
        <w:t>9.19</w:t>
      </w:r>
      <w:r w:rsidR="0023411A" w:rsidRPr="0056275A">
        <w:t xml:space="preserve"> du RR pourraient </w:t>
      </w:r>
      <w:r w:rsidR="009F0688" w:rsidRPr="0056275A">
        <w:t>suffire</w:t>
      </w:r>
      <w:r w:rsidR="00B572A1" w:rsidRPr="0056275A">
        <w:t xml:space="preserve"> pour</w:t>
      </w:r>
      <w:r w:rsidR="0023411A" w:rsidRPr="0056275A">
        <w:t xml:space="preserve"> garantir le respect des conditions de partage et de compatibilité entre le SRS et les services de Terre.</w:t>
      </w:r>
    </w:p>
    <w:p w14:paraId="1C162233" w14:textId="77777777" w:rsidR="00AC313F" w:rsidRPr="0056275A" w:rsidRDefault="008C078D" w:rsidP="00F950C5">
      <w:pPr>
        <w:pStyle w:val="Proposal"/>
      </w:pPr>
      <w:r w:rsidRPr="0056275A">
        <w:t>SUP</w:t>
      </w:r>
      <w:r w:rsidRPr="0056275A">
        <w:tab/>
        <w:t>CHN/28A21A2/4</w:t>
      </w:r>
    </w:p>
    <w:p w14:paraId="182AC018" w14:textId="77777777" w:rsidR="004A4B52" w:rsidRPr="0056275A" w:rsidRDefault="008C078D" w:rsidP="00F950C5">
      <w:pPr>
        <w:pStyle w:val="ResNo"/>
      </w:pPr>
      <w:r w:rsidRPr="0056275A">
        <w:t xml:space="preserve">RÉSOLUTION </w:t>
      </w:r>
      <w:r w:rsidRPr="0056275A">
        <w:rPr>
          <w:rStyle w:val="href"/>
        </w:rPr>
        <w:t>761</w:t>
      </w:r>
      <w:r w:rsidRPr="0056275A">
        <w:t xml:space="preserve"> (CMR-15)</w:t>
      </w:r>
    </w:p>
    <w:p w14:paraId="3B1809B9" w14:textId="77777777" w:rsidR="004A4B52" w:rsidRPr="0056275A" w:rsidRDefault="008C078D" w:rsidP="00F950C5">
      <w:pPr>
        <w:pStyle w:val="Restitle"/>
      </w:pPr>
      <w:bookmarkStart w:id="17" w:name="_Toc450208811"/>
      <w:r w:rsidRPr="0056275A">
        <w:t xml:space="preserve">Compatibilité entre les Télécommunications mobiles internationales et </w:t>
      </w:r>
      <w:r w:rsidRPr="0056275A">
        <w:br/>
        <w:t xml:space="preserve">le service de radiodiffusion par satellite (sonore) dans la bande </w:t>
      </w:r>
      <w:r w:rsidRPr="0056275A">
        <w:br/>
        <w:t>de fréquences 1 452-1 492 MHz dans les Régions 1 et 3</w:t>
      </w:r>
      <w:bookmarkEnd w:id="17"/>
    </w:p>
    <w:p w14:paraId="0869A48B" w14:textId="56A90DEE" w:rsidR="006E66AE" w:rsidRDefault="008C078D" w:rsidP="00F950C5">
      <w:pPr>
        <w:pStyle w:val="Reasons"/>
      </w:pPr>
      <w:r w:rsidRPr="0056275A">
        <w:rPr>
          <w:b/>
        </w:rPr>
        <w:t>Motifs:</w:t>
      </w:r>
      <w:r w:rsidRPr="0056275A">
        <w:tab/>
      </w:r>
      <w:r w:rsidR="0023411A" w:rsidRPr="0056275A">
        <w:t xml:space="preserve">Les études nécessaires </w:t>
      </w:r>
      <w:r w:rsidR="00B572A1" w:rsidRPr="0056275A">
        <w:t>en vue d'assurer le partage et la compatibilité</w:t>
      </w:r>
      <w:r w:rsidR="0023411A" w:rsidRPr="0056275A">
        <w:t xml:space="preserve"> entre le SRS (sonore) et les IMT seront achevées </w:t>
      </w:r>
      <w:r w:rsidR="00957BF4" w:rsidRPr="0056275A">
        <w:t>d'ici</w:t>
      </w:r>
      <w:r w:rsidR="0023411A" w:rsidRPr="0056275A">
        <w:t xml:space="preserve"> la CMR-19</w:t>
      </w:r>
      <w:r w:rsidR="006E66AE" w:rsidRPr="0056275A">
        <w:t>.</w:t>
      </w:r>
    </w:p>
    <w:p w14:paraId="2E8850C8" w14:textId="77777777" w:rsidR="006B1082" w:rsidRPr="0056275A" w:rsidRDefault="006B1082" w:rsidP="006B1082"/>
    <w:p w14:paraId="57DA282F" w14:textId="77777777" w:rsidR="006E66AE" w:rsidRPr="0056275A" w:rsidRDefault="006E66AE" w:rsidP="00F950C5">
      <w:pPr>
        <w:jc w:val="center"/>
      </w:pPr>
      <w:r w:rsidRPr="0056275A">
        <w:t>______________</w:t>
      </w:r>
    </w:p>
    <w:sectPr w:rsidR="006E66AE" w:rsidRPr="0056275A">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16F12" w14:textId="77777777" w:rsidR="0070076C" w:rsidRDefault="0070076C">
      <w:r>
        <w:separator/>
      </w:r>
    </w:p>
  </w:endnote>
  <w:endnote w:type="continuationSeparator" w:id="0">
    <w:p w14:paraId="42AB337E"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BB40" w14:textId="5EDCA636" w:rsidR="00936D25" w:rsidRDefault="00936D25">
    <w:pPr>
      <w:rPr>
        <w:lang w:val="en-US"/>
      </w:rPr>
    </w:pPr>
    <w:r>
      <w:fldChar w:fldCharType="begin"/>
    </w:r>
    <w:r>
      <w:rPr>
        <w:lang w:val="en-US"/>
      </w:rPr>
      <w:instrText xml:space="preserve"> FILENAME \p  \* MERGEFORMAT </w:instrText>
    </w:r>
    <w:r>
      <w:fldChar w:fldCharType="separate"/>
    </w:r>
    <w:r w:rsidR="006B1082">
      <w:rPr>
        <w:noProof/>
        <w:lang w:val="en-US"/>
      </w:rPr>
      <w:t>P:\FRA\ITU-R\CONF-R\CMR19\000\028ADD21ADD02F.docx</w:t>
    </w:r>
    <w:r>
      <w:fldChar w:fldCharType="end"/>
    </w:r>
    <w:r>
      <w:rPr>
        <w:lang w:val="en-US"/>
      </w:rPr>
      <w:tab/>
    </w:r>
    <w:r>
      <w:fldChar w:fldCharType="begin"/>
    </w:r>
    <w:r>
      <w:instrText xml:space="preserve"> SAVEDATE \@ DD.MM.YY </w:instrText>
    </w:r>
    <w:r>
      <w:fldChar w:fldCharType="separate"/>
    </w:r>
    <w:r w:rsidR="006B1082">
      <w:rPr>
        <w:noProof/>
      </w:rPr>
      <w:t>23.10.19</w:t>
    </w:r>
    <w:r>
      <w:fldChar w:fldCharType="end"/>
    </w:r>
    <w:r>
      <w:rPr>
        <w:lang w:val="en-US"/>
      </w:rPr>
      <w:tab/>
    </w:r>
    <w:r>
      <w:fldChar w:fldCharType="begin"/>
    </w:r>
    <w:r>
      <w:instrText xml:space="preserve"> PRINTDATE \@ DD.MM.YY </w:instrText>
    </w:r>
    <w:r>
      <w:fldChar w:fldCharType="separate"/>
    </w:r>
    <w:r w:rsidR="006B108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D651" w14:textId="4E26054E" w:rsidR="00936D25" w:rsidRPr="008C078D" w:rsidRDefault="00936D25" w:rsidP="007B2C34">
    <w:pPr>
      <w:pStyle w:val="Footer"/>
      <w:rPr>
        <w:lang w:val="en-GB"/>
      </w:rPr>
    </w:pPr>
    <w:r>
      <w:fldChar w:fldCharType="begin"/>
    </w:r>
    <w:r>
      <w:rPr>
        <w:lang w:val="en-US"/>
      </w:rPr>
      <w:instrText xml:space="preserve"> FILENAME \p  \* MERGEFORMAT </w:instrText>
    </w:r>
    <w:r>
      <w:fldChar w:fldCharType="separate"/>
    </w:r>
    <w:r w:rsidR="006B1082">
      <w:rPr>
        <w:lang w:val="en-US"/>
      </w:rPr>
      <w:t>P:\FRA\ITU-R\CONF-R\CMR19\000\028ADD21ADD02F.docx</w:t>
    </w:r>
    <w:r>
      <w:fldChar w:fldCharType="end"/>
    </w:r>
    <w:r w:rsidR="008C078D" w:rsidRPr="008C078D">
      <w:rPr>
        <w:lang w:val="en-GB"/>
      </w:rPr>
      <w:t xml:space="preserve"> </w:t>
    </w:r>
    <w:r w:rsidR="008C078D">
      <w:rPr>
        <w:lang w:val="en-GB"/>
      </w:rPr>
      <w:t>(461507)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499D" w14:textId="435D387B" w:rsidR="00936D25" w:rsidRDefault="008C078D" w:rsidP="008C078D">
    <w:pPr>
      <w:pStyle w:val="Footer"/>
      <w:rPr>
        <w:lang w:val="en-US"/>
      </w:rPr>
    </w:pPr>
    <w:r>
      <w:fldChar w:fldCharType="begin"/>
    </w:r>
    <w:r w:rsidRPr="008C078D">
      <w:rPr>
        <w:lang w:val="en-GB"/>
      </w:rPr>
      <w:instrText xml:space="preserve"> FILENAME \p  \* MERGEFORMAT </w:instrText>
    </w:r>
    <w:r>
      <w:fldChar w:fldCharType="separate"/>
    </w:r>
    <w:r w:rsidR="006B1082">
      <w:rPr>
        <w:lang w:val="en-GB"/>
      </w:rPr>
      <w:t>P:\FRA\ITU-R\CONF-R\CMR19\000\028ADD21ADD02F.docx</w:t>
    </w:r>
    <w:r>
      <w:fldChar w:fldCharType="end"/>
    </w:r>
    <w:r w:rsidRPr="008C078D">
      <w:rPr>
        <w:lang w:val="en-GB"/>
      </w:rPr>
      <w:t xml:space="preserve"> (</w:t>
    </w:r>
    <w:r>
      <w:rPr>
        <w:lang w:val="en-GB"/>
      </w:rPr>
      <w:t>461507</w:t>
    </w:r>
    <w:r w:rsidRPr="008C078D">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21408" w14:textId="77777777" w:rsidR="0070076C" w:rsidRDefault="0070076C">
      <w:r>
        <w:rPr>
          <w:b/>
        </w:rPr>
        <w:t>_______________</w:t>
      </w:r>
    </w:p>
  </w:footnote>
  <w:footnote w:type="continuationSeparator" w:id="0">
    <w:p w14:paraId="0C04E7B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2300" w14:textId="77777777" w:rsidR="004F1F8E" w:rsidRDefault="004F1F8E" w:rsidP="004F1F8E">
    <w:pPr>
      <w:pStyle w:val="Header"/>
    </w:pPr>
    <w:r>
      <w:fldChar w:fldCharType="begin"/>
    </w:r>
    <w:r>
      <w:instrText xml:space="preserve"> PAGE </w:instrText>
    </w:r>
    <w:r>
      <w:fldChar w:fldCharType="separate"/>
    </w:r>
    <w:r w:rsidR="00AB2280">
      <w:rPr>
        <w:noProof/>
      </w:rPr>
      <w:t>3</w:t>
    </w:r>
    <w:r>
      <w:fldChar w:fldCharType="end"/>
    </w:r>
  </w:p>
  <w:p w14:paraId="69ECA4EB" w14:textId="77777777" w:rsidR="004F1F8E" w:rsidRDefault="004F1F8E" w:rsidP="00FD7AA3">
    <w:pPr>
      <w:pStyle w:val="Header"/>
    </w:pPr>
    <w:r>
      <w:t>CMR1</w:t>
    </w:r>
    <w:r w:rsidR="00FD7AA3">
      <w:t>9</w:t>
    </w:r>
    <w:r>
      <w:t>/</w:t>
    </w:r>
    <w:r w:rsidR="006A4B45">
      <w:t>28(Add.21)(Add.2)-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3411A"/>
    <w:rsid w:val="00242CEF"/>
    <w:rsid w:val="00260B70"/>
    <w:rsid w:val="0026554E"/>
    <w:rsid w:val="002A4622"/>
    <w:rsid w:val="002A6F8F"/>
    <w:rsid w:val="002B17E5"/>
    <w:rsid w:val="002B6EE2"/>
    <w:rsid w:val="002C0EBF"/>
    <w:rsid w:val="002C28A4"/>
    <w:rsid w:val="002D7E0A"/>
    <w:rsid w:val="00315AFE"/>
    <w:rsid w:val="003606A6"/>
    <w:rsid w:val="0036650C"/>
    <w:rsid w:val="00393ACD"/>
    <w:rsid w:val="003974D8"/>
    <w:rsid w:val="003A583E"/>
    <w:rsid w:val="003E112B"/>
    <w:rsid w:val="003E1D1C"/>
    <w:rsid w:val="003E7B05"/>
    <w:rsid w:val="003F3719"/>
    <w:rsid w:val="003F6F2D"/>
    <w:rsid w:val="00466211"/>
    <w:rsid w:val="00483196"/>
    <w:rsid w:val="004834A9"/>
    <w:rsid w:val="00484F3D"/>
    <w:rsid w:val="004D01FC"/>
    <w:rsid w:val="004E28C3"/>
    <w:rsid w:val="004F1F8E"/>
    <w:rsid w:val="00512A32"/>
    <w:rsid w:val="005343DA"/>
    <w:rsid w:val="00560874"/>
    <w:rsid w:val="0056275A"/>
    <w:rsid w:val="00572769"/>
    <w:rsid w:val="00586CF2"/>
    <w:rsid w:val="005A2DB3"/>
    <w:rsid w:val="005A7C75"/>
    <w:rsid w:val="005C3768"/>
    <w:rsid w:val="005C6C3F"/>
    <w:rsid w:val="00613635"/>
    <w:rsid w:val="0062093D"/>
    <w:rsid w:val="00637ECF"/>
    <w:rsid w:val="00647B59"/>
    <w:rsid w:val="00665D77"/>
    <w:rsid w:val="00690C7B"/>
    <w:rsid w:val="006A4B45"/>
    <w:rsid w:val="006B1082"/>
    <w:rsid w:val="006D4075"/>
    <w:rsid w:val="006D4724"/>
    <w:rsid w:val="006E66AE"/>
    <w:rsid w:val="006F5FA2"/>
    <w:rsid w:val="0070076C"/>
    <w:rsid w:val="00701BAE"/>
    <w:rsid w:val="00721F04"/>
    <w:rsid w:val="00730E95"/>
    <w:rsid w:val="007426B9"/>
    <w:rsid w:val="00764342"/>
    <w:rsid w:val="00774362"/>
    <w:rsid w:val="00786598"/>
    <w:rsid w:val="00790C74"/>
    <w:rsid w:val="007A04E8"/>
    <w:rsid w:val="007B2C34"/>
    <w:rsid w:val="007D1AFF"/>
    <w:rsid w:val="00811110"/>
    <w:rsid w:val="00830086"/>
    <w:rsid w:val="00851625"/>
    <w:rsid w:val="00863C0A"/>
    <w:rsid w:val="008A3120"/>
    <w:rsid w:val="008A4B97"/>
    <w:rsid w:val="008C078D"/>
    <w:rsid w:val="008C5B8E"/>
    <w:rsid w:val="008C5DD5"/>
    <w:rsid w:val="008D41BE"/>
    <w:rsid w:val="008D58D3"/>
    <w:rsid w:val="008E3BC9"/>
    <w:rsid w:val="00923064"/>
    <w:rsid w:val="00930FFD"/>
    <w:rsid w:val="00936D25"/>
    <w:rsid w:val="00941EA5"/>
    <w:rsid w:val="00957BF4"/>
    <w:rsid w:val="00964700"/>
    <w:rsid w:val="0096651F"/>
    <w:rsid w:val="00966C16"/>
    <w:rsid w:val="0098732F"/>
    <w:rsid w:val="009A045F"/>
    <w:rsid w:val="009A6A2B"/>
    <w:rsid w:val="009C7E7C"/>
    <w:rsid w:val="009F0688"/>
    <w:rsid w:val="00A00473"/>
    <w:rsid w:val="00A03C9B"/>
    <w:rsid w:val="00A3140A"/>
    <w:rsid w:val="00A37105"/>
    <w:rsid w:val="00A606C3"/>
    <w:rsid w:val="00A83B09"/>
    <w:rsid w:val="00A84541"/>
    <w:rsid w:val="00AB2280"/>
    <w:rsid w:val="00AC313F"/>
    <w:rsid w:val="00AE36A0"/>
    <w:rsid w:val="00B00294"/>
    <w:rsid w:val="00B3749C"/>
    <w:rsid w:val="00B572A1"/>
    <w:rsid w:val="00B64FD0"/>
    <w:rsid w:val="00BA5BD0"/>
    <w:rsid w:val="00BB1D82"/>
    <w:rsid w:val="00BD51C5"/>
    <w:rsid w:val="00BF26E7"/>
    <w:rsid w:val="00C53FCA"/>
    <w:rsid w:val="00C76BAF"/>
    <w:rsid w:val="00C814B9"/>
    <w:rsid w:val="00CD516F"/>
    <w:rsid w:val="00D119A7"/>
    <w:rsid w:val="00D24D8E"/>
    <w:rsid w:val="00D25FBA"/>
    <w:rsid w:val="00D32B28"/>
    <w:rsid w:val="00D42954"/>
    <w:rsid w:val="00D66EAC"/>
    <w:rsid w:val="00D730DF"/>
    <w:rsid w:val="00D772F0"/>
    <w:rsid w:val="00D77BDC"/>
    <w:rsid w:val="00DC402B"/>
    <w:rsid w:val="00DE0932"/>
    <w:rsid w:val="00DE7657"/>
    <w:rsid w:val="00E03A27"/>
    <w:rsid w:val="00E049F1"/>
    <w:rsid w:val="00E17B53"/>
    <w:rsid w:val="00E37A25"/>
    <w:rsid w:val="00E537FF"/>
    <w:rsid w:val="00E6414C"/>
    <w:rsid w:val="00E6539B"/>
    <w:rsid w:val="00E70A31"/>
    <w:rsid w:val="00E723A7"/>
    <w:rsid w:val="00EA3F38"/>
    <w:rsid w:val="00EA5AB6"/>
    <w:rsid w:val="00EC7615"/>
    <w:rsid w:val="00ED16AA"/>
    <w:rsid w:val="00ED6B8D"/>
    <w:rsid w:val="00EE3D7B"/>
    <w:rsid w:val="00EF662E"/>
    <w:rsid w:val="00F10064"/>
    <w:rsid w:val="00F148F1"/>
    <w:rsid w:val="00F42F3A"/>
    <w:rsid w:val="00F711A7"/>
    <w:rsid w:val="00F950C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C6DFB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B572A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72A1"/>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FE1A8E63-F0A0-484A-9274-41EF6504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C8C69-484E-480F-B9A1-F75E47D87444}">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DC0B0C5-1C57-4430-81D4-546957E67530}">
  <ds:schemaRefs>
    <ds:schemaRef ds:uri="http://purl.org/dc/terms/"/>
    <ds:schemaRef ds:uri="http://purl.org/dc/dcmitype/"/>
    <ds:schemaRef ds:uri="996b2e75-67fd-4955-a3b0-5ab9934cb50b"/>
    <ds:schemaRef ds:uri="http://www.w3.org/XML/1998/namespace"/>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809</Words>
  <Characters>4320</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R16-WRC19-C-0028!A21-A2!MSW-F</vt:lpstr>
    </vt:vector>
  </TitlesOfParts>
  <Manager>Secrétariat général - Pool</Manager>
  <Company>Union internationale des télécommunications (UIT)</Company>
  <LinksUpToDate>false</LinksUpToDate>
  <CharactersWithSpaces>5097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R16-WRC19-C-0028!A21-A2!MSW-F</dc:title>
  <dc:subject>Conférence mondiale des radiocommunications - 2019</dc:subject>
  <dc:creator>Documents Proposals Manager (DPM)</dc:creator>
  <cp:keywords>DPM_v2019.10.14.1_prod</cp:keywords>
  <dc:description/>
  <cp:lastModifiedBy>Royer, Veronique</cp:lastModifiedBy>
  <cp:revision>10</cp:revision>
  <cp:lastPrinted>2019-10-23T20:02:00Z</cp:lastPrinted>
  <dcterms:created xsi:type="dcterms:W3CDTF">2019-10-23T19:09:00Z</dcterms:created>
  <dcterms:modified xsi:type="dcterms:W3CDTF">2019-10-23T20:02:00Z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