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50483" w14:paraId="358EEBC8" w14:textId="77777777" w:rsidTr="0050008E">
        <w:trPr>
          <w:cantSplit/>
        </w:trPr>
        <w:tc>
          <w:tcPr>
            <w:tcW w:w="6911" w:type="dxa"/>
          </w:tcPr>
          <w:p w14:paraId="54BE7BDB" w14:textId="77777777" w:rsidR="00BB1D82" w:rsidRPr="00850483" w:rsidRDefault="00851625" w:rsidP="00886B0E">
            <w:pPr>
              <w:spacing w:before="400" w:after="48"/>
              <w:rPr>
                <w:rFonts w:ascii="Verdana" w:hAnsi="Verdana"/>
                <w:b/>
                <w:bCs/>
                <w:sz w:val="20"/>
              </w:rPr>
            </w:pPr>
            <w:r w:rsidRPr="00850483">
              <w:rPr>
                <w:rFonts w:ascii="Verdana" w:hAnsi="Verdana"/>
                <w:b/>
                <w:bCs/>
                <w:sz w:val="20"/>
              </w:rPr>
              <w:t>Conférence mondiale des radiocommunications (CMR-1</w:t>
            </w:r>
            <w:r w:rsidR="00FD7AA3" w:rsidRPr="00850483">
              <w:rPr>
                <w:rFonts w:ascii="Verdana" w:hAnsi="Verdana"/>
                <w:b/>
                <w:bCs/>
                <w:sz w:val="20"/>
              </w:rPr>
              <w:t>9</w:t>
            </w:r>
            <w:r w:rsidRPr="00850483">
              <w:rPr>
                <w:rFonts w:ascii="Verdana" w:hAnsi="Verdana"/>
                <w:b/>
                <w:bCs/>
                <w:sz w:val="20"/>
              </w:rPr>
              <w:t>)</w:t>
            </w:r>
            <w:r w:rsidRPr="00850483">
              <w:rPr>
                <w:rFonts w:ascii="Verdana" w:hAnsi="Verdana"/>
                <w:b/>
                <w:bCs/>
                <w:sz w:val="20"/>
              </w:rPr>
              <w:br/>
            </w:r>
            <w:r w:rsidR="00063A1F" w:rsidRPr="00850483">
              <w:rPr>
                <w:rFonts w:ascii="Verdana" w:hAnsi="Verdana"/>
                <w:b/>
                <w:bCs/>
                <w:sz w:val="18"/>
                <w:szCs w:val="18"/>
              </w:rPr>
              <w:t xml:space="preserve">Charm el-Cheikh, </w:t>
            </w:r>
            <w:r w:rsidR="00081366" w:rsidRPr="00850483">
              <w:rPr>
                <w:rFonts w:ascii="Verdana" w:hAnsi="Verdana"/>
                <w:b/>
                <w:bCs/>
                <w:sz w:val="18"/>
                <w:szCs w:val="18"/>
              </w:rPr>
              <w:t>É</w:t>
            </w:r>
            <w:r w:rsidR="00063A1F" w:rsidRPr="00850483">
              <w:rPr>
                <w:rFonts w:ascii="Verdana" w:hAnsi="Verdana"/>
                <w:b/>
                <w:bCs/>
                <w:sz w:val="18"/>
                <w:szCs w:val="18"/>
              </w:rPr>
              <w:t>gypte</w:t>
            </w:r>
            <w:r w:rsidRPr="00850483">
              <w:rPr>
                <w:rFonts w:ascii="Verdana" w:hAnsi="Verdana"/>
                <w:b/>
                <w:bCs/>
                <w:sz w:val="18"/>
                <w:szCs w:val="18"/>
              </w:rPr>
              <w:t>,</w:t>
            </w:r>
            <w:r w:rsidR="00E537FF" w:rsidRPr="00850483">
              <w:rPr>
                <w:rFonts w:ascii="Verdana" w:hAnsi="Verdana"/>
                <w:b/>
                <w:bCs/>
                <w:sz w:val="18"/>
                <w:szCs w:val="18"/>
              </w:rPr>
              <w:t xml:space="preserve"> </w:t>
            </w:r>
            <w:r w:rsidRPr="00850483">
              <w:rPr>
                <w:rFonts w:ascii="Verdana" w:hAnsi="Verdana"/>
                <w:b/>
                <w:bCs/>
                <w:sz w:val="18"/>
                <w:szCs w:val="18"/>
              </w:rPr>
              <w:t>2</w:t>
            </w:r>
            <w:r w:rsidR="00FD7AA3" w:rsidRPr="00850483">
              <w:rPr>
                <w:rFonts w:ascii="Verdana" w:hAnsi="Verdana"/>
                <w:b/>
                <w:bCs/>
                <w:sz w:val="18"/>
                <w:szCs w:val="18"/>
              </w:rPr>
              <w:t xml:space="preserve">8 octobre </w:t>
            </w:r>
            <w:r w:rsidR="00F10064" w:rsidRPr="00850483">
              <w:rPr>
                <w:rFonts w:ascii="Verdana" w:hAnsi="Verdana"/>
                <w:b/>
                <w:bCs/>
                <w:sz w:val="18"/>
                <w:szCs w:val="18"/>
              </w:rPr>
              <w:t>–</w:t>
            </w:r>
            <w:r w:rsidR="00FD7AA3" w:rsidRPr="00850483">
              <w:rPr>
                <w:rFonts w:ascii="Verdana" w:hAnsi="Verdana"/>
                <w:b/>
                <w:bCs/>
                <w:sz w:val="18"/>
                <w:szCs w:val="18"/>
              </w:rPr>
              <w:t xml:space="preserve"> </w:t>
            </w:r>
            <w:r w:rsidRPr="00850483">
              <w:rPr>
                <w:rFonts w:ascii="Verdana" w:hAnsi="Verdana"/>
                <w:b/>
                <w:bCs/>
                <w:sz w:val="18"/>
                <w:szCs w:val="18"/>
              </w:rPr>
              <w:t>2</w:t>
            </w:r>
            <w:r w:rsidR="00FD7AA3" w:rsidRPr="00850483">
              <w:rPr>
                <w:rFonts w:ascii="Verdana" w:hAnsi="Verdana"/>
                <w:b/>
                <w:bCs/>
                <w:sz w:val="18"/>
                <w:szCs w:val="18"/>
              </w:rPr>
              <w:t>2</w:t>
            </w:r>
            <w:r w:rsidRPr="00850483">
              <w:rPr>
                <w:rFonts w:ascii="Verdana" w:hAnsi="Verdana"/>
                <w:b/>
                <w:bCs/>
                <w:sz w:val="18"/>
                <w:szCs w:val="18"/>
              </w:rPr>
              <w:t xml:space="preserve"> novembre 201</w:t>
            </w:r>
            <w:r w:rsidR="00FD7AA3" w:rsidRPr="00850483">
              <w:rPr>
                <w:rFonts w:ascii="Verdana" w:hAnsi="Verdana"/>
                <w:b/>
                <w:bCs/>
                <w:sz w:val="18"/>
                <w:szCs w:val="18"/>
              </w:rPr>
              <w:t>9</w:t>
            </w:r>
          </w:p>
        </w:tc>
        <w:tc>
          <w:tcPr>
            <w:tcW w:w="3120" w:type="dxa"/>
          </w:tcPr>
          <w:p w14:paraId="2AA275D3" w14:textId="77777777" w:rsidR="00BB1D82" w:rsidRPr="00850483" w:rsidRDefault="000A55AE" w:rsidP="00886B0E">
            <w:pPr>
              <w:spacing w:before="0"/>
              <w:jc w:val="right"/>
            </w:pPr>
            <w:r w:rsidRPr="00850483">
              <w:rPr>
                <w:rFonts w:ascii="Verdana" w:hAnsi="Verdana"/>
                <w:b/>
                <w:bCs/>
                <w:lang w:eastAsia="zh-CN"/>
              </w:rPr>
              <w:drawing>
                <wp:inline distT="0" distB="0" distL="0" distR="0" wp14:anchorId="5B924736" wp14:editId="15C2BFF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50483" w14:paraId="442F35F4" w14:textId="77777777" w:rsidTr="0050008E">
        <w:trPr>
          <w:cantSplit/>
        </w:trPr>
        <w:tc>
          <w:tcPr>
            <w:tcW w:w="6911" w:type="dxa"/>
            <w:tcBorders>
              <w:bottom w:val="single" w:sz="12" w:space="0" w:color="auto"/>
            </w:tcBorders>
          </w:tcPr>
          <w:p w14:paraId="46F8201D" w14:textId="77777777" w:rsidR="00BB1D82" w:rsidRPr="00850483" w:rsidRDefault="00BB1D82" w:rsidP="00886B0E">
            <w:pPr>
              <w:spacing w:before="0" w:after="48"/>
              <w:rPr>
                <w:b/>
                <w:smallCaps/>
                <w:szCs w:val="24"/>
              </w:rPr>
            </w:pPr>
            <w:bookmarkStart w:id="0" w:name="dhead"/>
          </w:p>
        </w:tc>
        <w:tc>
          <w:tcPr>
            <w:tcW w:w="3120" w:type="dxa"/>
            <w:tcBorders>
              <w:bottom w:val="single" w:sz="12" w:space="0" w:color="auto"/>
            </w:tcBorders>
          </w:tcPr>
          <w:p w14:paraId="37F4C4D0" w14:textId="77777777" w:rsidR="00BB1D82" w:rsidRPr="00850483" w:rsidRDefault="00BB1D82" w:rsidP="00886B0E">
            <w:pPr>
              <w:spacing w:before="0"/>
              <w:rPr>
                <w:rFonts w:ascii="Verdana" w:hAnsi="Verdana"/>
                <w:szCs w:val="24"/>
              </w:rPr>
            </w:pPr>
          </w:p>
        </w:tc>
      </w:tr>
      <w:tr w:rsidR="00BB1D82" w:rsidRPr="00850483" w14:paraId="1C20694A" w14:textId="77777777" w:rsidTr="00BB1D82">
        <w:trPr>
          <w:cantSplit/>
        </w:trPr>
        <w:tc>
          <w:tcPr>
            <w:tcW w:w="6911" w:type="dxa"/>
            <w:tcBorders>
              <w:top w:val="single" w:sz="12" w:space="0" w:color="auto"/>
            </w:tcBorders>
          </w:tcPr>
          <w:p w14:paraId="6235BC09" w14:textId="77777777" w:rsidR="00BB1D82" w:rsidRPr="00850483" w:rsidRDefault="00BB1D82" w:rsidP="00886B0E">
            <w:pPr>
              <w:spacing w:before="0" w:after="48"/>
              <w:rPr>
                <w:rFonts w:ascii="Verdana" w:hAnsi="Verdana"/>
                <w:b/>
                <w:smallCaps/>
                <w:sz w:val="20"/>
              </w:rPr>
            </w:pPr>
          </w:p>
        </w:tc>
        <w:tc>
          <w:tcPr>
            <w:tcW w:w="3120" w:type="dxa"/>
            <w:tcBorders>
              <w:top w:val="single" w:sz="12" w:space="0" w:color="auto"/>
            </w:tcBorders>
          </w:tcPr>
          <w:p w14:paraId="427BA2C6" w14:textId="77777777" w:rsidR="00BB1D82" w:rsidRPr="00850483" w:rsidRDefault="00BB1D82" w:rsidP="00886B0E">
            <w:pPr>
              <w:spacing w:before="0"/>
              <w:rPr>
                <w:rFonts w:ascii="Verdana" w:hAnsi="Verdana"/>
                <w:sz w:val="20"/>
              </w:rPr>
            </w:pPr>
          </w:p>
        </w:tc>
      </w:tr>
      <w:tr w:rsidR="00BB1D82" w:rsidRPr="00850483" w14:paraId="7BDBCC32" w14:textId="77777777" w:rsidTr="00BB1D82">
        <w:trPr>
          <w:cantSplit/>
        </w:trPr>
        <w:tc>
          <w:tcPr>
            <w:tcW w:w="6911" w:type="dxa"/>
          </w:tcPr>
          <w:p w14:paraId="2273E9D1" w14:textId="77777777" w:rsidR="00BB1D82" w:rsidRPr="00850483" w:rsidRDefault="006D4724" w:rsidP="00886B0E">
            <w:pPr>
              <w:spacing w:before="0"/>
              <w:rPr>
                <w:rFonts w:ascii="Verdana" w:hAnsi="Verdana"/>
                <w:b/>
                <w:sz w:val="20"/>
              </w:rPr>
            </w:pPr>
            <w:r w:rsidRPr="00850483">
              <w:rPr>
                <w:rFonts w:ascii="Verdana" w:hAnsi="Verdana"/>
                <w:b/>
                <w:sz w:val="20"/>
              </w:rPr>
              <w:t>SÉANCE PLÉNIÈRE</w:t>
            </w:r>
          </w:p>
        </w:tc>
        <w:tc>
          <w:tcPr>
            <w:tcW w:w="3120" w:type="dxa"/>
          </w:tcPr>
          <w:p w14:paraId="53DDB7AA" w14:textId="77777777" w:rsidR="00BB1D82" w:rsidRPr="00850483" w:rsidRDefault="006D4724" w:rsidP="00886B0E">
            <w:pPr>
              <w:spacing w:before="0"/>
              <w:rPr>
                <w:rFonts w:ascii="Verdana" w:hAnsi="Verdana"/>
                <w:sz w:val="20"/>
              </w:rPr>
            </w:pPr>
            <w:r w:rsidRPr="00850483">
              <w:rPr>
                <w:rFonts w:ascii="Verdana" w:hAnsi="Verdana"/>
                <w:b/>
                <w:sz w:val="20"/>
              </w:rPr>
              <w:t>Addendum 1 au</w:t>
            </w:r>
            <w:r w:rsidRPr="00850483">
              <w:rPr>
                <w:rFonts w:ascii="Verdana" w:hAnsi="Verdana"/>
                <w:b/>
                <w:sz w:val="20"/>
              </w:rPr>
              <w:br/>
              <w:t>Document 28(Add.21)</w:t>
            </w:r>
            <w:r w:rsidR="00BB1D82" w:rsidRPr="00850483">
              <w:rPr>
                <w:rFonts w:ascii="Verdana" w:hAnsi="Verdana"/>
                <w:b/>
                <w:sz w:val="20"/>
              </w:rPr>
              <w:t>-</w:t>
            </w:r>
            <w:r w:rsidRPr="00850483">
              <w:rPr>
                <w:rFonts w:ascii="Verdana" w:hAnsi="Verdana"/>
                <w:b/>
                <w:sz w:val="20"/>
              </w:rPr>
              <w:t>F</w:t>
            </w:r>
          </w:p>
        </w:tc>
      </w:tr>
      <w:bookmarkEnd w:id="0"/>
      <w:tr w:rsidR="00690C7B" w:rsidRPr="00850483" w14:paraId="057685D8" w14:textId="77777777" w:rsidTr="00BB1D82">
        <w:trPr>
          <w:cantSplit/>
        </w:trPr>
        <w:tc>
          <w:tcPr>
            <w:tcW w:w="6911" w:type="dxa"/>
          </w:tcPr>
          <w:p w14:paraId="3A359965" w14:textId="77777777" w:rsidR="00690C7B" w:rsidRPr="00850483" w:rsidRDefault="00690C7B" w:rsidP="00886B0E">
            <w:pPr>
              <w:spacing w:before="0"/>
              <w:rPr>
                <w:rFonts w:ascii="Verdana" w:hAnsi="Verdana"/>
                <w:b/>
                <w:sz w:val="20"/>
              </w:rPr>
            </w:pPr>
          </w:p>
        </w:tc>
        <w:tc>
          <w:tcPr>
            <w:tcW w:w="3120" w:type="dxa"/>
          </w:tcPr>
          <w:p w14:paraId="354A7BA7" w14:textId="77777777" w:rsidR="00690C7B" w:rsidRPr="00850483" w:rsidRDefault="00690C7B" w:rsidP="00886B0E">
            <w:pPr>
              <w:spacing w:before="0"/>
              <w:rPr>
                <w:rFonts w:ascii="Verdana" w:hAnsi="Verdana"/>
                <w:b/>
                <w:sz w:val="20"/>
              </w:rPr>
            </w:pPr>
            <w:r w:rsidRPr="00850483">
              <w:rPr>
                <w:rFonts w:ascii="Verdana" w:hAnsi="Verdana"/>
                <w:b/>
                <w:sz w:val="20"/>
              </w:rPr>
              <w:t>27 septembre 2019</w:t>
            </w:r>
          </w:p>
        </w:tc>
      </w:tr>
      <w:tr w:rsidR="00690C7B" w:rsidRPr="00850483" w14:paraId="484D2EFB" w14:textId="77777777" w:rsidTr="00BB1D82">
        <w:trPr>
          <w:cantSplit/>
        </w:trPr>
        <w:tc>
          <w:tcPr>
            <w:tcW w:w="6911" w:type="dxa"/>
          </w:tcPr>
          <w:p w14:paraId="2EF97095" w14:textId="77777777" w:rsidR="00690C7B" w:rsidRPr="00850483" w:rsidRDefault="00690C7B" w:rsidP="00886B0E">
            <w:pPr>
              <w:spacing w:before="0" w:after="48"/>
              <w:rPr>
                <w:rFonts w:ascii="Verdana" w:hAnsi="Verdana"/>
                <w:b/>
                <w:smallCaps/>
                <w:sz w:val="20"/>
              </w:rPr>
            </w:pPr>
          </w:p>
        </w:tc>
        <w:tc>
          <w:tcPr>
            <w:tcW w:w="3120" w:type="dxa"/>
          </w:tcPr>
          <w:p w14:paraId="3260D80D" w14:textId="77777777" w:rsidR="00690C7B" w:rsidRPr="00850483" w:rsidRDefault="00690C7B" w:rsidP="00886B0E">
            <w:pPr>
              <w:spacing w:before="0"/>
              <w:rPr>
                <w:rFonts w:ascii="Verdana" w:hAnsi="Verdana"/>
                <w:b/>
                <w:sz w:val="20"/>
              </w:rPr>
            </w:pPr>
            <w:r w:rsidRPr="00850483">
              <w:rPr>
                <w:rFonts w:ascii="Verdana" w:hAnsi="Verdana"/>
                <w:b/>
                <w:sz w:val="20"/>
              </w:rPr>
              <w:t>Original: chinois</w:t>
            </w:r>
          </w:p>
        </w:tc>
      </w:tr>
      <w:tr w:rsidR="00690C7B" w:rsidRPr="00850483" w14:paraId="0E56916E" w14:textId="77777777" w:rsidTr="00C11970">
        <w:trPr>
          <w:cantSplit/>
        </w:trPr>
        <w:tc>
          <w:tcPr>
            <w:tcW w:w="10031" w:type="dxa"/>
            <w:gridSpan w:val="2"/>
          </w:tcPr>
          <w:p w14:paraId="54103F3B" w14:textId="77777777" w:rsidR="00690C7B" w:rsidRPr="00850483" w:rsidRDefault="00690C7B" w:rsidP="00886B0E">
            <w:pPr>
              <w:spacing w:before="0"/>
              <w:rPr>
                <w:rFonts w:ascii="Verdana" w:hAnsi="Verdana"/>
                <w:b/>
                <w:sz w:val="20"/>
              </w:rPr>
            </w:pPr>
          </w:p>
        </w:tc>
      </w:tr>
      <w:tr w:rsidR="00690C7B" w:rsidRPr="00850483" w14:paraId="230CEDFE" w14:textId="77777777" w:rsidTr="0050008E">
        <w:trPr>
          <w:cantSplit/>
        </w:trPr>
        <w:tc>
          <w:tcPr>
            <w:tcW w:w="10031" w:type="dxa"/>
            <w:gridSpan w:val="2"/>
          </w:tcPr>
          <w:p w14:paraId="2A15D804" w14:textId="77777777" w:rsidR="00690C7B" w:rsidRPr="00850483" w:rsidRDefault="00690C7B" w:rsidP="00886B0E">
            <w:pPr>
              <w:pStyle w:val="Source"/>
            </w:pPr>
            <w:bookmarkStart w:id="1" w:name="dsource" w:colFirst="0" w:colLast="0"/>
            <w:r w:rsidRPr="00850483">
              <w:t>Chine (République populaire de)</w:t>
            </w:r>
          </w:p>
        </w:tc>
      </w:tr>
      <w:tr w:rsidR="00690C7B" w:rsidRPr="00850483" w14:paraId="6A8B8DD2" w14:textId="77777777" w:rsidTr="0050008E">
        <w:trPr>
          <w:cantSplit/>
        </w:trPr>
        <w:tc>
          <w:tcPr>
            <w:tcW w:w="10031" w:type="dxa"/>
            <w:gridSpan w:val="2"/>
          </w:tcPr>
          <w:p w14:paraId="4212E943" w14:textId="10C99084" w:rsidR="00690C7B" w:rsidRPr="00850483" w:rsidRDefault="002D0C9E" w:rsidP="00886B0E">
            <w:pPr>
              <w:pStyle w:val="Title1"/>
            </w:pPr>
            <w:bookmarkStart w:id="2" w:name="dtitle1" w:colFirst="0" w:colLast="0"/>
            <w:bookmarkEnd w:id="1"/>
            <w:r w:rsidRPr="00850483">
              <w:t>PROPOSITIONS POUR LES TRAVAUX DE LA CONFÉRENCE</w:t>
            </w:r>
          </w:p>
        </w:tc>
      </w:tr>
      <w:tr w:rsidR="00690C7B" w:rsidRPr="00850483" w14:paraId="7609DD36" w14:textId="77777777" w:rsidTr="0050008E">
        <w:trPr>
          <w:cantSplit/>
        </w:trPr>
        <w:tc>
          <w:tcPr>
            <w:tcW w:w="10031" w:type="dxa"/>
            <w:gridSpan w:val="2"/>
          </w:tcPr>
          <w:p w14:paraId="06CCB35E" w14:textId="77777777" w:rsidR="00690C7B" w:rsidRPr="00850483" w:rsidRDefault="00690C7B" w:rsidP="00886B0E">
            <w:pPr>
              <w:pStyle w:val="Title2"/>
            </w:pPr>
            <w:bookmarkStart w:id="3" w:name="dtitle2" w:colFirst="0" w:colLast="0"/>
            <w:bookmarkEnd w:id="2"/>
          </w:p>
        </w:tc>
      </w:tr>
      <w:tr w:rsidR="00690C7B" w:rsidRPr="00850483" w14:paraId="6824F847" w14:textId="77777777" w:rsidTr="0050008E">
        <w:trPr>
          <w:cantSplit/>
        </w:trPr>
        <w:tc>
          <w:tcPr>
            <w:tcW w:w="10031" w:type="dxa"/>
            <w:gridSpan w:val="2"/>
          </w:tcPr>
          <w:p w14:paraId="73784611" w14:textId="77777777" w:rsidR="00690C7B" w:rsidRPr="00850483" w:rsidRDefault="00690C7B" w:rsidP="00886B0E">
            <w:pPr>
              <w:pStyle w:val="Agendaitem"/>
              <w:rPr>
                <w:lang w:val="fr-FR"/>
              </w:rPr>
            </w:pPr>
            <w:bookmarkStart w:id="4" w:name="dtitle3" w:colFirst="0" w:colLast="0"/>
            <w:bookmarkEnd w:id="3"/>
            <w:r w:rsidRPr="00850483">
              <w:rPr>
                <w:lang w:val="fr-FR"/>
              </w:rPr>
              <w:t>Point 9.1(9.1.1) de l'ordre du jour</w:t>
            </w:r>
          </w:p>
        </w:tc>
      </w:tr>
    </w:tbl>
    <w:bookmarkEnd w:id="4"/>
    <w:p w14:paraId="6D55B09B" w14:textId="5F7EADC7" w:rsidR="001C0E40" w:rsidRPr="00850483" w:rsidRDefault="00274DA2" w:rsidP="00C60868">
      <w:pPr>
        <w:pStyle w:val="Normalaftertitle"/>
      </w:pPr>
      <w:r w:rsidRPr="00850483">
        <w:t>9</w:t>
      </w:r>
      <w:r w:rsidRPr="00850483">
        <w:tab/>
        <w:t xml:space="preserve">examiner et approuver le </w:t>
      </w:r>
      <w:r w:rsidR="00C60868" w:rsidRPr="00850483">
        <w:t>R</w:t>
      </w:r>
      <w:r w:rsidRPr="00850483">
        <w:t>apport du Directeur du Bureau des radiocommunications, conformément à l'article 7 de la Convention:</w:t>
      </w:r>
    </w:p>
    <w:p w14:paraId="0B650AF8" w14:textId="77777777" w:rsidR="001C0E40" w:rsidRPr="00850483" w:rsidRDefault="00274DA2" w:rsidP="00886B0E">
      <w:r w:rsidRPr="00850483">
        <w:t>9.1</w:t>
      </w:r>
      <w:r w:rsidRPr="00850483">
        <w:tab/>
        <w:t>sur les activités du Secteur des radiocommunications depuis la CMR</w:t>
      </w:r>
      <w:r w:rsidRPr="00850483">
        <w:noBreakHyphen/>
        <w:t>15;</w:t>
      </w:r>
    </w:p>
    <w:p w14:paraId="3E628BDC" w14:textId="77777777" w:rsidR="001C0E40" w:rsidRPr="00850483" w:rsidRDefault="00274DA2" w:rsidP="00886B0E">
      <w:r w:rsidRPr="00850483">
        <w:rPr>
          <w:rFonts w:cstheme="majorBidi"/>
          <w:color w:val="000000"/>
          <w:szCs w:val="24"/>
          <w:lang w:eastAsia="zh-CN"/>
        </w:rPr>
        <w:t>9.1 (</w:t>
      </w:r>
      <w:r w:rsidRPr="00850483">
        <w:rPr>
          <w:lang w:eastAsia="zh-CN"/>
        </w:rPr>
        <w:t>9.1.1)</w:t>
      </w:r>
      <w:r w:rsidRPr="00850483">
        <w:tab/>
      </w:r>
      <w:hyperlink w:anchor="RES_212" w:history="1">
        <w:r w:rsidRPr="00850483">
          <w:t xml:space="preserve">Résolution </w:t>
        </w:r>
        <w:r w:rsidRPr="00850483">
          <w:rPr>
            <w:b/>
            <w:bCs/>
          </w:rPr>
          <w:t>212 (Rév.CMR-15)</w:t>
        </w:r>
      </w:hyperlink>
      <w:r w:rsidRPr="00850483">
        <w:t xml:space="preserve"> – Mise en œuvre des Télécommunications mobiles internationales dans les bandes de fréquences 1 885</w:t>
      </w:r>
      <w:r w:rsidRPr="00850483">
        <w:noBreakHyphen/>
        <w:t>2 025 MHz et 2 110</w:t>
      </w:r>
      <w:r w:rsidRPr="00850483">
        <w:noBreakHyphen/>
        <w:t>2 200 MHz</w:t>
      </w:r>
    </w:p>
    <w:p w14:paraId="060BC86C" w14:textId="25CC1368" w:rsidR="00773295" w:rsidRPr="00850483" w:rsidRDefault="00773295" w:rsidP="00886B0E">
      <w:r w:rsidRPr="00850483">
        <w:t xml:space="preserve">étudier les éventuelles mesures techniques et opérationnelles propres à assurer la coexistence et la compatibilité entre la composante de Terre des IMT (dans le service mobile) et la composante satellite des IMT (dans le service mobile </w:t>
      </w:r>
      <w:r w:rsidR="005B6FD0" w:rsidRPr="00850483">
        <w:t>et</w:t>
      </w:r>
      <w:r w:rsidR="00886B0E" w:rsidRPr="00850483">
        <w:t xml:space="preserve"> dans</w:t>
      </w:r>
      <w:r w:rsidR="005B6FD0" w:rsidRPr="00850483">
        <w:t xml:space="preserve"> le service mobile </w:t>
      </w:r>
      <w:r w:rsidRPr="00850483">
        <w:t xml:space="preserve">par satellite) dans les bandes de fréquences 1 980-2 010 MHz et 2 170-2 200 MHz, lorsque ces bandes de fréquences sont utilisées en partage par le </w:t>
      </w:r>
      <w:r w:rsidR="005B6FD0" w:rsidRPr="00850483">
        <w:t>service mobile</w:t>
      </w:r>
      <w:r w:rsidRPr="00850483">
        <w:t xml:space="preserve"> et le </w:t>
      </w:r>
      <w:r w:rsidR="005B6FD0" w:rsidRPr="00850483">
        <w:t xml:space="preserve">service mobile par satellite </w:t>
      </w:r>
      <w:r w:rsidRPr="00850483">
        <w:t>dans différents pays, en particulier pour le déploiement des</w:t>
      </w:r>
      <w:r w:rsidR="00C60868" w:rsidRPr="00850483">
        <w:t xml:space="preserve"> </w:t>
      </w:r>
      <w:r w:rsidRPr="00850483">
        <w:t>composantes indépendantes satellite et de Terre des IMT, et faciliter le développement à la fois de la composante de Terre et de la composante satellite des</w:t>
      </w:r>
      <w:r w:rsidR="00C60868" w:rsidRPr="00850483">
        <w:t xml:space="preserve"> </w:t>
      </w:r>
      <w:r w:rsidRPr="00850483">
        <w:t>IMT</w:t>
      </w:r>
      <w:r w:rsidR="00C60868" w:rsidRPr="00850483">
        <w:t>.</w:t>
      </w:r>
    </w:p>
    <w:p w14:paraId="0D149833" w14:textId="77777777" w:rsidR="00773295" w:rsidRPr="00850483" w:rsidRDefault="00773295" w:rsidP="00886B0E">
      <w:pPr>
        <w:pStyle w:val="Heading1"/>
        <w:rPr>
          <w:lang w:eastAsia="ko-KR"/>
        </w:rPr>
      </w:pPr>
      <w:r w:rsidRPr="00850483">
        <w:rPr>
          <w:lang w:eastAsia="ko-KR"/>
        </w:rPr>
        <w:t>1</w:t>
      </w:r>
      <w:r w:rsidRPr="00850483">
        <w:rPr>
          <w:lang w:eastAsia="ko-KR"/>
        </w:rPr>
        <w:tab/>
        <w:t>Considérations générales</w:t>
      </w:r>
    </w:p>
    <w:p w14:paraId="6A1FA282" w14:textId="77777777" w:rsidR="00773295" w:rsidRPr="00850483" w:rsidRDefault="00773295" w:rsidP="00886B0E">
      <w:pPr>
        <w:rPr>
          <w:lang w:eastAsia="ja-JP"/>
        </w:rPr>
      </w:pPr>
      <w:r w:rsidRPr="00850483">
        <w:rPr>
          <w:lang w:eastAsia="ja-JP"/>
        </w:rPr>
        <w:t>Les bandes de fréquences 1 885-2 025 MHz et 2 110-2 200 MHz sont identifiées dans le Règlement des radiocommunications (RR) pour être utilisées par les Télécommunications mobiles internationales (IMT). À l'intérieur de ces grandes gammes de fréquences, les bandes de fréquences 1 980-2 010 MHz et 2 170-2 200 MHz sont attribuées au service fixe (SF), au service mobile (SM) et au service mobile par satellite (SMS) à titre primaire avec égalité des droits. La bande de fréquences 1 980-2 010 MHz est attribuée au SMS dans le sens Terre vers espace et la bande de fréquences 2 170-2 200 MHz dans le sens espace vers Terre. Les composantes satellite et de Terre des IMT ont toutes deux été déployées dans ces bandes de fréquences ou un déploiement ultérieur est actuellement envisagé.</w:t>
      </w:r>
    </w:p>
    <w:p w14:paraId="5AAA4817" w14:textId="77777777" w:rsidR="00773295" w:rsidRPr="00850483" w:rsidRDefault="00773295" w:rsidP="00886B0E">
      <w:pPr>
        <w:rPr>
          <w:lang w:eastAsia="ja-JP"/>
        </w:rPr>
      </w:pPr>
      <w:r w:rsidRPr="00850483">
        <w:rPr>
          <w:lang w:eastAsia="ja-JP"/>
        </w:rPr>
        <w:t xml:space="preserve">Conformément à la Résolution </w:t>
      </w:r>
      <w:r w:rsidRPr="00850483">
        <w:rPr>
          <w:b/>
          <w:bCs/>
          <w:lang w:eastAsia="ja-JP"/>
        </w:rPr>
        <w:t>212 (Rév.CMR-15)</w:t>
      </w:r>
      <w:r w:rsidRPr="00850483">
        <w:rPr>
          <w:lang w:eastAsia="ja-JP"/>
        </w:rPr>
        <w:t xml:space="preserve">, les études de l'UIT-R portaient sur la question de la coexistence et de la compatibilité entre la composante de Terre des IMT (composée de stations de base (BS) et d'équipements d'utilisateur (UE)) et la composante satellite des IMT (composée de </w:t>
      </w:r>
      <w:r w:rsidRPr="00850483">
        <w:rPr>
          <w:lang w:eastAsia="ja-JP"/>
        </w:rPr>
        <w:lastRenderedPageBreak/>
        <w:t>stations spatiales du SMS et de stations terriennes mobiles (MES)) dans plusieurs pays, au regard de quatre scénarios de brouillage, à savoir, A1, A2, B1 et B2, respectivement.</w:t>
      </w:r>
    </w:p>
    <w:p w14:paraId="519C85A7" w14:textId="53C93344" w:rsidR="00773295" w:rsidRPr="00850483" w:rsidRDefault="00773295" w:rsidP="00886B0E">
      <w:r w:rsidRPr="00850483">
        <w:t>Selon les études de l'UIT-R, les brouillages éventuels peuvent être surmontés dans trois des quatre scénarios de partage au moyen de mesures techniques et opérationnelles, grâce à l'application des procédures de coordination figurant dans le Règlement des radiocommunications. Dans le cas restant,</w:t>
      </w:r>
      <w:r w:rsidR="005B6FD0" w:rsidRPr="00850483">
        <w:t xml:space="preserve"> qui </w:t>
      </w:r>
      <w:r w:rsidRPr="00850483">
        <w:t xml:space="preserve">correspond à des stations de Terre d'émission des IMT vis-à-vis de stations spatiales de réception des IMT dans la bande de fréquences 1 980-2 010 MHz (scénario A1), le niveau des brouillages pouvant être causés par les équipements d'utilisateur IMT aux stations spatiales IMT est faible et peut être atténué au moyen de mesures techniques et opérationnelles, </w:t>
      </w:r>
      <w:r w:rsidR="005B6FD0" w:rsidRPr="00850483">
        <w:t>tandis que</w:t>
      </w:r>
      <w:r w:rsidRPr="00850483">
        <w:t xml:space="preserve"> le niveau des brouillages pouvant être causés par les stations de base IMT aux stations spatiales IMT est élevé et ne peut pas être </w:t>
      </w:r>
      <w:r w:rsidR="005B6FD0" w:rsidRPr="00850483">
        <w:t>réduit à néant</w:t>
      </w:r>
      <w:r w:rsidRPr="00850483">
        <w:t xml:space="preserve"> par des mesures techniques et opérationnelles.</w:t>
      </w:r>
    </w:p>
    <w:p w14:paraId="7CC035B3" w14:textId="77777777" w:rsidR="00773295" w:rsidRPr="00850483" w:rsidRDefault="00773295" w:rsidP="00886B0E">
      <w:pPr>
        <w:pStyle w:val="FigureNo"/>
      </w:pPr>
      <w:r w:rsidRPr="00850483">
        <w:t>Figure 1</w:t>
      </w:r>
    </w:p>
    <w:p w14:paraId="74D912A7" w14:textId="5B30E36E" w:rsidR="00773295" w:rsidRPr="00850483" w:rsidRDefault="00773295" w:rsidP="00886B0E">
      <w:pPr>
        <w:pStyle w:val="Figuretitle"/>
      </w:pPr>
      <w:r w:rsidRPr="00850483">
        <w:t xml:space="preserve">Scénarios de brouillage entre la composante satellite </w:t>
      </w:r>
      <w:r w:rsidR="005B6FD0" w:rsidRPr="00850483">
        <w:t xml:space="preserve">des IMT </w:t>
      </w:r>
      <w:r w:rsidRPr="00850483">
        <w:t>et la composante de Terre des IMT</w:t>
      </w:r>
    </w:p>
    <w:p w14:paraId="46AD8FF9" w14:textId="77777777" w:rsidR="00773295" w:rsidRPr="00850483" w:rsidRDefault="00773295" w:rsidP="00886B0E">
      <w:pPr>
        <w:pStyle w:val="Figure"/>
      </w:pPr>
      <w:r w:rsidRPr="00850483">
        <w:rPr>
          <w:lang w:eastAsia="en-GB"/>
        </w:rPr>
        <w:drawing>
          <wp:inline distT="0" distB="0" distL="0" distR="0" wp14:anchorId="4A9CB582" wp14:editId="78EC2B6B">
            <wp:extent cx="4857750" cy="21145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89622"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t="4398" r="7942" b="9440"/>
                    <a:stretch>
                      <a:fillRect/>
                    </a:stretch>
                  </pic:blipFill>
                  <pic:spPr>
                    <a:xfrm>
                      <a:off x="0" y="0"/>
                      <a:ext cx="4857750" cy="2114550"/>
                    </a:xfrm>
                    <a:prstGeom prst="rect">
                      <a:avLst/>
                    </a:prstGeom>
                    <a:noFill/>
                    <a:ln>
                      <a:noFill/>
                    </a:ln>
                  </pic:spPr>
                </pic:pic>
              </a:graphicData>
            </a:graphic>
          </wp:inline>
        </w:drawing>
      </w:r>
    </w:p>
    <w:p w14:paraId="5802B5A4" w14:textId="2C8BC2F4" w:rsidR="008C1401" w:rsidRPr="00850483" w:rsidRDefault="008C1401" w:rsidP="00886B0E">
      <w:r w:rsidRPr="00850483">
        <w:t>P</w:t>
      </w:r>
      <w:r w:rsidR="00773295" w:rsidRPr="00850483">
        <w:t xml:space="preserve">ays A; </w:t>
      </w:r>
      <w:r w:rsidRPr="00850483">
        <w:rPr>
          <w:b/>
          <w:bCs/>
        </w:rPr>
        <w:t>S</w:t>
      </w:r>
      <w:r w:rsidR="00773295" w:rsidRPr="00850483">
        <w:rPr>
          <w:b/>
          <w:bCs/>
        </w:rPr>
        <w:t>tation de base</w:t>
      </w:r>
      <w:r w:rsidR="00773295" w:rsidRPr="00850483">
        <w:t xml:space="preserve">; </w:t>
      </w:r>
      <w:r w:rsidRPr="00850483">
        <w:br/>
        <w:t>É</w:t>
      </w:r>
      <w:r w:rsidR="00773295" w:rsidRPr="00850483">
        <w:t>quipement d'utilisateur</w:t>
      </w:r>
    </w:p>
    <w:p w14:paraId="0B790E50" w14:textId="2841350A" w:rsidR="00773295" w:rsidRPr="00850483" w:rsidRDefault="008C1401" w:rsidP="008C1401">
      <w:pPr>
        <w:ind w:left="3402"/>
      </w:pPr>
      <w:r w:rsidRPr="00850483">
        <w:t>P</w:t>
      </w:r>
      <w:r w:rsidR="00773295" w:rsidRPr="00850483">
        <w:t>ays B</w:t>
      </w:r>
      <w:r w:rsidRPr="00850483">
        <w:t>;</w:t>
      </w:r>
      <w:r w:rsidR="00773295" w:rsidRPr="00850483">
        <w:t xml:space="preserve"> </w:t>
      </w:r>
      <w:r w:rsidRPr="00850483">
        <w:rPr>
          <w:b/>
          <w:bCs/>
        </w:rPr>
        <w:t>S</w:t>
      </w:r>
      <w:r w:rsidR="00773295" w:rsidRPr="00850483">
        <w:rPr>
          <w:b/>
          <w:bCs/>
        </w:rPr>
        <w:t>atellite du SMS</w:t>
      </w:r>
      <w:r w:rsidR="00773295" w:rsidRPr="00850483">
        <w:t xml:space="preserve">; </w:t>
      </w:r>
      <w:r w:rsidRPr="00850483">
        <w:t>L</w:t>
      </w:r>
      <w:r w:rsidR="00773295" w:rsidRPr="00850483">
        <w:t>iaison montante: 1</w:t>
      </w:r>
      <w:r w:rsidR="009E325D" w:rsidRPr="00850483">
        <w:t xml:space="preserve"> </w:t>
      </w:r>
      <w:r w:rsidR="00773295" w:rsidRPr="00850483">
        <w:t>980-2</w:t>
      </w:r>
      <w:r w:rsidR="009E325D" w:rsidRPr="00850483">
        <w:t xml:space="preserve"> </w:t>
      </w:r>
      <w:r w:rsidR="00773295" w:rsidRPr="00850483">
        <w:t>010 MHz</w:t>
      </w:r>
      <w:r w:rsidRPr="00850483">
        <w:t>;</w:t>
      </w:r>
      <w:r w:rsidR="00773295" w:rsidRPr="00850483">
        <w:t xml:space="preserve"> </w:t>
      </w:r>
      <w:r w:rsidRPr="00850483">
        <w:br/>
        <w:t>L</w:t>
      </w:r>
      <w:r w:rsidR="00773295" w:rsidRPr="00850483">
        <w:t>iaison descendante: 2</w:t>
      </w:r>
      <w:r w:rsidR="009E325D" w:rsidRPr="00850483">
        <w:t xml:space="preserve"> </w:t>
      </w:r>
      <w:r w:rsidR="00773295" w:rsidRPr="00850483">
        <w:t>170-2</w:t>
      </w:r>
      <w:r w:rsidR="009E325D" w:rsidRPr="00850483">
        <w:t xml:space="preserve"> </w:t>
      </w:r>
      <w:r w:rsidR="00773295" w:rsidRPr="00850483">
        <w:t xml:space="preserve">200 MHz; </w:t>
      </w:r>
      <w:r w:rsidRPr="00850483">
        <w:rPr>
          <w:b/>
          <w:bCs/>
        </w:rPr>
        <w:t>S</w:t>
      </w:r>
      <w:r w:rsidR="00773295" w:rsidRPr="00850483">
        <w:rPr>
          <w:b/>
          <w:bCs/>
        </w:rPr>
        <w:t>tation MES</w:t>
      </w:r>
    </w:p>
    <w:p w14:paraId="3E26D826" w14:textId="7976969A" w:rsidR="00773295" w:rsidRPr="00850483" w:rsidRDefault="00773295" w:rsidP="00886B0E">
      <w:pPr>
        <w:pStyle w:val="TableNo"/>
      </w:pPr>
      <w:r w:rsidRPr="00850483">
        <w:t xml:space="preserve">TABLEAU </w:t>
      </w:r>
      <w:r w:rsidRPr="00850483">
        <w:fldChar w:fldCharType="begin"/>
      </w:r>
      <w:r w:rsidRPr="00850483">
        <w:instrText xml:space="preserve"> SEQ Table \* ARABIC </w:instrText>
      </w:r>
      <w:r w:rsidRPr="00850483">
        <w:fldChar w:fldCharType="separate"/>
      </w:r>
      <w:r w:rsidR="00AD1DC7">
        <w:rPr>
          <w:noProof/>
        </w:rPr>
        <w:t>1</w:t>
      </w:r>
      <w:r w:rsidRPr="00850483">
        <w:fldChar w:fldCharType="end"/>
      </w:r>
    </w:p>
    <w:p w14:paraId="733EEF69" w14:textId="77777777" w:rsidR="00773295" w:rsidRPr="00850483" w:rsidRDefault="00773295" w:rsidP="00886B0E">
      <w:pPr>
        <w:pStyle w:val="Tabletitle"/>
        <w:rPr>
          <w:rFonts w:eastAsia="SimSun" w:cstheme="minorHAnsi"/>
          <w:u w:val="single"/>
          <w:lang w:eastAsia="zh-CN"/>
        </w:rPr>
      </w:pPr>
      <w:r w:rsidRPr="00850483">
        <w:t>Scénarios de brouillage</w:t>
      </w:r>
    </w:p>
    <w:tbl>
      <w:tblPr>
        <w:tblStyle w:val="TableGrid"/>
        <w:tblpPr w:leftFromText="180" w:rightFromText="180" w:vertAnchor="text" w:horzAnchor="page" w:tblpX="1145" w:tblpY="96"/>
        <w:tblOverlap w:val="never"/>
        <w:tblW w:w="5000" w:type="pct"/>
        <w:tblLook w:val="04A0" w:firstRow="1" w:lastRow="0" w:firstColumn="1" w:lastColumn="0" w:noHBand="0" w:noVBand="1"/>
      </w:tblPr>
      <w:tblGrid>
        <w:gridCol w:w="1618"/>
        <w:gridCol w:w="2769"/>
        <w:gridCol w:w="2529"/>
        <w:gridCol w:w="2713"/>
      </w:tblGrid>
      <w:tr w:rsidR="00773295" w:rsidRPr="00850483" w14:paraId="58B0AFC2" w14:textId="77777777" w:rsidTr="00936CDE">
        <w:tc>
          <w:tcPr>
            <w:tcW w:w="840" w:type="pct"/>
            <w:vAlign w:val="center"/>
          </w:tcPr>
          <w:p w14:paraId="50738588" w14:textId="77777777" w:rsidR="00773295" w:rsidRPr="00850483" w:rsidRDefault="00773295" w:rsidP="00886B0E">
            <w:pPr>
              <w:pStyle w:val="Tablehead"/>
            </w:pPr>
            <w:bookmarkStart w:id="5" w:name="_Ref504137416"/>
            <w:r w:rsidRPr="00850483">
              <w:t>Scénario</w:t>
            </w:r>
          </w:p>
        </w:tc>
        <w:tc>
          <w:tcPr>
            <w:tcW w:w="1438" w:type="pct"/>
            <w:vAlign w:val="center"/>
          </w:tcPr>
          <w:p w14:paraId="7AD68BF1" w14:textId="77777777" w:rsidR="00773295" w:rsidRPr="00850483" w:rsidRDefault="00773295" w:rsidP="00886B0E">
            <w:pPr>
              <w:pStyle w:val="Tablehead"/>
            </w:pPr>
            <w:r w:rsidRPr="00850483">
              <w:t>Brouillage causé par</w:t>
            </w:r>
          </w:p>
        </w:tc>
        <w:tc>
          <w:tcPr>
            <w:tcW w:w="1313" w:type="pct"/>
            <w:vAlign w:val="center"/>
          </w:tcPr>
          <w:p w14:paraId="13C39F14" w14:textId="77777777" w:rsidR="00773295" w:rsidRPr="00850483" w:rsidRDefault="00773295" w:rsidP="00886B0E">
            <w:pPr>
              <w:pStyle w:val="Tablehead"/>
            </w:pPr>
            <w:r w:rsidRPr="00850483">
              <w:t>Brouillage subi par</w:t>
            </w:r>
          </w:p>
        </w:tc>
        <w:tc>
          <w:tcPr>
            <w:tcW w:w="1409" w:type="pct"/>
            <w:vAlign w:val="center"/>
          </w:tcPr>
          <w:p w14:paraId="52BA85ED" w14:textId="77777777" w:rsidR="00773295" w:rsidRPr="00850483" w:rsidRDefault="00773295" w:rsidP="00886B0E">
            <w:pPr>
              <w:pStyle w:val="Tablehead"/>
            </w:pPr>
            <w:r w:rsidRPr="00850483">
              <w:t>Bande de fréquences</w:t>
            </w:r>
          </w:p>
        </w:tc>
      </w:tr>
      <w:tr w:rsidR="00773295" w:rsidRPr="00850483" w14:paraId="4FCB5F62" w14:textId="77777777" w:rsidTr="00936CDE">
        <w:tc>
          <w:tcPr>
            <w:tcW w:w="840" w:type="pct"/>
            <w:vAlign w:val="center"/>
          </w:tcPr>
          <w:p w14:paraId="0D539D71" w14:textId="77777777" w:rsidR="00773295" w:rsidRPr="00850483" w:rsidRDefault="00773295" w:rsidP="00886B0E">
            <w:pPr>
              <w:pStyle w:val="Tabletext"/>
              <w:jc w:val="center"/>
            </w:pPr>
            <w:r w:rsidRPr="00850483">
              <w:t>A1</w:t>
            </w:r>
          </w:p>
        </w:tc>
        <w:tc>
          <w:tcPr>
            <w:tcW w:w="1438" w:type="pct"/>
            <w:vAlign w:val="center"/>
          </w:tcPr>
          <w:p w14:paraId="5BCBA41B" w14:textId="08C2E04A" w:rsidR="00773295" w:rsidRPr="00850483" w:rsidRDefault="00773295" w:rsidP="00886B0E">
            <w:pPr>
              <w:pStyle w:val="Tabletext"/>
              <w:jc w:val="center"/>
              <w:rPr>
                <w:lang w:eastAsia="de-DE"/>
              </w:rPr>
            </w:pPr>
            <w:r w:rsidRPr="00850483">
              <w:rPr>
                <w:lang w:eastAsia="de-DE"/>
              </w:rPr>
              <w:t xml:space="preserve">Station de base IMT </w:t>
            </w:r>
            <w:r w:rsidR="008C1401" w:rsidRPr="00850483">
              <w:rPr>
                <w:lang w:eastAsia="de-DE"/>
              </w:rPr>
              <w:br/>
            </w:r>
            <w:r w:rsidRPr="00850483">
              <w:rPr>
                <w:lang w:eastAsia="de-DE"/>
              </w:rPr>
              <w:t>(liaison descendante)</w:t>
            </w:r>
          </w:p>
          <w:p w14:paraId="2E639885" w14:textId="77777777" w:rsidR="00773295" w:rsidRPr="00850483" w:rsidRDefault="00773295" w:rsidP="00886B0E">
            <w:pPr>
              <w:pStyle w:val="Tabletext"/>
              <w:jc w:val="center"/>
            </w:pPr>
            <w:r w:rsidRPr="00850483">
              <w:rPr>
                <w:lang w:eastAsia="de-DE"/>
              </w:rPr>
              <w:t>Équipement d'utilisateur IMT (liaison montante)</w:t>
            </w:r>
          </w:p>
        </w:tc>
        <w:tc>
          <w:tcPr>
            <w:tcW w:w="1313" w:type="pct"/>
            <w:vAlign w:val="center"/>
          </w:tcPr>
          <w:p w14:paraId="3DDEF1B2" w14:textId="77777777" w:rsidR="00773295" w:rsidRPr="00850483" w:rsidRDefault="00773295" w:rsidP="00886B0E">
            <w:pPr>
              <w:pStyle w:val="Tabletext"/>
              <w:jc w:val="center"/>
            </w:pPr>
            <w:r w:rsidRPr="00850483">
              <w:rPr>
                <w:lang w:eastAsia="de-DE"/>
              </w:rPr>
              <w:t>Station spatiale IMT</w:t>
            </w:r>
          </w:p>
        </w:tc>
        <w:tc>
          <w:tcPr>
            <w:tcW w:w="1409" w:type="pct"/>
            <w:vAlign w:val="center"/>
          </w:tcPr>
          <w:p w14:paraId="2CEB092A" w14:textId="77777777" w:rsidR="00773295" w:rsidRPr="00850483" w:rsidRDefault="00773295" w:rsidP="00886B0E">
            <w:pPr>
              <w:pStyle w:val="Tabletext"/>
              <w:jc w:val="center"/>
            </w:pPr>
            <w:r w:rsidRPr="00850483">
              <w:rPr>
                <w:lang w:eastAsia="de-DE"/>
              </w:rPr>
              <w:t>1 980-2 010 MHz</w:t>
            </w:r>
          </w:p>
        </w:tc>
      </w:tr>
      <w:tr w:rsidR="00773295" w:rsidRPr="00850483" w14:paraId="23762A88" w14:textId="77777777" w:rsidTr="00936CDE">
        <w:tc>
          <w:tcPr>
            <w:tcW w:w="840" w:type="pct"/>
            <w:vAlign w:val="center"/>
          </w:tcPr>
          <w:p w14:paraId="4817053F" w14:textId="77777777" w:rsidR="00773295" w:rsidRPr="00850483" w:rsidRDefault="00773295" w:rsidP="00886B0E">
            <w:pPr>
              <w:pStyle w:val="Tabletext"/>
              <w:jc w:val="center"/>
            </w:pPr>
            <w:r w:rsidRPr="00850483">
              <w:t>A2</w:t>
            </w:r>
          </w:p>
        </w:tc>
        <w:tc>
          <w:tcPr>
            <w:tcW w:w="1438" w:type="pct"/>
            <w:vAlign w:val="center"/>
          </w:tcPr>
          <w:p w14:paraId="36312924" w14:textId="7D91C7C7" w:rsidR="00773295" w:rsidRPr="00850483" w:rsidRDefault="00773295" w:rsidP="00886B0E">
            <w:pPr>
              <w:pStyle w:val="Tabletext"/>
              <w:jc w:val="center"/>
            </w:pPr>
            <w:r w:rsidRPr="00850483">
              <w:rPr>
                <w:lang w:eastAsia="de-DE"/>
              </w:rPr>
              <w:t>Station de base IMT</w:t>
            </w:r>
          </w:p>
        </w:tc>
        <w:tc>
          <w:tcPr>
            <w:tcW w:w="1313" w:type="pct"/>
            <w:vAlign w:val="center"/>
          </w:tcPr>
          <w:p w14:paraId="17040918" w14:textId="77777777" w:rsidR="00773295" w:rsidRPr="00850483" w:rsidRDefault="00773295" w:rsidP="00886B0E">
            <w:pPr>
              <w:pStyle w:val="Tabletext"/>
              <w:jc w:val="center"/>
            </w:pPr>
            <w:r w:rsidRPr="00850483">
              <w:rPr>
                <w:lang w:eastAsia="de-DE"/>
              </w:rPr>
              <w:t>Station MES IMT</w:t>
            </w:r>
          </w:p>
        </w:tc>
        <w:tc>
          <w:tcPr>
            <w:tcW w:w="1409" w:type="pct"/>
            <w:vAlign w:val="center"/>
          </w:tcPr>
          <w:p w14:paraId="10DDAE58" w14:textId="77777777" w:rsidR="00773295" w:rsidRPr="00850483" w:rsidRDefault="00773295" w:rsidP="00886B0E">
            <w:pPr>
              <w:pStyle w:val="Tabletext"/>
              <w:jc w:val="center"/>
            </w:pPr>
            <w:r w:rsidRPr="00850483">
              <w:rPr>
                <w:lang w:eastAsia="de-DE"/>
              </w:rPr>
              <w:t>2 170-2 200 MHz</w:t>
            </w:r>
          </w:p>
        </w:tc>
      </w:tr>
      <w:tr w:rsidR="00773295" w:rsidRPr="00850483" w14:paraId="45BD4798" w14:textId="77777777" w:rsidTr="00936CDE">
        <w:tc>
          <w:tcPr>
            <w:tcW w:w="840" w:type="pct"/>
            <w:vAlign w:val="center"/>
          </w:tcPr>
          <w:p w14:paraId="074A5E9A" w14:textId="77777777" w:rsidR="00773295" w:rsidRPr="00850483" w:rsidRDefault="00773295" w:rsidP="00886B0E">
            <w:pPr>
              <w:pStyle w:val="Tabletext"/>
              <w:jc w:val="center"/>
            </w:pPr>
            <w:r w:rsidRPr="00850483">
              <w:t>B1</w:t>
            </w:r>
          </w:p>
        </w:tc>
        <w:tc>
          <w:tcPr>
            <w:tcW w:w="1438" w:type="pct"/>
            <w:vAlign w:val="center"/>
          </w:tcPr>
          <w:p w14:paraId="4B1C0074" w14:textId="77777777" w:rsidR="00773295" w:rsidRPr="00850483" w:rsidRDefault="00773295" w:rsidP="00886B0E">
            <w:pPr>
              <w:pStyle w:val="Tabletext"/>
              <w:jc w:val="center"/>
            </w:pPr>
            <w:r w:rsidRPr="00850483">
              <w:rPr>
                <w:lang w:eastAsia="de-DE"/>
              </w:rPr>
              <w:t>Station MES IMT</w:t>
            </w:r>
          </w:p>
        </w:tc>
        <w:tc>
          <w:tcPr>
            <w:tcW w:w="1313" w:type="pct"/>
            <w:vAlign w:val="center"/>
          </w:tcPr>
          <w:p w14:paraId="0C4A3910" w14:textId="77777777" w:rsidR="00773295" w:rsidRPr="00850483" w:rsidRDefault="00773295" w:rsidP="00886B0E">
            <w:pPr>
              <w:pStyle w:val="Tabletext"/>
              <w:jc w:val="center"/>
              <w:rPr>
                <w:lang w:eastAsia="de-DE"/>
              </w:rPr>
            </w:pPr>
            <w:r w:rsidRPr="00850483">
              <w:rPr>
                <w:lang w:eastAsia="de-DE"/>
              </w:rPr>
              <w:t>Station de base IMT</w:t>
            </w:r>
          </w:p>
          <w:p w14:paraId="167BC2E7" w14:textId="77777777" w:rsidR="00773295" w:rsidRPr="00850483" w:rsidRDefault="00773295" w:rsidP="00886B0E">
            <w:pPr>
              <w:pStyle w:val="Tabletext"/>
              <w:jc w:val="center"/>
            </w:pPr>
            <w:r w:rsidRPr="00850483">
              <w:rPr>
                <w:lang w:eastAsia="de-DE"/>
              </w:rPr>
              <w:t>Équipement d'utilisateur IMT</w:t>
            </w:r>
          </w:p>
        </w:tc>
        <w:tc>
          <w:tcPr>
            <w:tcW w:w="1409" w:type="pct"/>
            <w:vAlign w:val="center"/>
          </w:tcPr>
          <w:p w14:paraId="24F0D237" w14:textId="77777777" w:rsidR="00773295" w:rsidRPr="00850483" w:rsidRDefault="00773295" w:rsidP="00886B0E">
            <w:pPr>
              <w:pStyle w:val="Tabletext"/>
              <w:jc w:val="center"/>
            </w:pPr>
            <w:r w:rsidRPr="00850483">
              <w:rPr>
                <w:lang w:eastAsia="de-DE"/>
              </w:rPr>
              <w:t>1 980-2 010 MHz</w:t>
            </w:r>
          </w:p>
        </w:tc>
      </w:tr>
      <w:tr w:rsidR="00773295" w:rsidRPr="00850483" w14:paraId="5472432A" w14:textId="77777777" w:rsidTr="00936CDE">
        <w:tc>
          <w:tcPr>
            <w:tcW w:w="840" w:type="pct"/>
            <w:vAlign w:val="center"/>
          </w:tcPr>
          <w:p w14:paraId="0970743B" w14:textId="77777777" w:rsidR="00773295" w:rsidRPr="00850483" w:rsidRDefault="00773295" w:rsidP="00886B0E">
            <w:pPr>
              <w:pStyle w:val="Tabletext"/>
              <w:jc w:val="center"/>
            </w:pPr>
            <w:r w:rsidRPr="00850483">
              <w:rPr>
                <w:lang w:eastAsia="de-DE"/>
              </w:rPr>
              <w:t>B2</w:t>
            </w:r>
          </w:p>
        </w:tc>
        <w:tc>
          <w:tcPr>
            <w:tcW w:w="1438" w:type="pct"/>
            <w:vAlign w:val="center"/>
          </w:tcPr>
          <w:p w14:paraId="3A279F06" w14:textId="77777777" w:rsidR="00773295" w:rsidRPr="00850483" w:rsidRDefault="00773295" w:rsidP="00886B0E">
            <w:pPr>
              <w:pStyle w:val="Tabletext"/>
              <w:jc w:val="center"/>
            </w:pPr>
            <w:r w:rsidRPr="00850483">
              <w:rPr>
                <w:lang w:eastAsia="de-DE"/>
              </w:rPr>
              <w:t>Station spatiale IMT</w:t>
            </w:r>
          </w:p>
        </w:tc>
        <w:tc>
          <w:tcPr>
            <w:tcW w:w="1313" w:type="pct"/>
            <w:vAlign w:val="center"/>
          </w:tcPr>
          <w:p w14:paraId="1D0C8DBC" w14:textId="77777777" w:rsidR="00773295" w:rsidRPr="00850483" w:rsidRDefault="00773295" w:rsidP="00886B0E">
            <w:pPr>
              <w:pStyle w:val="Tabletext"/>
              <w:jc w:val="center"/>
            </w:pPr>
            <w:r w:rsidRPr="00850483">
              <w:rPr>
                <w:lang w:eastAsia="de-DE"/>
              </w:rPr>
              <w:t>Équipement d'utilisateur IMT</w:t>
            </w:r>
          </w:p>
        </w:tc>
        <w:tc>
          <w:tcPr>
            <w:tcW w:w="1409" w:type="pct"/>
            <w:vAlign w:val="center"/>
          </w:tcPr>
          <w:p w14:paraId="05A63600" w14:textId="77777777" w:rsidR="00773295" w:rsidRPr="00850483" w:rsidRDefault="00773295" w:rsidP="00886B0E">
            <w:pPr>
              <w:pStyle w:val="Tabletext"/>
              <w:jc w:val="center"/>
            </w:pPr>
            <w:r w:rsidRPr="00850483">
              <w:rPr>
                <w:lang w:eastAsia="de-DE"/>
              </w:rPr>
              <w:t>2 170-2 200 MHz</w:t>
            </w:r>
          </w:p>
        </w:tc>
      </w:tr>
    </w:tbl>
    <w:bookmarkEnd w:id="5"/>
    <w:p w14:paraId="3E877FB2" w14:textId="6A02E56D" w:rsidR="00773295" w:rsidRPr="00850483" w:rsidRDefault="00773295" w:rsidP="00886B0E">
      <w:pPr>
        <w:rPr>
          <w:bCs/>
          <w:lang w:eastAsia="zh-CN"/>
        </w:rPr>
      </w:pPr>
      <w:r w:rsidRPr="00850483">
        <w:rPr>
          <w:bCs/>
          <w:iCs/>
        </w:rPr>
        <w:lastRenderedPageBreak/>
        <w:t xml:space="preserve">Deux points de vue ont été exprimés dans le Rapport de la Réunion de préparation à la Conférence (RPC) en ce qui concerne le point 9.1.1 de l'ordre du jour. Le </w:t>
      </w:r>
      <w:r w:rsidR="006D2159" w:rsidRPr="00850483">
        <w:rPr>
          <w:bCs/>
          <w:iCs/>
        </w:rPr>
        <w:t>P</w:t>
      </w:r>
      <w:r w:rsidRPr="00850483">
        <w:rPr>
          <w:bCs/>
          <w:iCs/>
        </w:rPr>
        <w:t>oint de vue 1 consiste à proposer des mesures techniques et opérationnelles propres à assurer la coexistence et la compatibilité entre la</w:t>
      </w:r>
      <w:r w:rsidR="009E325D" w:rsidRPr="00850483">
        <w:rPr>
          <w:bCs/>
          <w:iCs/>
        </w:rPr>
        <w:t xml:space="preserve"> </w:t>
      </w:r>
      <w:r w:rsidRPr="00850483">
        <w:rPr>
          <w:bCs/>
          <w:iCs/>
        </w:rPr>
        <w:t xml:space="preserve">composante de Terre des IMT et la composante satellite des IMT. Le </w:t>
      </w:r>
      <w:r w:rsidR="006D2159" w:rsidRPr="00850483">
        <w:rPr>
          <w:bCs/>
          <w:iCs/>
        </w:rPr>
        <w:t>P</w:t>
      </w:r>
      <w:r w:rsidRPr="00850483">
        <w:rPr>
          <w:bCs/>
          <w:iCs/>
        </w:rPr>
        <w:t xml:space="preserve">oint de vue 2 consiste à proposer de n'apporter aucune modification au Règlement des radiocommunications et repose </w:t>
      </w:r>
      <w:r w:rsidR="005B6FD0" w:rsidRPr="00850483">
        <w:rPr>
          <w:bCs/>
          <w:iCs/>
        </w:rPr>
        <w:t xml:space="preserve">en contrepartie </w:t>
      </w:r>
      <w:r w:rsidRPr="00850483">
        <w:rPr>
          <w:bCs/>
          <w:iCs/>
        </w:rPr>
        <w:t>sur la coordination bilatérale/multilatérale entre les administrations.</w:t>
      </w:r>
    </w:p>
    <w:p w14:paraId="6F3A968B" w14:textId="77777777" w:rsidR="00773295" w:rsidRPr="00850483" w:rsidRDefault="00773295" w:rsidP="00886B0E">
      <w:r w:rsidRPr="00850483">
        <w:rPr>
          <w:lang w:eastAsia="ja-JP"/>
        </w:rPr>
        <w:t>Par conséquent, la CMR-19 devrait prendre des mesures pour assurer la coexistence et la compatibilité entre la composante de Terre des IMT et la composante satellite des IMT dans les bandes de fréquences 1 980-2 010 MHz et 2 170-2 200 MHz dans différents pays.</w:t>
      </w:r>
    </w:p>
    <w:p w14:paraId="35AE4C41" w14:textId="77777777" w:rsidR="00773295" w:rsidRPr="00850483" w:rsidRDefault="00773295" w:rsidP="00886B0E">
      <w:pPr>
        <w:pStyle w:val="Heading1"/>
        <w:rPr>
          <w:lang w:eastAsia="ko-KR"/>
        </w:rPr>
      </w:pPr>
      <w:r w:rsidRPr="00850483">
        <w:rPr>
          <w:lang w:eastAsia="ko-KR"/>
        </w:rPr>
        <w:t>2</w:t>
      </w:r>
      <w:r w:rsidRPr="00850483">
        <w:rPr>
          <w:lang w:eastAsia="ko-KR"/>
        </w:rPr>
        <w:tab/>
        <w:t>Points de vue et propositions</w:t>
      </w:r>
    </w:p>
    <w:p w14:paraId="7AB039E5" w14:textId="60D4F91A" w:rsidR="00773295" w:rsidRPr="00850483" w:rsidRDefault="00773295" w:rsidP="00886B0E">
      <w:r w:rsidRPr="00850483">
        <w:t xml:space="preserve">La République populaire de Chine appuie le </w:t>
      </w:r>
      <w:r w:rsidR="002A130F" w:rsidRPr="00850483">
        <w:t>P</w:t>
      </w:r>
      <w:r w:rsidRPr="00850483">
        <w:t xml:space="preserve">oint de vue 1 figurant dans le Rapport de la RPC en ce qui concerne le point 9.1.1 de l'ordre du jour, permettant à la composante de Terre des IMT et à la composante satellite des IMT de coexister sans brouillages. </w:t>
      </w:r>
      <w:r w:rsidR="005B6FD0" w:rsidRPr="00850483">
        <w:t>Dans l</w:t>
      </w:r>
      <w:r w:rsidRPr="00850483">
        <w:t xml:space="preserve">'approche du </w:t>
      </w:r>
      <w:r w:rsidR="002A130F" w:rsidRPr="00850483">
        <w:t>P</w:t>
      </w:r>
      <w:r w:rsidRPr="00850483">
        <w:t>oint de vue 2</w:t>
      </w:r>
      <w:r w:rsidR="005B6FD0" w:rsidRPr="00850483">
        <w:t>,</w:t>
      </w:r>
      <w:r w:rsidRPr="00850483">
        <w:t xml:space="preserve"> le SMS </w:t>
      </w:r>
      <w:r w:rsidR="005B6FD0" w:rsidRPr="00850483">
        <w:t xml:space="preserve">risquerait fortement </w:t>
      </w:r>
      <w:r w:rsidRPr="00850483">
        <w:t xml:space="preserve">d'être inexploitable </w:t>
      </w:r>
      <w:r w:rsidR="005B6FD0" w:rsidRPr="00850483">
        <w:t>en raison</w:t>
      </w:r>
      <w:r w:rsidRPr="00850483">
        <w:t xml:space="preserve"> de brouillages.</w:t>
      </w:r>
    </w:p>
    <w:p w14:paraId="55A9EFB0" w14:textId="246DF211" w:rsidR="00773295" w:rsidRPr="00850483" w:rsidRDefault="00773295" w:rsidP="00886B0E">
      <w:r w:rsidRPr="00850483">
        <w:t xml:space="preserve">Il convient de souligner qu'il n'y a pas de disposition dans le Règlement des radiocommunications relative au déclenchement d'une coordination bilatérale ou visant à identifier les administrations concernées en vue de résoudre les problèmes de brouillages causés par les stations de base IMT aux stations spatiales IMT dans le </w:t>
      </w:r>
      <w:r w:rsidR="006D2159" w:rsidRPr="00850483">
        <w:t>S</w:t>
      </w:r>
      <w:r w:rsidRPr="00850483">
        <w:t xml:space="preserve">cénario A1 et par les stations spatiales IMT aux équipements d'utilisateur IMT dans le </w:t>
      </w:r>
      <w:r w:rsidR="006D2159" w:rsidRPr="00850483">
        <w:t>S</w:t>
      </w:r>
      <w:r w:rsidRPr="00850483">
        <w:t xml:space="preserve">cénario B2. Bien que </w:t>
      </w:r>
      <w:r w:rsidR="005B6FD0" w:rsidRPr="00850483">
        <w:t>les</w:t>
      </w:r>
      <w:r w:rsidRPr="00850483">
        <w:t xml:space="preserve"> études aient mis en évidence un certain nombre de mesures techniques et opérationnelles d'atténuation, ces brouillages ne peuvent pas être réduits à néant. Par conséquent, il conviendrait d'envisager des méthodes techniques ainsi que des mesures réglementaires.</w:t>
      </w:r>
    </w:p>
    <w:p w14:paraId="735D298C" w14:textId="09A19F57" w:rsidR="00773295" w:rsidRPr="00850483" w:rsidRDefault="00773295" w:rsidP="00886B0E">
      <w:r w:rsidRPr="00850483">
        <w:t xml:space="preserve">Le </w:t>
      </w:r>
      <w:r w:rsidR="006D2159" w:rsidRPr="00850483">
        <w:t>P</w:t>
      </w:r>
      <w:r w:rsidRPr="00850483">
        <w:t xml:space="preserve">oint de vue 1 apporte une solution visant à assurer à long terme le partage entre la composante de Terre des IMT et la composante satellite des IMT. La mise en œuvre d'une réglementation et de procédures de coordination pourrait aider les administrations à déployer leurs systèmes de Terre </w:t>
      </w:r>
      <w:r w:rsidR="005B6FD0" w:rsidRPr="00850483">
        <w:t xml:space="preserve">ou </w:t>
      </w:r>
      <w:r w:rsidRPr="00850483">
        <w:t>leurs systèmes à satellites ainsi qu'à éviter les brouillages préjudiciables.</w:t>
      </w:r>
    </w:p>
    <w:p w14:paraId="580FCE4D" w14:textId="492232E7" w:rsidR="00773295" w:rsidRPr="00850483" w:rsidRDefault="00773295" w:rsidP="00886B0E">
      <w:pPr>
        <w:rPr>
          <w:rFonts w:eastAsia="SimSun"/>
          <w:lang w:eastAsia="zh-CN"/>
        </w:rPr>
      </w:pPr>
      <w:r w:rsidRPr="00850483">
        <w:rPr>
          <w:rFonts w:eastAsia="SimSun"/>
          <w:lang w:eastAsia="zh-CN"/>
        </w:rPr>
        <w:t xml:space="preserve">Compte tenu du </w:t>
      </w:r>
      <w:r w:rsidR="006D2159" w:rsidRPr="00850483">
        <w:rPr>
          <w:rFonts w:eastAsia="SimSun"/>
          <w:lang w:eastAsia="zh-CN"/>
        </w:rPr>
        <w:t>P</w:t>
      </w:r>
      <w:r w:rsidRPr="00850483">
        <w:rPr>
          <w:rFonts w:eastAsia="SimSun"/>
          <w:lang w:eastAsia="zh-CN"/>
        </w:rPr>
        <w:t>oint de vue 1, en ce qui concerne le point 9.1.1 de l'ordre du jour de la CMR-19, la Chine propose ce qui suit:</w:t>
      </w:r>
    </w:p>
    <w:p w14:paraId="716A5648" w14:textId="4600C402" w:rsidR="00773295" w:rsidRPr="00850483" w:rsidRDefault="00773295" w:rsidP="00886B0E">
      <w:pPr>
        <w:pStyle w:val="enumlev1"/>
      </w:pPr>
      <w:r w:rsidRPr="00850483">
        <w:t>–</w:t>
      </w:r>
      <w:r w:rsidRPr="00850483">
        <w:tab/>
      </w:r>
      <w:r w:rsidR="005B6FD0" w:rsidRPr="00850483">
        <w:t>Adopter</w:t>
      </w:r>
      <w:r w:rsidRPr="00850483">
        <w:t xml:space="preserve"> d'une limite de p.i.r.e. maximale de 20 dBm/5 MHz pour les stations de Terre du service mobile émettant dans la bande de fréquences 1 980-2 010 MHz, afin de garantir que cette bande est utilisée pour la liaison montante pour le SM et pour le SMS,</w:t>
      </w:r>
      <w:r w:rsidR="009E325D" w:rsidRPr="00850483">
        <w:t> </w:t>
      </w:r>
      <w:r w:rsidRPr="00850483">
        <w:t xml:space="preserve">à l'exception de la bande 1 980-1 990 MHz pour les pays énumérés dans le numéro </w:t>
      </w:r>
      <w:r w:rsidRPr="00850483">
        <w:rPr>
          <w:b/>
        </w:rPr>
        <w:t>5.389B</w:t>
      </w:r>
      <w:r w:rsidRPr="00850483">
        <w:t xml:space="preserve"> du RR (scénario A1).</w:t>
      </w:r>
    </w:p>
    <w:p w14:paraId="177D0118" w14:textId="569475BE" w:rsidR="00773295" w:rsidRPr="00850483" w:rsidRDefault="00773295" w:rsidP="00886B0E">
      <w:pPr>
        <w:pStyle w:val="enumlev1"/>
      </w:pPr>
      <w:r w:rsidRPr="00850483">
        <w:t>–</w:t>
      </w:r>
      <w:r w:rsidRPr="00850483">
        <w:tab/>
        <w:t>Définir une nouvelle valeur de seuil de puissance surfacique produite</w:t>
      </w:r>
      <w:r w:rsidR="005B6FD0" w:rsidRPr="00850483">
        <w:t xml:space="preserve"> par</w:t>
      </w:r>
      <w:r w:rsidRPr="00850483">
        <w:t xml:space="preserve"> </w:t>
      </w:r>
      <w:r w:rsidR="005B6FD0" w:rsidRPr="00850483">
        <w:t xml:space="preserve">les stations spatiales IMT </w:t>
      </w:r>
      <w:r w:rsidRPr="00850483">
        <w:t>à la surface de la Terre déclenchant la coordination, par exemple −108</w:t>
      </w:r>
      <w:r w:rsidR="005B6FD0" w:rsidRPr="00850483">
        <w:t>,</w:t>
      </w:r>
      <w:r w:rsidRPr="00850483">
        <w:t>8</w:t>
      </w:r>
      <w:r w:rsidR="009E325D" w:rsidRPr="00850483">
        <w:t> </w:t>
      </w:r>
      <w:r w:rsidRPr="00850483">
        <w:t>dB(W/m</w:t>
      </w:r>
      <w:r w:rsidRPr="00850483">
        <w:rPr>
          <w:vertAlign w:val="superscript"/>
        </w:rPr>
        <w:t>2</w:t>
      </w:r>
      <w:r w:rsidRPr="00850483">
        <w:t>) dans une bande de 1 MHz</w:t>
      </w:r>
      <w:r w:rsidR="00A03D04" w:rsidRPr="00850483">
        <w:t>,</w:t>
      </w:r>
      <w:r w:rsidRPr="00850483">
        <w:t xml:space="preserve"> </w:t>
      </w:r>
      <w:r w:rsidR="00A03D04" w:rsidRPr="00850483">
        <w:t xml:space="preserve">pour </w:t>
      </w:r>
      <w:r w:rsidRPr="00850483">
        <w:t>protéger les stations de Terre des IMT dans la bande de fréquences 2 170-2 200 MHz (scénario B2).</w:t>
      </w:r>
    </w:p>
    <w:p w14:paraId="5627A974" w14:textId="7AB10EA9" w:rsidR="00773295" w:rsidRPr="00850483" w:rsidRDefault="00773295" w:rsidP="00886B0E">
      <w:r w:rsidRPr="00850483">
        <w:rPr>
          <w:spacing w:val="-4"/>
        </w:rPr>
        <w:t xml:space="preserve">On trouvera ci-après les modifications qu'il est proposé d'apporter à la Résolution </w:t>
      </w:r>
      <w:r w:rsidRPr="00850483">
        <w:rPr>
          <w:b/>
          <w:spacing w:val="-4"/>
        </w:rPr>
        <w:t>212 (Rév.CMR</w:t>
      </w:r>
      <w:r w:rsidR="009E325D" w:rsidRPr="00850483">
        <w:rPr>
          <w:b/>
          <w:spacing w:val="-4"/>
        </w:rPr>
        <w:noBreakHyphen/>
      </w:r>
      <w:r w:rsidRPr="00850483">
        <w:rPr>
          <w:b/>
          <w:spacing w:val="-4"/>
        </w:rPr>
        <w:t>15)</w:t>
      </w:r>
      <w:r w:rsidRPr="00850483">
        <w:t xml:space="preserve"> pour tenir compte de ce qui précède.</w:t>
      </w:r>
    </w:p>
    <w:p w14:paraId="36635694" w14:textId="77777777" w:rsidR="0015203F" w:rsidRPr="00850483" w:rsidRDefault="0015203F" w:rsidP="00886B0E">
      <w:pPr>
        <w:tabs>
          <w:tab w:val="clear" w:pos="1134"/>
          <w:tab w:val="clear" w:pos="1871"/>
          <w:tab w:val="clear" w:pos="2268"/>
        </w:tabs>
        <w:overflowPunct/>
        <w:autoSpaceDE/>
        <w:autoSpaceDN/>
        <w:adjustRightInd/>
        <w:spacing w:before="0"/>
        <w:textAlignment w:val="auto"/>
      </w:pPr>
      <w:r w:rsidRPr="00850483">
        <w:br w:type="page"/>
      </w:r>
    </w:p>
    <w:p w14:paraId="1BFD2AB5" w14:textId="77777777" w:rsidR="00FD0668" w:rsidRPr="00850483" w:rsidRDefault="00274DA2" w:rsidP="00886B0E">
      <w:pPr>
        <w:pStyle w:val="Proposal"/>
      </w:pPr>
      <w:r w:rsidRPr="00850483">
        <w:lastRenderedPageBreak/>
        <w:t>MOD</w:t>
      </w:r>
      <w:r w:rsidRPr="00850483">
        <w:tab/>
        <w:t>CHN/28A21A1/1</w:t>
      </w:r>
    </w:p>
    <w:p w14:paraId="5A5C2B68" w14:textId="0D227248" w:rsidR="004A4B52" w:rsidRPr="00850483" w:rsidRDefault="00274DA2" w:rsidP="00886B0E">
      <w:pPr>
        <w:pStyle w:val="ResNo"/>
      </w:pPr>
      <w:r w:rsidRPr="00850483">
        <w:t xml:space="preserve">RÉSOLUTION </w:t>
      </w:r>
      <w:r w:rsidRPr="00850483">
        <w:rPr>
          <w:rStyle w:val="href"/>
        </w:rPr>
        <w:t>212</w:t>
      </w:r>
      <w:r w:rsidRPr="00850483">
        <w:t xml:space="preserve"> (RÉV.CMR-</w:t>
      </w:r>
      <w:del w:id="6" w:author="French1" w:date="2019-10-21T07:15:00Z">
        <w:r w:rsidRPr="00850483" w:rsidDel="0041370D">
          <w:delText>15</w:delText>
        </w:r>
      </w:del>
      <w:ins w:id="7" w:author="French1" w:date="2019-10-21T07:15:00Z">
        <w:r w:rsidR="0041370D" w:rsidRPr="00850483">
          <w:t>19</w:t>
        </w:r>
      </w:ins>
      <w:r w:rsidRPr="00850483">
        <w:t>)</w:t>
      </w:r>
    </w:p>
    <w:p w14:paraId="1CFA23D4" w14:textId="77777777" w:rsidR="004A4B52" w:rsidRPr="00850483" w:rsidRDefault="00274DA2" w:rsidP="00886B0E">
      <w:pPr>
        <w:pStyle w:val="Restitle"/>
      </w:pPr>
      <w:bookmarkStart w:id="8" w:name="_Toc450208643"/>
      <w:r w:rsidRPr="00850483">
        <w:t>Mise en œuvre des Télécommunications mobiles internationales dans les bandes de fréquences 1 885</w:t>
      </w:r>
      <w:r w:rsidRPr="00850483">
        <w:noBreakHyphen/>
        <w:t>2 025 MHz et 2 110</w:t>
      </w:r>
      <w:r w:rsidRPr="00850483">
        <w:noBreakHyphen/>
        <w:t>2 200 MHz</w:t>
      </w:r>
      <w:bookmarkEnd w:id="8"/>
    </w:p>
    <w:p w14:paraId="433D36D6" w14:textId="099C1C14" w:rsidR="004A4B52" w:rsidRPr="00850483" w:rsidRDefault="00274DA2" w:rsidP="00886B0E">
      <w:pPr>
        <w:pStyle w:val="Normalaftertitle"/>
      </w:pPr>
      <w:r w:rsidRPr="00850483">
        <w:t>La Conférence mondiale des radiocommunications (</w:t>
      </w:r>
      <w:del w:id="9" w:author="French1" w:date="2019-10-21T07:15:00Z">
        <w:r w:rsidRPr="00850483" w:rsidDel="0041370D">
          <w:delText>Genève, 2015</w:delText>
        </w:r>
      </w:del>
      <w:ins w:id="10" w:author="French1" w:date="2019-10-21T07:15:00Z">
        <w:r w:rsidR="0041370D" w:rsidRPr="00850483">
          <w:rPr>
            <w:szCs w:val="24"/>
          </w:rPr>
          <w:t>Charm el-Cheikh, 2019</w:t>
        </w:r>
      </w:ins>
      <w:r w:rsidRPr="00850483">
        <w:t>),</w:t>
      </w:r>
    </w:p>
    <w:p w14:paraId="1E6D79C6" w14:textId="77777777" w:rsidR="004A4B52" w:rsidRPr="00850483" w:rsidRDefault="00274DA2" w:rsidP="00886B0E">
      <w:pPr>
        <w:pStyle w:val="Call"/>
      </w:pPr>
      <w:r w:rsidRPr="00850483">
        <w:t>considérant</w:t>
      </w:r>
    </w:p>
    <w:p w14:paraId="68E56616" w14:textId="77777777" w:rsidR="004A4B52" w:rsidRPr="00850483" w:rsidRDefault="00274DA2" w:rsidP="00886B0E">
      <w:r w:rsidRPr="00850483">
        <w:rPr>
          <w:i/>
          <w:iCs/>
        </w:rPr>
        <w:t>a)</w:t>
      </w:r>
      <w:r w:rsidRPr="00850483">
        <w:tab/>
        <w:t>que la Résolution UIT</w:t>
      </w:r>
      <w:r w:rsidRPr="00850483">
        <w:noBreakHyphen/>
        <w:t>R 56 définit les appellations pour les Télécommunications mobiles internationales (IMT);</w:t>
      </w:r>
    </w:p>
    <w:p w14:paraId="438A4CEF" w14:textId="77777777" w:rsidR="004A4B52" w:rsidRPr="00850483" w:rsidRDefault="00274DA2" w:rsidP="00886B0E">
      <w:r w:rsidRPr="00850483">
        <w:rPr>
          <w:i/>
          <w:iCs/>
        </w:rPr>
        <w:t>b)</w:t>
      </w:r>
      <w:r w:rsidRPr="00850483">
        <w:tab/>
        <w:t>que le Secteur des radiocommunications de l'UIT (UIT-R), en vue de la CMR</w:t>
      </w:r>
      <w:r w:rsidRPr="00850483">
        <w:noBreakHyphen/>
        <w:t>97, a recommandé l'utilisation d'environ 23</w:t>
      </w:r>
      <w:bookmarkStart w:id="11" w:name="_GoBack"/>
      <w:bookmarkEnd w:id="11"/>
      <w:r w:rsidRPr="00850483">
        <w:t>0 MHz par la composante de Terre et la composante satellite des IMT;</w:t>
      </w:r>
    </w:p>
    <w:p w14:paraId="2BB638BA" w14:textId="77777777" w:rsidR="004A4B52" w:rsidRPr="00850483" w:rsidRDefault="00274DA2" w:rsidP="00886B0E">
      <w:r w:rsidRPr="00850483">
        <w:rPr>
          <w:i/>
          <w:iCs/>
        </w:rPr>
        <w:t>c)</w:t>
      </w:r>
      <w:r w:rsidRPr="00850483">
        <w:rPr>
          <w:i/>
          <w:iCs/>
        </w:rPr>
        <w:tab/>
      </w:r>
      <w:r w:rsidRPr="00850483">
        <w:t>que, selon des études de l'UIT</w:t>
      </w:r>
      <w:r w:rsidRPr="00850483">
        <w:noBreakHyphen/>
        <w:t>R, des bandes de fréquences additionnelles seront peut</w:t>
      </w:r>
      <w:r w:rsidRPr="00850483">
        <w:noBreakHyphen/>
        <w:t>être nécessaires pour prendre en charge les services futurs des IMT, répondre aux besoins futurs des utilisateurs et pour permettre le déploiement de réseaux;</w:t>
      </w:r>
    </w:p>
    <w:p w14:paraId="08AB117D" w14:textId="77777777" w:rsidR="004A4B52" w:rsidRPr="00850483" w:rsidRDefault="00274DA2" w:rsidP="00886B0E">
      <w:r w:rsidRPr="00850483">
        <w:rPr>
          <w:i/>
          <w:iCs/>
        </w:rPr>
        <w:t>d)</w:t>
      </w:r>
      <w:r w:rsidRPr="00850483">
        <w:tab/>
        <w:t>que l'UIT-R a reconnu que les techniques spatiales font partie intégrante des IMT;</w:t>
      </w:r>
    </w:p>
    <w:p w14:paraId="25CA9AB0" w14:textId="77777777" w:rsidR="004A4B52" w:rsidRPr="00850483" w:rsidRDefault="00274DA2" w:rsidP="00886B0E">
      <w:r w:rsidRPr="00850483">
        <w:rPr>
          <w:i/>
          <w:iCs/>
        </w:rPr>
        <w:t>e)</w:t>
      </w:r>
      <w:r w:rsidRPr="00850483">
        <w:tab/>
        <w:t>que la CAMR</w:t>
      </w:r>
      <w:r w:rsidRPr="00850483">
        <w:noBreakHyphen/>
        <w:t xml:space="preserve">92 a identifié, au numéro </w:t>
      </w:r>
      <w:r w:rsidRPr="00850483">
        <w:rPr>
          <w:b/>
          <w:bCs/>
        </w:rPr>
        <w:t>5.388</w:t>
      </w:r>
      <w:r w:rsidRPr="00850483">
        <w:t>, des bandes de fréquences pour prendre en charge certains services mobiles, aujourd'hui appelés IMT,</w:t>
      </w:r>
    </w:p>
    <w:p w14:paraId="689D2734" w14:textId="77777777" w:rsidR="004A4B52" w:rsidRPr="00850483" w:rsidRDefault="00274DA2" w:rsidP="00886B0E">
      <w:pPr>
        <w:pStyle w:val="Call"/>
      </w:pPr>
      <w:r w:rsidRPr="00850483">
        <w:t>notant</w:t>
      </w:r>
    </w:p>
    <w:p w14:paraId="6FF5EADA" w14:textId="4B87AD58" w:rsidR="004A4B52" w:rsidRPr="00850483" w:rsidRDefault="00274DA2" w:rsidP="00886B0E">
      <w:r w:rsidRPr="00850483">
        <w:rPr>
          <w:i/>
          <w:iCs/>
        </w:rPr>
        <w:t>a)</w:t>
      </w:r>
      <w:r w:rsidRPr="00850483">
        <w:tab/>
        <w:t>que la composante de Terre des IMT a déjà été déployée, ou que son déploiement est envisagé, dans les bandes de fréquences 1 885</w:t>
      </w:r>
      <w:r w:rsidRPr="00850483">
        <w:rPr>
          <w:caps/>
        </w:rPr>
        <w:t>-</w:t>
      </w:r>
      <w:del w:id="12" w:author="French1" w:date="2019-10-21T07:16:00Z">
        <w:r w:rsidRPr="00850483" w:rsidDel="007F5BDC">
          <w:rPr>
            <w:caps/>
          </w:rPr>
          <w:delText>1 980 MH</w:delText>
        </w:r>
        <w:r w:rsidRPr="00850483" w:rsidDel="007F5BDC">
          <w:delText>z</w:delText>
        </w:r>
        <w:r w:rsidRPr="00850483" w:rsidDel="007F5BDC">
          <w:rPr>
            <w:caps/>
          </w:rPr>
          <w:delText>, 2 010-</w:delText>
        </w:r>
      </w:del>
      <w:r w:rsidRPr="00850483">
        <w:t>2 025 MHz et</w:t>
      </w:r>
      <w:r w:rsidR="004B2EDE" w:rsidRPr="00850483">
        <w:t xml:space="preserve"> </w:t>
      </w:r>
      <w:r w:rsidRPr="00850483">
        <w:t>2 110</w:t>
      </w:r>
      <w:r w:rsidR="004B2EDE" w:rsidRPr="00850483">
        <w:noBreakHyphen/>
      </w:r>
      <w:del w:id="13" w:author="French1" w:date="2019-10-21T07:17:00Z">
        <w:r w:rsidRPr="00850483" w:rsidDel="007F5BDC">
          <w:delText>2 170 </w:delText>
        </w:r>
      </w:del>
      <w:ins w:id="14" w:author="French1" w:date="2019-10-21T07:17:00Z">
        <w:r w:rsidR="007F5BDC" w:rsidRPr="00850483">
          <w:t>2 220 </w:t>
        </w:r>
      </w:ins>
      <w:r w:rsidRPr="00850483">
        <w:t>MHz;</w:t>
      </w:r>
    </w:p>
    <w:p w14:paraId="483F9BCA" w14:textId="103037E8" w:rsidR="004A4B52" w:rsidRPr="00850483" w:rsidRDefault="00274DA2">
      <w:r w:rsidRPr="00850483">
        <w:rPr>
          <w:i/>
          <w:iCs/>
        </w:rPr>
        <w:t>b)</w:t>
      </w:r>
      <w:r w:rsidRPr="00850483">
        <w:tab/>
        <w:t xml:space="preserve">que la composante </w:t>
      </w:r>
      <w:del w:id="15" w:author="French" w:date="2019-10-23T09:24:00Z">
        <w:r w:rsidRPr="00850483" w:rsidDel="00773295">
          <w:delText xml:space="preserve">de Terre et la composante </w:delText>
        </w:r>
      </w:del>
      <w:r w:rsidRPr="00850483">
        <w:t xml:space="preserve">satellite des IMT </w:t>
      </w:r>
      <w:del w:id="16" w:author="French" w:date="2019-10-23T09:30:00Z">
        <w:r w:rsidRPr="00850483" w:rsidDel="00760EAC">
          <w:delText xml:space="preserve">ont </w:delText>
        </w:r>
      </w:del>
      <w:ins w:id="17" w:author="French" w:date="2019-10-23T09:30:00Z">
        <w:r w:rsidR="00760EAC" w:rsidRPr="00850483">
          <w:t xml:space="preserve">a </w:t>
        </w:r>
      </w:ins>
      <w:r w:rsidRPr="00850483">
        <w:t>déjà été déployée</w:t>
      </w:r>
      <w:del w:id="18" w:author="French" w:date="2019-10-23T09:30:00Z">
        <w:r w:rsidRPr="00850483" w:rsidDel="00760EAC">
          <w:delText>s</w:delText>
        </w:r>
      </w:del>
      <w:r w:rsidRPr="00850483">
        <w:t xml:space="preserve">, ou </w:t>
      </w:r>
      <w:del w:id="19" w:author="French" w:date="2019-10-23T11:47:00Z">
        <w:r w:rsidRPr="00850483" w:rsidDel="008E00B2">
          <w:delText xml:space="preserve">que </w:delText>
        </w:r>
      </w:del>
      <w:del w:id="20" w:author="French" w:date="2019-10-23T09:30:00Z">
        <w:r w:rsidRPr="00850483" w:rsidDel="00760EAC">
          <w:delText xml:space="preserve">leur </w:delText>
        </w:r>
      </w:del>
      <w:ins w:id="21" w:author="French" w:date="2019-10-23T11:47:00Z">
        <w:r w:rsidR="008E00B2" w:rsidRPr="00850483">
          <w:t>qu'un</w:t>
        </w:r>
      </w:ins>
      <w:ins w:id="22" w:author="French" w:date="2019-10-23T09:30:00Z">
        <w:r w:rsidR="00760EAC" w:rsidRPr="00850483">
          <w:t xml:space="preserve"> </w:t>
        </w:r>
      </w:ins>
      <w:r w:rsidRPr="00850483">
        <w:t>déploiement</w:t>
      </w:r>
      <w:ins w:id="23" w:author="French" w:date="2019-10-23T11:47:00Z">
        <w:r w:rsidR="008E00B2" w:rsidRPr="00850483">
          <w:t xml:space="preserve"> ultérieur</w:t>
        </w:r>
      </w:ins>
      <w:r w:rsidRPr="00850483">
        <w:t xml:space="preserve"> est </w:t>
      </w:r>
      <w:ins w:id="24" w:author="French" w:date="2019-10-23T11:47:00Z">
        <w:r w:rsidR="008E00B2" w:rsidRPr="00850483">
          <w:t xml:space="preserve">actuellement </w:t>
        </w:r>
      </w:ins>
      <w:r w:rsidRPr="00850483">
        <w:t>envisagé, dans les bandes de fréquences 1 980-2 010 MHz et 2 170</w:t>
      </w:r>
      <w:r w:rsidRPr="00850483">
        <w:noBreakHyphen/>
        <w:t>2 200 MHz;</w:t>
      </w:r>
    </w:p>
    <w:p w14:paraId="4B48721E" w14:textId="08E7BCFF" w:rsidR="004A4B52" w:rsidRPr="00850483" w:rsidRDefault="00274DA2" w:rsidP="00886B0E">
      <w:pPr>
        <w:rPr>
          <w:ins w:id="25" w:author="French1" w:date="2019-10-21T07:17:00Z"/>
        </w:rPr>
      </w:pPr>
      <w:r w:rsidRPr="00850483">
        <w:rPr>
          <w:i/>
          <w:iCs/>
        </w:rPr>
        <w:t>c)</w:t>
      </w:r>
      <w:r w:rsidRPr="00850483">
        <w:tab/>
        <w:t>que la disponibilité simultanée de la composante satellite des IMT dans les bandes de fréquences 1 980</w:t>
      </w:r>
      <w:r w:rsidRPr="00850483">
        <w:rPr>
          <w:caps/>
        </w:rPr>
        <w:t>-</w:t>
      </w:r>
      <w:r w:rsidRPr="00850483">
        <w:t>2 010 MHz et 2 170</w:t>
      </w:r>
      <w:r w:rsidRPr="00850483">
        <w:rPr>
          <w:caps/>
        </w:rPr>
        <w:t>-</w:t>
      </w:r>
      <w:r w:rsidRPr="00850483">
        <w:t>2 200 MHz et de la composante de Terre des IMT dans les bandes de fréquences indiquées dans le numéro </w:t>
      </w:r>
      <w:r w:rsidRPr="00850483">
        <w:rPr>
          <w:b/>
          <w:bCs/>
        </w:rPr>
        <w:t>5.388</w:t>
      </w:r>
      <w:r w:rsidRPr="00850483">
        <w:rPr>
          <w:rStyle w:val="ArtrefBold"/>
        </w:rPr>
        <w:t xml:space="preserve"> </w:t>
      </w:r>
      <w:r w:rsidRPr="00850483">
        <w:t>faciliterait la mise en œuvre générale et augmenterait l'attrait des IMT</w:t>
      </w:r>
      <w:del w:id="26" w:author="French1" w:date="2019-10-21T07:17:00Z">
        <w:r w:rsidRPr="00850483" w:rsidDel="007F5BDC">
          <w:delText>,</w:delText>
        </w:r>
      </w:del>
      <w:ins w:id="27" w:author="French1" w:date="2019-10-21T07:17:00Z">
        <w:r w:rsidR="007F5BDC" w:rsidRPr="00850483">
          <w:t>;</w:t>
        </w:r>
      </w:ins>
    </w:p>
    <w:p w14:paraId="3D4A3451" w14:textId="63F1A042" w:rsidR="007F5BDC" w:rsidRPr="00850483" w:rsidRDefault="007F5BDC">
      <w:ins w:id="28" w:author="French1" w:date="2019-10-21T07:17:00Z">
        <w:r w:rsidRPr="00850483">
          <w:rPr>
            <w:i/>
            <w:iCs/>
          </w:rPr>
          <w:t>d)</w:t>
        </w:r>
        <w:r w:rsidRPr="00850483">
          <w:tab/>
        </w:r>
      </w:ins>
      <w:ins w:id="29" w:author="French" w:date="2019-10-23T09:43:00Z">
        <w:r w:rsidR="00760EAC" w:rsidRPr="00850483">
          <w:t>que, dans le cas des stations de Terre</w:t>
        </w:r>
      </w:ins>
      <w:ins w:id="30" w:author="French" w:date="2019-10-24T07:14:00Z">
        <w:r w:rsidR="00886B0E" w:rsidRPr="00850483">
          <w:t xml:space="preserve"> IMT</w:t>
        </w:r>
      </w:ins>
      <w:ins w:id="31" w:author="French" w:date="2019-10-23T09:45:00Z">
        <w:r w:rsidR="00B46890" w:rsidRPr="00850483">
          <w:t xml:space="preserve"> d'émission </w:t>
        </w:r>
      </w:ins>
      <w:ins w:id="32" w:author="French" w:date="2019-10-23T09:44:00Z">
        <w:r w:rsidR="00760EAC" w:rsidRPr="00850483">
          <w:t xml:space="preserve">vis-à-vis des </w:t>
        </w:r>
      </w:ins>
      <w:ins w:id="33" w:author="French" w:date="2019-10-23T09:45:00Z">
        <w:r w:rsidR="00B46890" w:rsidRPr="00850483">
          <w:t xml:space="preserve">stations spatiales </w:t>
        </w:r>
      </w:ins>
      <w:ins w:id="34" w:author="French" w:date="2019-10-24T07:14:00Z">
        <w:r w:rsidR="00886B0E" w:rsidRPr="00850483">
          <w:t xml:space="preserve">IMT </w:t>
        </w:r>
      </w:ins>
      <w:ins w:id="35" w:author="French" w:date="2019-10-23T09:45:00Z">
        <w:r w:rsidR="00B46890" w:rsidRPr="00850483">
          <w:t>de réception dans la bande de fréquences 1 980-2 010 MHz</w:t>
        </w:r>
      </w:ins>
      <w:ins w:id="36" w:author="French" w:date="2019-10-23T09:46:00Z">
        <w:r w:rsidR="00B46890" w:rsidRPr="00850483">
          <w:t xml:space="preserve">, </w:t>
        </w:r>
      </w:ins>
      <w:ins w:id="37" w:author="French" w:date="2019-10-23T09:47:00Z">
        <w:r w:rsidR="00B46890" w:rsidRPr="00850483">
          <w:t xml:space="preserve">le niveau des brouillages </w:t>
        </w:r>
      </w:ins>
      <w:ins w:id="38" w:author="French" w:date="2019-10-23T09:51:00Z">
        <w:r w:rsidR="00B46890" w:rsidRPr="00850483">
          <w:t>pouvant être causés</w:t>
        </w:r>
      </w:ins>
      <w:ins w:id="39" w:author="French" w:date="2019-10-23T09:47:00Z">
        <w:r w:rsidR="00B46890" w:rsidRPr="00850483">
          <w:t xml:space="preserve"> par les équipements d'utilisateur IMT aux stations spatiales IMT est faible et peut être</w:t>
        </w:r>
      </w:ins>
      <w:ins w:id="40" w:author="French" w:date="2019-10-23T09:52:00Z">
        <w:r w:rsidR="00B46890" w:rsidRPr="00850483">
          <w:t xml:space="preserve"> atténué au moyen de mesures techniques et opérationnelles, </w:t>
        </w:r>
      </w:ins>
      <w:ins w:id="41" w:author="French" w:date="2019-10-23T11:34:00Z">
        <w:r w:rsidR="005B6FD0" w:rsidRPr="00850483">
          <w:t>tandis</w:t>
        </w:r>
      </w:ins>
      <w:ins w:id="42" w:author="French" w:date="2019-10-23T09:52:00Z">
        <w:r w:rsidR="00B46890" w:rsidRPr="00850483">
          <w:t xml:space="preserve"> que le niveau des brouillages pouvant être causés par les stations de base IMT aux stations spatiales IMT est élevé et ne peut pas être </w:t>
        </w:r>
      </w:ins>
      <w:ins w:id="43" w:author="French" w:date="2019-10-23T11:34:00Z">
        <w:r w:rsidR="005B6FD0" w:rsidRPr="00850483">
          <w:t>réduit à néant</w:t>
        </w:r>
      </w:ins>
      <w:ins w:id="44" w:author="French" w:date="2019-10-23T09:52:00Z">
        <w:r w:rsidR="00B46890" w:rsidRPr="00850483">
          <w:t xml:space="preserve"> par des mesures techniques et opérationnelles,</w:t>
        </w:r>
      </w:ins>
    </w:p>
    <w:p w14:paraId="354ECBA8" w14:textId="77777777" w:rsidR="004A4B52" w:rsidRPr="00850483" w:rsidRDefault="00274DA2" w:rsidP="00886B0E">
      <w:pPr>
        <w:pStyle w:val="Call"/>
        <w:rPr>
          <w:i w:val="0"/>
        </w:rPr>
      </w:pPr>
      <w:r w:rsidRPr="00850483">
        <w:t>notant en outre</w:t>
      </w:r>
    </w:p>
    <w:p w14:paraId="2AE7AEF2" w14:textId="77777777" w:rsidR="004A4B52" w:rsidRPr="00850483" w:rsidRDefault="00274DA2" w:rsidP="00886B0E">
      <w:pPr>
        <w:rPr>
          <w:bCs/>
          <w:lang w:eastAsia="zh-CN"/>
        </w:rPr>
      </w:pPr>
      <w:r w:rsidRPr="00850483">
        <w:rPr>
          <w:i/>
        </w:rPr>
        <w:t>a)</w:t>
      </w:r>
      <w:r w:rsidRPr="00850483">
        <w:rPr>
          <w:i/>
        </w:rPr>
        <w:tab/>
      </w:r>
      <w:r w:rsidRPr="00850483">
        <w:rPr>
          <w:bCs/>
          <w:lang w:eastAsia="zh-CN"/>
        </w:rPr>
        <w:t>que le déploiement sur les mêmes fréquences avec couverture commune des composantes indépendantes de Terre et satellite des IMT n'est pas possible, sauf si des techniques telles que l'utilisation d'une bande de garde appropriée, ou d'autres techniques de limitation des brouillages, sont appliquées pour assurer la coexistence et la compatibilité entre la composante de Terre et la composante satellite des IMT</w:t>
      </w:r>
      <w:r w:rsidRPr="00850483">
        <w:t>;</w:t>
      </w:r>
    </w:p>
    <w:p w14:paraId="152F3543" w14:textId="47E10E78" w:rsidR="004A4B52" w:rsidRPr="00850483" w:rsidRDefault="00274DA2" w:rsidP="00886B0E">
      <w:r w:rsidRPr="00850483">
        <w:rPr>
          <w:i/>
        </w:rPr>
        <w:lastRenderedPageBreak/>
        <w:t>b)</w:t>
      </w:r>
      <w:r w:rsidRPr="00850483">
        <w:rPr>
          <w:i/>
        </w:rPr>
        <w:tab/>
      </w:r>
      <w:r w:rsidRPr="00850483">
        <w:t xml:space="preserve">que lorsque </w:t>
      </w:r>
      <w:r w:rsidRPr="00850483">
        <w:rPr>
          <w:lang w:eastAsia="zh-CN"/>
        </w:rPr>
        <w:t xml:space="preserve">la composante de Terre et la composante satellite des IMT sont déployées </w:t>
      </w:r>
      <w:r w:rsidRPr="00850483">
        <w:t xml:space="preserve">dans les bandes de fréquences 1 980-2 010 MHz et 2 170-2 200 MHz </w:t>
      </w:r>
      <w:r w:rsidRPr="00850483">
        <w:rPr>
          <w:lang w:eastAsia="zh-CN"/>
        </w:rPr>
        <w:t xml:space="preserve">dans des zones géographiques </w:t>
      </w:r>
      <w:del w:id="45" w:author="French" w:date="2019-10-23T09:54:00Z">
        <w:r w:rsidRPr="00850483" w:rsidDel="00B46890">
          <w:rPr>
            <w:lang w:eastAsia="zh-CN"/>
          </w:rPr>
          <w:delText>adjacentes</w:delText>
        </w:r>
      </w:del>
      <w:ins w:id="46" w:author="French" w:date="2019-10-23T09:54:00Z">
        <w:r w:rsidR="00B46890" w:rsidRPr="00850483">
          <w:rPr>
            <w:lang w:eastAsia="zh-CN"/>
          </w:rPr>
          <w:t>différentes</w:t>
        </w:r>
      </w:ins>
      <w:r w:rsidRPr="00850483">
        <w:rPr>
          <w:lang w:eastAsia="zh-CN"/>
        </w:rPr>
        <w:t xml:space="preserve">, des mesures techniques ou opérationnelles devront peut-être être mises en </w:t>
      </w:r>
      <w:r w:rsidR="0080072F" w:rsidRPr="00850483">
        <w:rPr>
          <w:lang w:eastAsia="zh-CN"/>
        </w:rPr>
        <w:t>œuvre</w:t>
      </w:r>
      <w:r w:rsidRPr="00850483">
        <w:rPr>
          <w:lang w:eastAsia="zh-CN"/>
        </w:rPr>
        <w:t xml:space="preserve"> afin d'éviter tout brouillage préjudiciable et que des études complémentaires de l'UIT</w:t>
      </w:r>
      <w:r w:rsidRPr="00850483">
        <w:rPr>
          <w:lang w:eastAsia="zh-CN"/>
        </w:rPr>
        <w:noBreakHyphen/>
        <w:t>R sont nécessaires à cet égard</w:t>
      </w:r>
      <w:r w:rsidRPr="00850483">
        <w:t>;</w:t>
      </w:r>
    </w:p>
    <w:p w14:paraId="4F1AF96C" w14:textId="4687A2C4" w:rsidR="004A4B52" w:rsidRPr="00850483" w:rsidRDefault="00274DA2" w:rsidP="00886B0E">
      <w:r w:rsidRPr="00850483">
        <w:rPr>
          <w:bCs/>
          <w:i/>
        </w:rPr>
        <w:t>c)</w:t>
      </w:r>
      <w:r w:rsidRPr="00850483">
        <w:rPr>
          <w:bCs/>
          <w:i/>
        </w:rPr>
        <w:tab/>
      </w:r>
      <w:r w:rsidRPr="00850483">
        <w:rPr>
          <w:lang w:eastAsia="zh-CN"/>
        </w:rPr>
        <w:t>que certaines difficultés ont été soulevées concernant le traitement des brouillages qui pourraient être causés entre la composante satellite et la composante de Terre des IMT</w:t>
      </w:r>
      <w:del w:id="47" w:author="French1" w:date="2019-10-21T07:31:00Z">
        <w:r w:rsidRPr="00850483" w:rsidDel="00E179C7">
          <w:rPr>
            <w:lang w:eastAsia="zh-CN"/>
          </w:rPr>
          <w:delText>;</w:delText>
        </w:r>
      </w:del>
      <w:ins w:id="48" w:author="French1" w:date="2019-10-21T07:31:00Z">
        <w:r w:rsidR="00E179C7" w:rsidRPr="00850483">
          <w:rPr>
            <w:lang w:eastAsia="zh-CN"/>
          </w:rPr>
          <w:t>,</w:t>
        </w:r>
      </w:ins>
    </w:p>
    <w:p w14:paraId="58DF72E8" w14:textId="005FF649" w:rsidR="004A4B52" w:rsidRPr="00850483" w:rsidRDefault="00274DA2" w:rsidP="00886B0E">
      <w:del w:id="49" w:author="French1" w:date="2019-10-21T07:18:00Z">
        <w:r w:rsidRPr="00850483" w:rsidDel="00130303">
          <w:rPr>
            <w:i/>
          </w:rPr>
          <w:delText>d)</w:delText>
        </w:r>
        <w:r w:rsidRPr="00850483" w:rsidDel="00130303">
          <w:rPr>
            <w:i/>
          </w:rPr>
          <w:tab/>
        </w:r>
        <w:r w:rsidRPr="00850483" w:rsidDel="00130303">
          <w:delText>que le Rapport UIT-R M.2041 porte sur le partage et la compatibilité dans la bande adjacente dans la bande des 2,5 GHz entre la composante de Terre et la composante satellite des IMT</w:delText>
        </w:r>
        <w:r w:rsidRPr="00850483" w:rsidDel="00130303">
          <w:noBreakHyphen/>
          <w:delText>2000,</w:delText>
        </w:r>
      </w:del>
    </w:p>
    <w:p w14:paraId="0F4823D9" w14:textId="77777777" w:rsidR="004A4B52" w:rsidRPr="00850483" w:rsidRDefault="00274DA2" w:rsidP="00886B0E">
      <w:pPr>
        <w:pStyle w:val="Call"/>
      </w:pPr>
      <w:r w:rsidRPr="00850483">
        <w:t>décide</w:t>
      </w:r>
    </w:p>
    <w:p w14:paraId="5D93EF15" w14:textId="5008EAD1" w:rsidR="004A4B52" w:rsidRPr="00850483" w:rsidRDefault="007C5A28" w:rsidP="00886B0E">
      <w:ins w:id="50" w:author="French1" w:date="2019-10-21T07:18:00Z">
        <w:r w:rsidRPr="00850483">
          <w:t>1</w:t>
        </w:r>
        <w:r w:rsidRPr="00850483">
          <w:tab/>
        </w:r>
      </w:ins>
      <w:r w:rsidR="00274DA2" w:rsidRPr="00850483">
        <w:t>que les administrations qui mettront en œuvre des IMT:</w:t>
      </w:r>
    </w:p>
    <w:p w14:paraId="0F47DBC3" w14:textId="77777777" w:rsidR="004A4B52" w:rsidRPr="00850483" w:rsidRDefault="00274DA2" w:rsidP="00886B0E">
      <w:r w:rsidRPr="00850483">
        <w:rPr>
          <w:i/>
          <w:iCs/>
        </w:rPr>
        <w:t>a)</w:t>
      </w:r>
      <w:r w:rsidRPr="00850483">
        <w:tab/>
        <w:t>devraient libérer les fréquences nécessaires au développement des systèmes;</w:t>
      </w:r>
    </w:p>
    <w:p w14:paraId="52C6873A" w14:textId="77777777" w:rsidR="004A4B52" w:rsidRPr="00850483" w:rsidRDefault="00274DA2" w:rsidP="00886B0E">
      <w:r w:rsidRPr="00850483">
        <w:rPr>
          <w:i/>
          <w:iCs/>
        </w:rPr>
        <w:t>b)</w:t>
      </w:r>
      <w:r w:rsidRPr="00850483">
        <w:tab/>
        <w:t>devraient utiliser ces fréquences lorsque les IMT seront mises en œuvre;</w:t>
      </w:r>
    </w:p>
    <w:p w14:paraId="253EAF89" w14:textId="4CBBD450" w:rsidR="004A4B52" w:rsidRPr="00850483" w:rsidRDefault="00274DA2" w:rsidP="00886B0E">
      <w:pPr>
        <w:rPr>
          <w:ins w:id="51" w:author="French1" w:date="2019-10-21T07:19:00Z"/>
        </w:rPr>
      </w:pPr>
      <w:r w:rsidRPr="00850483">
        <w:rPr>
          <w:i/>
          <w:iCs/>
        </w:rPr>
        <w:t>c)</w:t>
      </w:r>
      <w:r w:rsidRPr="00850483">
        <w:tab/>
        <w:t>devraient utiliser les caractéristiques techniques internationales pertinentes, telles qu'elles sont définies dans les Recommandations UIT-R et UIT-T</w:t>
      </w:r>
      <w:del w:id="52" w:author="French1" w:date="2019-10-21T07:19:00Z">
        <w:r w:rsidRPr="00850483" w:rsidDel="007C5A28">
          <w:delText>,</w:delText>
        </w:r>
      </w:del>
      <w:ins w:id="53" w:author="French1" w:date="2019-10-21T07:19:00Z">
        <w:r w:rsidR="007C5A28" w:rsidRPr="00850483">
          <w:t>;</w:t>
        </w:r>
      </w:ins>
    </w:p>
    <w:p w14:paraId="51DA9667" w14:textId="05087C5B" w:rsidR="00DF0A14" w:rsidRPr="00850483" w:rsidRDefault="007C5A28" w:rsidP="00886B0E">
      <w:pPr>
        <w:rPr>
          <w:ins w:id="54" w:author="French" w:date="2019-10-23T09:58:00Z"/>
          <w:iCs/>
          <w:lang w:eastAsia="zh-CN"/>
        </w:rPr>
      </w:pPr>
      <w:ins w:id="55" w:author="French1" w:date="2019-10-21T07:19:00Z">
        <w:r w:rsidRPr="00850483">
          <w:rPr>
            <w:iCs/>
            <w:lang w:eastAsia="zh-CN"/>
          </w:rPr>
          <w:t>2</w:t>
        </w:r>
        <w:r w:rsidRPr="00850483">
          <w:rPr>
            <w:iCs/>
            <w:lang w:eastAsia="zh-CN"/>
          </w:rPr>
          <w:tab/>
        </w:r>
      </w:ins>
      <w:ins w:id="56" w:author="French" w:date="2019-10-23T09:58:00Z">
        <w:r w:rsidR="00DF0A14" w:rsidRPr="00850483">
          <w:rPr>
            <w:iCs/>
            <w:lang w:eastAsia="zh-CN"/>
          </w:rPr>
          <w:t>qu'aux fins de la protection des stations spatiales IMT contre les brouillages causés par les systèmes de Terre IMT</w:t>
        </w:r>
      </w:ins>
      <w:ins w:id="57" w:author="French" w:date="2019-10-23T09:59:00Z">
        <w:r w:rsidR="00DF0A14" w:rsidRPr="00850483">
          <w:rPr>
            <w:iCs/>
            <w:lang w:eastAsia="zh-CN"/>
          </w:rPr>
          <w:t xml:space="preserve">, </w:t>
        </w:r>
      </w:ins>
      <w:ins w:id="58" w:author="French" w:date="2019-10-23T10:00:00Z">
        <w:r w:rsidR="00DF0A14" w:rsidRPr="00850483">
          <w:rPr>
            <w:iCs/>
            <w:lang w:eastAsia="zh-CN"/>
          </w:rPr>
          <w:t xml:space="preserve">la puissance isotrope rayonnée équivalente d'une station de Terre IMT du service mobile ne doit pas dépasser </w:t>
        </w:r>
        <w:r w:rsidR="00DF0A14" w:rsidRPr="00850483">
          <w:t>20</w:t>
        </w:r>
        <w:r w:rsidR="00DF0A14" w:rsidRPr="00850483">
          <w:rPr>
            <w:lang w:eastAsia="zh-CN"/>
          </w:rPr>
          <w:t> </w:t>
        </w:r>
        <w:r w:rsidR="00DF0A14" w:rsidRPr="00850483">
          <w:t>dBm/5</w:t>
        </w:r>
        <w:r w:rsidR="00DF0A14" w:rsidRPr="00850483">
          <w:rPr>
            <w:lang w:eastAsia="zh-CN"/>
          </w:rPr>
          <w:t> </w:t>
        </w:r>
        <w:r w:rsidR="00DF0A14" w:rsidRPr="00850483">
          <w:t>MHz dans la bande de fréquences 1 980</w:t>
        </w:r>
      </w:ins>
      <w:ins w:id="59" w:author="French1" w:date="2019-10-24T11:37:00Z">
        <w:r w:rsidR="004B2EDE" w:rsidRPr="00850483">
          <w:noBreakHyphen/>
        </w:r>
      </w:ins>
      <w:ins w:id="60" w:author="French" w:date="2019-10-23T10:00:00Z">
        <w:r w:rsidR="00DF0A14" w:rsidRPr="00850483">
          <w:t>2 010 MHz</w:t>
        </w:r>
      </w:ins>
      <w:ins w:id="61" w:author="French" w:date="2019-10-23T10:01:00Z">
        <w:r w:rsidR="00DF0A14" w:rsidRPr="00850483">
          <w:t xml:space="preserve">, </w:t>
        </w:r>
      </w:ins>
      <w:ins w:id="62" w:author="French" w:date="2019-10-23T10:02:00Z">
        <w:r w:rsidR="00DF0A14" w:rsidRPr="00850483">
          <w:t xml:space="preserve">sauf pour les stations de Terre dans la bande de fréquences 1 980-1 990 MHz pour les pays énumérés dans le renvoi </w:t>
        </w:r>
        <w:r w:rsidR="00DF0A14" w:rsidRPr="00850483">
          <w:rPr>
            <w:b/>
            <w:bCs/>
          </w:rPr>
          <w:t>5.389B</w:t>
        </w:r>
        <w:r w:rsidR="00DF0A14" w:rsidRPr="00850483">
          <w:t>;</w:t>
        </w:r>
      </w:ins>
    </w:p>
    <w:p w14:paraId="37ACE009" w14:textId="7029399E" w:rsidR="00DF0A14" w:rsidRPr="00850483" w:rsidRDefault="007C5A28" w:rsidP="00886B0E">
      <w:pPr>
        <w:rPr>
          <w:ins w:id="63" w:author="French" w:date="2019-10-23T10:09:00Z"/>
        </w:rPr>
      </w:pPr>
      <w:ins w:id="64" w:author="French1" w:date="2019-10-21T07:19:00Z">
        <w:r w:rsidRPr="00850483">
          <w:t>3</w:t>
        </w:r>
        <w:r w:rsidRPr="00850483">
          <w:tab/>
        </w:r>
      </w:ins>
      <w:ins w:id="65" w:author="French" w:date="2019-10-23T10:09:00Z">
        <w:r w:rsidR="00DF0A14" w:rsidRPr="00850483">
          <w:t>qu'aux fins de la prote</w:t>
        </w:r>
      </w:ins>
      <w:ins w:id="66" w:author="French" w:date="2019-10-23T10:10:00Z">
        <w:r w:rsidR="00DF0A14" w:rsidRPr="00850483">
          <w:t xml:space="preserve">ction des stations de Terre IMT contre les brouillages causés par les stations spatiales IMT, </w:t>
        </w:r>
      </w:ins>
      <w:ins w:id="67" w:author="French" w:date="2019-10-23T10:11:00Z">
        <w:r w:rsidR="00A03D04" w:rsidRPr="00850483">
          <w:t>une valeur de seuil déclenchant la coordination de −108,8</w:t>
        </w:r>
        <w:r w:rsidR="00A03D04" w:rsidRPr="00850483">
          <w:rPr>
            <w:lang w:eastAsia="zh-CN"/>
          </w:rPr>
          <w:t> </w:t>
        </w:r>
        <w:r w:rsidR="00A03D04" w:rsidRPr="00850483">
          <w:t>dB(W/m</w:t>
        </w:r>
        <w:r w:rsidR="00A03D04" w:rsidRPr="00850483">
          <w:rPr>
            <w:vertAlign w:val="superscript"/>
          </w:rPr>
          <w:t>2</w:t>
        </w:r>
        <w:r w:rsidR="00A03D04" w:rsidRPr="00850483">
          <w:t xml:space="preserve">) </w:t>
        </w:r>
      </w:ins>
      <w:ins w:id="68" w:author="French" w:date="2019-10-23T11:27:00Z">
        <w:r w:rsidR="005B6FD0" w:rsidRPr="00850483">
          <w:t>dans une bande de 1</w:t>
        </w:r>
        <w:r w:rsidR="005B6FD0" w:rsidRPr="00850483">
          <w:rPr>
            <w:lang w:eastAsia="zh-CN"/>
          </w:rPr>
          <w:t> </w:t>
        </w:r>
        <w:r w:rsidR="005B6FD0" w:rsidRPr="00850483">
          <w:t xml:space="preserve">MHz pour la puissance surfacique </w:t>
        </w:r>
      </w:ins>
      <w:ins w:id="69" w:author="French" w:date="2019-10-23T10:16:00Z">
        <w:r w:rsidR="00A03D04" w:rsidRPr="00850483">
          <w:t xml:space="preserve">produite à la surface de la Terre par les stations spatiales IMT </w:t>
        </w:r>
      </w:ins>
      <w:ins w:id="70" w:author="French" w:date="2019-10-23T10:17:00Z">
        <w:r w:rsidR="00A03D04" w:rsidRPr="00850483">
          <w:t>du service mobile par satellite dans la bande de fréquences 2</w:t>
        </w:r>
        <w:r w:rsidR="00A03D04" w:rsidRPr="00850483">
          <w:rPr>
            <w:lang w:eastAsia="zh-CN"/>
          </w:rPr>
          <w:t> </w:t>
        </w:r>
        <w:r w:rsidR="00A03D04" w:rsidRPr="00850483">
          <w:t>170-2 200 MHz doit être appliquée,</w:t>
        </w:r>
      </w:ins>
    </w:p>
    <w:p w14:paraId="70E0F116" w14:textId="3BEED40C" w:rsidR="004A4B52" w:rsidRPr="00850483" w:rsidDel="005A03E3" w:rsidRDefault="00274DA2" w:rsidP="00886B0E">
      <w:pPr>
        <w:pStyle w:val="Call"/>
        <w:rPr>
          <w:del w:id="71" w:author="French1" w:date="2019-10-21T07:19:00Z"/>
          <w:i w:val="0"/>
        </w:rPr>
      </w:pPr>
      <w:del w:id="72" w:author="French1" w:date="2019-10-21T07:19:00Z">
        <w:r w:rsidRPr="00850483" w:rsidDel="005A03E3">
          <w:delText>invite l'UIT</w:delText>
        </w:r>
        <w:r w:rsidRPr="00850483" w:rsidDel="005A03E3">
          <w:noBreakHyphen/>
          <w:delText>R</w:delText>
        </w:r>
      </w:del>
    </w:p>
    <w:p w14:paraId="008DBC6D" w14:textId="3BA78E9D" w:rsidR="004A4B52" w:rsidRPr="00850483" w:rsidDel="005A03E3" w:rsidRDefault="00274DA2" w:rsidP="00886B0E">
      <w:pPr>
        <w:keepNext/>
        <w:keepLines/>
        <w:rPr>
          <w:del w:id="73" w:author="French1" w:date="2019-10-21T07:19:00Z"/>
        </w:rPr>
      </w:pPr>
      <w:del w:id="74" w:author="French1" w:date="2019-10-21T07:19:00Z">
        <w:r w:rsidRPr="00850483" w:rsidDel="005A03E3">
          <w:delText>à étudier les éventuelles mesures techniques et opérationnelles propres à assurer la coexistence et la compatibilité entre la composante de Terre des IMT (dans le service mobile) et la composante satellite des IMT (dans le service mobile par satellite) dans les bandes de fréquences 1 980-2 010 MHz et 2 170-2 200 MHz, lorsque ces bandes de fréquences sont utilisées en partage par le SM et le SMS dans différents pays, en particulier pour le déploiement des composantes indépendantes satellite et de Terre des IMT, et à faciliter le développement à la fois de la composante de Terre et de la composante satellite des IMT,</w:delText>
        </w:r>
      </w:del>
    </w:p>
    <w:p w14:paraId="58825692" w14:textId="77777777" w:rsidR="004A4B52" w:rsidRPr="00850483" w:rsidRDefault="00274DA2" w:rsidP="00886B0E">
      <w:pPr>
        <w:pStyle w:val="Call"/>
      </w:pPr>
      <w:r w:rsidRPr="00850483">
        <w:t>encourage les administrations</w:t>
      </w:r>
    </w:p>
    <w:p w14:paraId="1B4008FE" w14:textId="2DB86483" w:rsidR="004A4B52" w:rsidRPr="00850483" w:rsidRDefault="00274DA2" w:rsidP="00886B0E">
      <w:del w:id="75" w:author="French1" w:date="2019-10-21T07:20:00Z">
        <w:r w:rsidRPr="00850483" w:rsidDel="005A03E3">
          <w:delText>1</w:delText>
        </w:r>
        <w:r w:rsidRPr="00850483" w:rsidDel="005A03E3">
          <w:tab/>
        </w:r>
      </w:del>
      <w:r w:rsidRPr="00850483">
        <w:t>à tenir dûment compte, lorsqu'elles mettront en place les IMT, des besoins des autres services fonctionnant actuellement dans ces bandes de fréquences</w:t>
      </w:r>
      <w:del w:id="76" w:author="French1" w:date="2019-10-21T07:20:00Z">
        <w:r w:rsidRPr="00850483" w:rsidDel="005A03E3">
          <w:delText>;</w:delText>
        </w:r>
      </w:del>
      <w:ins w:id="77" w:author="French1" w:date="2019-10-21T07:20:00Z">
        <w:r w:rsidR="005A03E3" w:rsidRPr="00850483">
          <w:t>.</w:t>
        </w:r>
      </w:ins>
    </w:p>
    <w:p w14:paraId="02A5B113" w14:textId="367ABD9F" w:rsidR="004A4B52" w:rsidRPr="00850483" w:rsidDel="005A03E3" w:rsidRDefault="00274DA2" w:rsidP="00886B0E">
      <w:pPr>
        <w:rPr>
          <w:del w:id="78" w:author="French1" w:date="2019-10-21T07:21:00Z"/>
        </w:rPr>
      </w:pPr>
      <w:del w:id="79" w:author="French1" w:date="2019-10-21T07:21:00Z">
        <w:r w:rsidRPr="00850483" w:rsidDel="005A03E3">
          <w:delText>2</w:delText>
        </w:r>
        <w:r w:rsidRPr="00850483" w:rsidDel="005A03E3">
          <w:tab/>
          <w:delText>à participer activement aux études de l'UIT</w:delText>
        </w:r>
        <w:r w:rsidRPr="00850483" w:rsidDel="005A03E3">
          <w:noBreakHyphen/>
          <w:delText xml:space="preserve">R conformément au </w:delText>
        </w:r>
        <w:r w:rsidRPr="00850483" w:rsidDel="005A03E3">
          <w:rPr>
            <w:i/>
            <w:iCs/>
          </w:rPr>
          <w:delText>invite l'UIT</w:delText>
        </w:r>
        <w:r w:rsidRPr="00850483" w:rsidDel="005A03E3">
          <w:rPr>
            <w:i/>
            <w:iCs/>
          </w:rPr>
          <w:noBreakHyphen/>
          <w:delText>R</w:delText>
        </w:r>
        <w:r w:rsidRPr="00850483" w:rsidDel="005A03E3">
          <w:delText xml:space="preserve"> ci-dessus,</w:delText>
        </w:r>
      </w:del>
    </w:p>
    <w:p w14:paraId="2986CD3E" w14:textId="1DDD2568" w:rsidR="004A4B52" w:rsidRPr="00850483" w:rsidDel="00AA5EEE" w:rsidRDefault="00274DA2" w:rsidP="00886B0E">
      <w:pPr>
        <w:pStyle w:val="Call"/>
        <w:rPr>
          <w:del w:id="80" w:author="French1" w:date="2019-10-21T07:21:00Z"/>
          <w:i w:val="0"/>
        </w:rPr>
      </w:pPr>
      <w:del w:id="81" w:author="French1" w:date="2019-10-21T07:21:00Z">
        <w:r w:rsidRPr="00850483" w:rsidDel="00AA5EEE">
          <w:delText>charge le Directeur du Bureau des radiocommunications</w:delText>
        </w:r>
      </w:del>
    </w:p>
    <w:p w14:paraId="337C84DD" w14:textId="3E8DB053" w:rsidR="004A4B52" w:rsidRPr="00850483" w:rsidDel="00AA5EEE" w:rsidRDefault="00274DA2" w:rsidP="00886B0E">
      <w:pPr>
        <w:rPr>
          <w:del w:id="82" w:author="French1" w:date="2019-10-21T07:21:00Z"/>
        </w:rPr>
      </w:pPr>
      <w:del w:id="83" w:author="French1" w:date="2019-10-21T07:21:00Z">
        <w:r w:rsidRPr="00850483" w:rsidDel="00AA5EEE">
          <w:delText xml:space="preserve">d'intégrer dans son Rapport les résultats des études de l'UIT-R mentionnées dans le </w:delText>
        </w:r>
        <w:r w:rsidRPr="00850483" w:rsidDel="00AA5EEE">
          <w:rPr>
            <w:i/>
            <w:iCs/>
          </w:rPr>
          <w:delText>invite l'UIT</w:delText>
        </w:r>
        <w:r w:rsidRPr="00850483" w:rsidDel="00AA5EEE">
          <w:rPr>
            <w:i/>
            <w:iCs/>
          </w:rPr>
          <w:noBreakHyphen/>
          <w:delText>R</w:delText>
        </w:r>
        <w:r w:rsidRPr="00850483" w:rsidDel="00AA5EEE">
          <w:delText xml:space="preserve"> ci</w:delText>
        </w:r>
        <w:r w:rsidRPr="00850483" w:rsidDel="00AA5EEE">
          <w:noBreakHyphen/>
          <w:delText>dessus afin qu'ils soient examinés par la CMR-19,</w:delText>
        </w:r>
      </w:del>
    </w:p>
    <w:p w14:paraId="4B01EBC0" w14:textId="00D89EB2" w:rsidR="004A4B52" w:rsidRPr="00850483" w:rsidDel="00AA5EEE" w:rsidRDefault="00274DA2" w:rsidP="00886B0E">
      <w:pPr>
        <w:pStyle w:val="Call"/>
        <w:rPr>
          <w:del w:id="84" w:author="French1" w:date="2019-10-21T07:21:00Z"/>
        </w:rPr>
      </w:pPr>
      <w:del w:id="85" w:author="French1" w:date="2019-10-21T07:21:00Z">
        <w:r w:rsidRPr="00850483" w:rsidDel="00AA5EEE">
          <w:lastRenderedPageBreak/>
          <w:delText>invite en outre l'UIT-R</w:delText>
        </w:r>
      </w:del>
    </w:p>
    <w:p w14:paraId="23BDF9F2" w14:textId="5C8E4294" w:rsidR="004A4B52" w:rsidRPr="00850483" w:rsidDel="00AA5EEE" w:rsidRDefault="00274DA2" w:rsidP="00886B0E">
      <w:pPr>
        <w:rPr>
          <w:del w:id="86" w:author="French1" w:date="2019-10-21T07:21:00Z"/>
        </w:rPr>
      </w:pPr>
      <w:del w:id="87" w:author="French1" w:date="2019-10-21T07:21:00Z">
        <w:r w:rsidRPr="00850483" w:rsidDel="00AA5EEE">
          <w:delText>à poursuivre ses travaux en vue de définir pour les IMT des caractéristiques techniques appropriées et acceptables, propres à faciliter leur utilisation et le déplacement des abonnés itinérants dans le monde entier, en veillant à ce que les IMT permettent aussi de satisfaire les besoins de télécommunication des pays en développement et des zones rurales.</w:delText>
        </w:r>
      </w:del>
    </w:p>
    <w:p w14:paraId="052553FE" w14:textId="2A4307FB" w:rsidR="0080072F" w:rsidRPr="00850483" w:rsidRDefault="00274DA2" w:rsidP="00886B0E">
      <w:pPr>
        <w:pStyle w:val="Reasons"/>
      </w:pPr>
      <w:r w:rsidRPr="00850483">
        <w:rPr>
          <w:b/>
        </w:rPr>
        <w:t>Motifs:</w:t>
      </w:r>
      <w:r w:rsidRPr="00850483">
        <w:tab/>
      </w:r>
      <w:r w:rsidR="0080072F" w:rsidRPr="00850483">
        <w:t xml:space="preserve">Les modifications de la Résolution </w:t>
      </w:r>
      <w:r w:rsidR="0080072F" w:rsidRPr="00850483">
        <w:rPr>
          <w:b/>
          <w:bCs/>
        </w:rPr>
        <w:t>212 (Rév.CMR-15)</w:t>
      </w:r>
      <w:r w:rsidR="0080072F" w:rsidRPr="00850483">
        <w:t xml:space="preserve"> sont proposées en vue d'assurer la coexistence et la compatibilité entre la composante de Terre des IMT (dans le service mobile) et la composante satellite des IMT (dans le service mobile et </w:t>
      </w:r>
      <w:r w:rsidR="00886B0E" w:rsidRPr="00850483">
        <w:t xml:space="preserve">dans </w:t>
      </w:r>
      <w:r w:rsidR="0080072F" w:rsidRPr="00850483">
        <w:t>le service mobile par satellite)</w:t>
      </w:r>
      <w:r w:rsidR="0080072F" w:rsidRPr="00850483" w:rsidDel="003923E6">
        <w:t xml:space="preserve"> </w:t>
      </w:r>
      <w:r w:rsidR="0080072F" w:rsidRPr="00850483">
        <w:t>dans les bandes de fréquences 1 980-2 010 MHz et 2 170-2 200 MHz, lorsque ces bandes de fréquences sont utilisées en partage par le service mobile et le service mobile par satellite dans différents pays.</w:t>
      </w:r>
    </w:p>
    <w:p w14:paraId="4A2A808C" w14:textId="4126AFEB" w:rsidR="00FD0668" w:rsidRPr="00850483" w:rsidRDefault="00287A8A" w:rsidP="009E325D">
      <w:pPr>
        <w:jc w:val="center"/>
      </w:pPr>
      <w:r w:rsidRPr="00850483">
        <w:t>______________</w:t>
      </w:r>
    </w:p>
    <w:sectPr w:rsidR="00FD0668" w:rsidRPr="00850483">
      <w:headerReference w:type="default" r:id="rId13"/>
      <w:footerReference w:type="even" r:id="rId14"/>
      <w:footerReference w:type="default" r:id="rId15"/>
      <w:footerReference w:type="first" r:id="rId16"/>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6A1ED" w14:textId="77777777" w:rsidR="00BC217E" w:rsidRDefault="00BC217E">
      <w:r>
        <w:separator/>
      </w:r>
    </w:p>
  </w:endnote>
  <w:endnote w:type="continuationSeparator" w:id="0">
    <w:p w14:paraId="7A727D63"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DAC50" w14:textId="745FB786" w:rsidR="00936D25" w:rsidRDefault="00936D25">
    <w:pPr>
      <w:rPr>
        <w:lang w:val="en-US"/>
      </w:rPr>
    </w:pPr>
    <w:r>
      <w:fldChar w:fldCharType="begin"/>
    </w:r>
    <w:r>
      <w:rPr>
        <w:lang w:val="en-US"/>
      </w:rPr>
      <w:instrText xml:space="preserve"> FILENAME \p  \* MERGEFORMAT </w:instrText>
    </w:r>
    <w:r>
      <w:fldChar w:fldCharType="separate"/>
    </w:r>
    <w:r w:rsidR="00AD1DC7">
      <w:rPr>
        <w:noProof/>
        <w:lang w:val="en-US"/>
      </w:rPr>
      <w:t>P:\FRA\ITU-R\CONF-R\CMR19\000\028ADD21ADD01F.docx</w:t>
    </w:r>
    <w:r>
      <w:fldChar w:fldCharType="end"/>
    </w:r>
    <w:r>
      <w:rPr>
        <w:lang w:val="en-US"/>
      </w:rPr>
      <w:tab/>
    </w:r>
    <w:r>
      <w:fldChar w:fldCharType="begin"/>
    </w:r>
    <w:r>
      <w:instrText xml:space="preserve"> SAVEDATE \@ DD.MM.YY </w:instrText>
    </w:r>
    <w:r>
      <w:fldChar w:fldCharType="separate"/>
    </w:r>
    <w:r w:rsidR="00AD1DC7">
      <w:rPr>
        <w:noProof/>
      </w:rPr>
      <w:t>24.10.19</w:t>
    </w:r>
    <w:r>
      <w:fldChar w:fldCharType="end"/>
    </w:r>
    <w:r>
      <w:rPr>
        <w:lang w:val="en-US"/>
      </w:rPr>
      <w:tab/>
    </w:r>
    <w:r>
      <w:fldChar w:fldCharType="begin"/>
    </w:r>
    <w:r>
      <w:instrText xml:space="preserve"> PRINTDATE \@ DD.MM.YY </w:instrText>
    </w:r>
    <w:r>
      <w:fldChar w:fldCharType="separate"/>
    </w:r>
    <w:r w:rsidR="00AD1DC7">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F84D" w14:textId="6FDA34F4" w:rsidR="00936D25" w:rsidRDefault="00AD1DC7" w:rsidP="009E325D">
    <w:pPr>
      <w:pStyle w:val="Footer"/>
      <w:rPr>
        <w:lang w:val="en-US"/>
      </w:rPr>
    </w:pPr>
    <w:r>
      <w:fldChar w:fldCharType="begin"/>
    </w:r>
    <w:r w:rsidRPr="00C60868">
      <w:rPr>
        <w:lang w:val="en-GB"/>
      </w:rPr>
      <w:instrText xml:space="preserve"> FILENAME \p  \* MERGEFORMAT </w:instrText>
    </w:r>
    <w:r>
      <w:fldChar w:fldCharType="separate"/>
    </w:r>
    <w:r>
      <w:rPr>
        <w:lang w:val="en-GB"/>
      </w:rPr>
      <w:t>P:\FRA\ITU-R\CONF-R\CMR19\000\028ADD21ADD01F.docx</w:t>
    </w:r>
    <w:r>
      <w:fldChar w:fldCharType="end"/>
    </w:r>
    <w:r w:rsidR="009E325D" w:rsidRPr="00C60868">
      <w:rPr>
        <w:lang w:val="en-GB"/>
      </w:rPr>
      <w:t xml:space="preserve"> (461523)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B7423" w14:textId="09B928AC" w:rsidR="00936D25" w:rsidRDefault="00AD1DC7" w:rsidP="00886B0E">
    <w:pPr>
      <w:pStyle w:val="Footer"/>
      <w:rPr>
        <w:lang w:val="en-US"/>
      </w:rPr>
    </w:pPr>
    <w:r>
      <w:fldChar w:fldCharType="begin"/>
    </w:r>
    <w:r w:rsidRPr="00C60868">
      <w:rPr>
        <w:lang w:val="en-GB"/>
      </w:rPr>
      <w:instrText xml:space="preserve"> FILENAME \p  \* MERGEFORMAT </w:instrText>
    </w:r>
    <w:r>
      <w:fldChar w:fldCharType="separate"/>
    </w:r>
    <w:r>
      <w:rPr>
        <w:lang w:val="en-GB"/>
      </w:rPr>
      <w:t>P:\FRA\ITU-R\CONF-R\CMR19\000\028ADD21ADD01F.docx</w:t>
    </w:r>
    <w:r>
      <w:fldChar w:fldCharType="end"/>
    </w:r>
    <w:r w:rsidR="00886B0E" w:rsidRPr="00C60868">
      <w:rPr>
        <w:lang w:val="en-GB"/>
      </w:rPr>
      <w:t xml:space="preserve"> (461523)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BC018" w14:textId="77777777" w:rsidR="00BC217E" w:rsidRDefault="00BC217E">
      <w:r>
        <w:rPr>
          <w:b/>
        </w:rPr>
        <w:t>_______________</w:t>
      </w:r>
    </w:p>
  </w:footnote>
  <w:footnote w:type="continuationSeparator" w:id="0">
    <w:p w14:paraId="51A80B6A"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5C4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D50BCDA" w14:textId="77777777" w:rsidR="004F1F8E" w:rsidRDefault="004F1F8E" w:rsidP="00FD7AA3">
    <w:pPr>
      <w:pStyle w:val="Header"/>
    </w:pPr>
    <w:r>
      <w:t>CMR1</w:t>
    </w:r>
    <w:r w:rsidR="00FD7AA3">
      <w:t>9</w:t>
    </w:r>
    <w:r>
      <w:t>/</w:t>
    </w:r>
    <w:r w:rsidR="006A4B45">
      <w:t>28(Add.21)(Add.1)-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2A5B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643A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8C9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66B5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30C7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527F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2C59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884A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A0EE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4EEB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E5331"/>
    <w:rsid w:val="001167B9"/>
    <w:rsid w:val="0012085C"/>
    <w:rsid w:val="001267A0"/>
    <w:rsid w:val="00130303"/>
    <w:rsid w:val="0015203F"/>
    <w:rsid w:val="00160C64"/>
    <w:rsid w:val="0018169B"/>
    <w:rsid w:val="00185BA9"/>
    <w:rsid w:val="0019352B"/>
    <w:rsid w:val="001960D0"/>
    <w:rsid w:val="001A11F6"/>
    <w:rsid w:val="001F17E8"/>
    <w:rsid w:val="00204306"/>
    <w:rsid w:val="0020762B"/>
    <w:rsid w:val="00232FD2"/>
    <w:rsid w:val="0026554E"/>
    <w:rsid w:val="00274DA2"/>
    <w:rsid w:val="00287A8A"/>
    <w:rsid w:val="002A130F"/>
    <w:rsid w:val="002A4622"/>
    <w:rsid w:val="002A6F8F"/>
    <w:rsid w:val="002B17E5"/>
    <w:rsid w:val="002C0EBF"/>
    <w:rsid w:val="002C28A4"/>
    <w:rsid w:val="002D0C9E"/>
    <w:rsid w:val="002D7E0A"/>
    <w:rsid w:val="002E43ED"/>
    <w:rsid w:val="00315AFE"/>
    <w:rsid w:val="00316F46"/>
    <w:rsid w:val="003606A6"/>
    <w:rsid w:val="0036650C"/>
    <w:rsid w:val="0037424E"/>
    <w:rsid w:val="00382852"/>
    <w:rsid w:val="00393ACD"/>
    <w:rsid w:val="003A583E"/>
    <w:rsid w:val="003E112B"/>
    <w:rsid w:val="003E1D1C"/>
    <w:rsid w:val="003E7B05"/>
    <w:rsid w:val="003F3719"/>
    <w:rsid w:val="003F6F2D"/>
    <w:rsid w:val="0041370D"/>
    <w:rsid w:val="0041479E"/>
    <w:rsid w:val="00466211"/>
    <w:rsid w:val="00483196"/>
    <w:rsid w:val="004834A9"/>
    <w:rsid w:val="004B2EDE"/>
    <w:rsid w:val="004D01FC"/>
    <w:rsid w:val="004E28C3"/>
    <w:rsid w:val="004F1F8E"/>
    <w:rsid w:val="00512A32"/>
    <w:rsid w:val="005343DA"/>
    <w:rsid w:val="00560874"/>
    <w:rsid w:val="00586CF2"/>
    <w:rsid w:val="005A03E3"/>
    <w:rsid w:val="005A7C75"/>
    <w:rsid w:val="005B6FD0"/>
    <w:rsid w:val="005C3768"/>
    <w:rsid w:val="005C6C3F"/>
    <w:rsid w:val="005F0E31"/>
    <w:rsid w:val="00613635"/>
    <w:rsid w:val="0062093D"/>
    <w:rsid w:val="00637ECF"/>
    <w:rsid w:val="00647B59"/>
    <w:rsid w:val="00690C7B"/>
    <w:rsid w:val="006A4B45"/>
    <w:rsid w:val="006B7B3F"/>
    <w:rsid w:val="006D2159"/>
    <w:rsid w:val="006D4724"/>
    <w:rsid w:val="006F5FA2"/>
    <w:rsid w:val="0070076C"/>
    <w:rsid w:val="00701BAE"/>
    <w:rsid w:val="00721F04"/>
    <w:rsid w:val="00730E95"/>
    <w:rsid w:val="007426B9"/>
    <w:rsid w:val="0074471D"/>
    <w:rsid w:val="00760EAC"/>
    <w:rsid w:val="00764342"/>
    <w:rsid w:val="00773295"/>
    <w:rsid w:val="00774362"/>
    <w:rsid w:val="00786598"/>
    <w:rsid w:val="00790C74"/>
    <w:rsid w:val="007A04E8"/>
    <w:rsid w:val="007B2C34"/>
    <w:rsid w:val="007C5A28"/>
    <w:rsid w:val="007F5BDC"/>
    <w:rsid w:val="0080072F"/>
    <w:rsid w:val="00830086"/>
    <w:rsid w:val="00850483"/>
    <w:rsid w:val="00851625"/>
    <w:rsid w:val="0085436F"/>
    <w:rsid w:val="00863C0A"/>
    <w:rsid w:val="0088628D"/>
    <w:rsid w:val="00886B0E"/>
    <w:rsid w:val="008A3120"/>
    <w:rsid w:val="008A4B97"/>
    <w:rsid w:val="008C1401"/>
    <w:rsid w:val="008C5B8E"/>
    <w:rsid w:val="008C5DD5"/>
    <w:rsid w:val="008D41BE"/>
    <w:rsid w:val="008D58D3"/>
    <w:rsid w:val="008E00B2"/>
    <w:rsid w:val="008E3BC9"/>
    <w:rsid w:val="00923064"/>
    <w:rsid w:val="00930FFD"/>
    <w:rsid w:val="00936D25"/>
    <w:rsid w:val="00941EA5"/>
    <w:rsid w:val="00964700"/>
    <w:rsid w:val="00966C16"/>
    <w:rsid w:val="0098732F"/>
    <w:rsid w:val="009A045F"/>
    <w:rsid w:val="009A6A2B"/>
    <w:rsid w:val="009C7E7C"/>
    <w:rsid w:val="009E325D"/>
    <w:rsid w:val="00A00473"/>
    <w:rsid w:val="00A03C9B"/>
    <w:rsid w:val="00A03D04"/>
    <w:rsid w:val="00A37105"/>
    <w:rsid w:val="00A606C3"/>
    <w:rsid w:val="00A82F77"/>
    <w:rsid w:val="00A83B09"/>
    <w:rsid w:val="00A84541"/>
    <w:rsid w:val="00AA5EEE"/>
    <w:rsid w:val="00AD1DC7"/>
    <w:rsid w:val="00AE36A0"/>
    <w:rsid w:val="00AE43EF"/>
    <w:rsid w:val="00AF2474"/>
    <w:rsid w:val="00B00294"/>
    <w:rsid w:val="00B3749C"/>
    <w:rsid w:val="00B46890"/>
    <w:rsid w:val="00B64FD0"/>
    <w:rsid w:val="00B813C6"/>
    <w:rsid w:val="00BA5BD0"/>
    <w:rsid w:val="00BB1D82"/>
    <w:rsid w:val="00BC217E"/>
    <w:rsid w:val="00BD51C5"/>
    <w:rsid w:val="00BF26E7"/>
    <w:rsid w:val="00C41338"/>
    <w:rsid w:val="00C53FCA"/>
    <w:rsid w:val="00C60868"/>
    <w:rsid w:val="00C76BAF"/>
    <w:rsid w:val="00C814B9"/>
    <w:rsid w:val="00C95E35"/>
    <w:rsid w:val="00CD516F"/>
    <w:rsid w:val="00D119A7"/>
    <w:rsid w:val="00D25FBA"/>
    <w:rsid w:val="00D32B28"/>
    <w:rsid w:val="00D42954"/>
    <w:rsid w:val="00D66EAC"/>
    <w:rsid w:val="00D730DF"/>
    <w:rsid w:val="00D772F0"/>
    <w:rsid w:val="00D77BDC"/>
    <w:rsid w:val="00DC402B"/>
    <w:rsid w:val="00DD757D"/>
    <w:rsid w:val="00DE0932"/>
    <w:rsid w:val="00DF0A14"/>
    <w:rsid w:val="00E03A27"/>
    <w:rsid w:val="00E049F1"/>
    <w:rsid w:val="00E179C7"/>
    <w:rsid w:val="00E20077"/>
    <w:rsid w:val="00E37A25"/>
    <w:rsid w:val="00E537FF"/>
    <w:rsid w:val="00E60CB2"/>
    <w:rsid w:val="00E6539B"/>
    <w:rsid w:val="00E70A31"/>
    <w:rsid w:val="00E723A7"/>
    <w:rsid w:val="00EA3F38"/>
    <w:rsid w:val="00EA5AB6"/>
    <w:rsid w:val="00EC7615"/>
    <w:rsid w:val="00ED16AA"/>
    <w:rsid w:val="00ED6A43"/>
    <w:rsid w:val="00ED6B8D"/>
    <w:rsid w:val="00EE3D7B"/>
    <w:rsid w:val="00EF662E"/>
    <w:rsid w:val="00F10064"/>
    <w:rsid w:val="00F148F1"/>
    <w:rsid w:val="00F3739D"/>
    <w:rsid w:val="00F711A7"/>
    <w:rsid w:val="00FA3BBF"/>
    <w:rsid w:val="00FC41F8"/>
    <w:rsid w:val="00FD0668"/>
    <w:rsid w:val="00FD77D9"/>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D2010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144CCE"/>
    <w:rPr>
      <w:b/>
      <w:bCs/>
      <w:color w:val="auto"/>
    </w:rPr>
  </w:style>
  <w:style w:type="character" w:customStyle="1" w:styleId="enumlev1Char">
    <w:name w:val="enumlev1 Char"/>
    <w:basedOn w:val="DefaultParagraphFont"/>
    <w:link w:val="enumlev1"/>
    <w:qFormat/>
    <w:rsid w:val="0077329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BAB65-E126-4F07-9611-E01647E0DDAD}">
  <ds:schemaRefs>
    <ds:schemaRef ds:uri="http://schemas.microsoft.com/sharepoint/events"/>
  </ds:schemaRefs>
</ds:datastoreItem>
</file>

<file path=customXml/itemProps2.xml><?xml version="1.0" encoding="utf-8"?>
<ds:datastoreItem xmlns:ds="http://schemas.openxmlformats.org/officeDocument/2006/customXml" ds:itemID="{B2E77E39-6A40-4972-A052-5A39AFB42030}">
  <ds:schemaRefs>
    <ds:schemaRef ds:uri="http://purl.org/dc/elements/1.1/"/>
    <ds:schemaRef ds:uri="http://www.w3.org/XML/1998/namespace"/>
    <ds:schemaRef ds:uri="32a1a8c5-2265-4ebc-b7a0-2071e2c5c9bb"/>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996b2e75-67fd-4955-a3b0-5ab9934cb50b"/>
    <ds:schemaRef ds:uri="http://purl.org/dc/terms/"/>
  </ds:schemaRefs>
</ds:datastoreItem>
</file>

<file path=customXml/itemProps3.xml><?xml version="1.0" encoding="utf-8"?>
<ds:datastoreItem xmlns:ds="http://schemas.openxmlformats.org/officeDocument/2006/customXml" ds:itemID="{A1D7F06C-56E0-4152-8845-B1F594D043D7}">
  <ds:schemaRefs>
    <ds:schemaRef ds:uri="http://schemas.microsoft.com/sharepoint/v3/contenttype/forms"/>
  </ds:schemaRefs>
</ds:datastoreItem>
</file>

<file path=customXml/itemProps4.xml><?xml version="1.0" encoding="utf-8"?>
<ds:datastoreItem xmlns:ds="http://schemas.openxmlformats.org/officeDocument/2006/customXml" ds:itemID="{3C2A1308-6E4B-42D5-B894-73C987085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2031</Words>
  <Characters>10567</Characters>
  <Application>Microsoft Office Word</Application>
  <DocSecurity>0</DocSecurity>
  <Lines>201</Lines>
  <Paragraphs>85</Paragraphs>
  <ScaleCrop>false</ScaleCrop>
  <HeadingPairs>
    <vt:vector size="2" baseType="variant">
      <vt:variant>
        <vt:lpstr>Title</vt:lpstr>
      </vt:variant>
      <vt:variant>
        <vt:i4>1</vt:i4>
      </vt:variant>
    </vt:vector>
  </HeadingPairs>
  <TitlesOfParts>
    <vt:vector size="1" baseType="lpstr">
      <vt:lpstr>R16-WRC19-C-0028!A21-A1!MSW-F</vt:lpstr>
    </vt:vector>
  </TitlesOfParts>
  <Manager>Secrétariat général - Pool</Manager>
  <Company>Union internationale des télécommunications (UIT)</Company>
  <LinksUpToDate>false</LinksUpToDate>
  <CharactersWithSpaces>12520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R16-WRC19-C-0028!A21-A1!MSW-F</dc:title>
  <dc:subject>Conférence mondiale des radiocommunications - 2019</dc:subject>
  <dc:creator>Documents Proposals Manager (DPM)</dc:creator>
  <cp:keywords>DPM_v2019.10.15.2_prod</cp:keywords>
  <dc:description/>
  <cp:lastModifiedBy>French1</cp:lastModifiedBy>
  <cp:revision>10</cp:revision>
  <cp:lastPrinted>2019-10-24T09:39:00Z</cp:lastPrinted>
  <dcterms:created xsi:type="dcterms:W3CDTF">2019-10-24T05:10:00Z</dcterms:created>
  <dcterms:modified xsi:type="dcterms:W3CDTF">2019-10-24T09:40:00Z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