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4DB5FBE5" w14:textId="77777777" w:rsidTr="001226EC">
        <w:trPr>
          <w:cantSplit/>
        </w:trPr>
        <w:tc>
          <w:tcPr>
            <w:tcW w:w="6771" w:type="dxa"/>
          </w:tcPr>
          <w:p w14:paraId="5D924291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4F10AC7C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0E3138A7" wp14:editId="1157157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24004810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98D5AC7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1EE0754A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20C4CB7A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9D95FC9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33C70EB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3C501D6F" w14:textId="77777777" w:rsidTr="001226EC">
        <w:trPr>
          <w:cantSplit/>
        </w:trPr>
        <w:tc>
          <w:tcPr>
            <w:tcW w:w="6771" w:type="dxa"/>
          </w:tcPr>
          <w:p w14:paraId="38BED492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0BEDC94C" w14:textId="77777777" w:rsidR="005651C9" w:rsidRPr="009B0EF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B0EF7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9</w:t>
            </w:r>
            <w:r w:rsidRPr="009B0EF7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9B0EF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32E9BAF" w14:textId="77777777" w:rsidTr="001226EC">
        <w:trPr>
          <w:cantSplit/>
        </w:trPr>
        <w:tc>
          <w:tcPr>
            <w:tcW w:w="6771" w:type="dxa"/>
          </w:tcPr>
          <w:p w14:paraId="68860756" w14:textId="77777777" w:rsidR="000F33D8" w:rsidRPr="009B0EF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8D44A2D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9E813F5" w14:textId="77777777" w:rsidTr="001226EC">
        <w:trPr>
          <w:cantSplit/>
        </w:trPr>
        <w:tc>
          <w:tcPr>
            <w:tcW w:w="6771" w:type="dxa"/>
          </w:tcPr>
          <w:p w14:paraId="2E173B74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4C50916E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63FFD1CA" w14:textId="77777777" w:rsidTr="009546EA">
        <w:trPr>
          <w:cantSplit/>
        </w:trPr>
        <w:tc>
          <w:tcPr>
            <w:tcW w:w="10031" w:type="dxa"/>
            <w:gridSpan w:val="2"/>
          </w:tcPr>
          <w:p w14:paraId="67528687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35DFBA90" w14:textId="77777777">
        <w:trPr>
          <w:cantSplit/>
        </w:trPr>
        <w:tc>
          <w:tcPr>
            <w:tcW w:w="10031" w:type="dxa"/>
            <w:gridSpan w:val="2"/>
          </w:tcPr>
          <w:p w14:paraId="68203009" w14:textId="77777777" w:rsidR="000F33D8" w:rsidRPr="009B0EF7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9B0EF7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4FD2C1A3" w14:textId="77777777">
        <w:trPr>
          <w:cantSplit/>
        </w:trPr>
        <w:tc>
          <w:tcPr>
            <w:tcW w:w="10031" w:type="dxa"/>
            <w:gridSpan w:val="2"/>
          </w:tcPr>
          <w:p w14:paraId="6304F25D" w14:textId="695FD4D8" w:rsidR="000F33D8" w:rsidRPr="009B0EF7" w:rsidRDefault="009B0EF7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A0EF3" w14:paraId="42B00F0E" w14:textId="77777777">
        <w:trPr>
          <w:cantSplit/>
        </w:trPr>
        <w:tc>
          <w:tcPr>
            <w:tcW w:w="10031" w:type="dxa"/>
            <w:gridSpan w:val="2"/>
          </w:tcPr>
          <w:p w14:paraId="635B5A9C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2D1BA654" w14:textId="77777777">
        <w:trPr>
          <w:cantSplit/>
        </w:trPr>
        <w:tc>
          <w:tcPr>
            <w:tcW w:w="10031" w:type="dxa"/>
            <w:gridSpan w:val="2"/>
          </w:tcPr>
          <w:p w14:paraId="773E53A4" w14:textId="77777777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1.9 повестки дня</w:t>
            </w:r>
          </w:p>
        </w:tc>
      </w:tr>
    </w:tbl>
    <w:bookmarkEnd w:id="7"/>
    <w:p w14:paraId="18C89FC9" w14:textId="77777777" w:rsidR="00D51940" w:rsidRPr="009B0EF7" w:rsidRDefault="009B0EF7" w:rsidP="000878E6">
      <w:pPr>
        <w:rPr>
          <w:szCs w:val="22"/>
        </w:rPr>
      </w:pPr>
      <w:r w:rsidRPr="00205246">
        <w:rPr>
          <w:lang w:eastAsia="zh-CN"/>
        </w:rPr>
        <w:t>1.9</w:t>
      </w:r>
      <w:r w:rsidRPr="00205246">
        <w:rPr>
          <w:lang w:eastAsia="zh-CN"/>
        </w:rPr>
        <w:tab/>
      </w:r>
      <w:r w:rsidRPr="00205246">
        <w:t>рассмотреть, исходя из результатов исследований МСЭ-R:</w:t>
      </w:r>
    </w:p>
    <w:p w14:paraId="4B800A0D" w14:textId="77777777" w:rsidR="001A398D" w:rsidRPr="000A58B8" w:rsidRDefault="001A398D" w:rsidP="001A398D"/>
    <w:p w14:paraId="0CA76DF0" w14:textId="6A14C956" w:rsidR="009B5CC2" w:rsidRPr="000A58B8" w:rsidRDefault="000A58B8" w:rsidP="001A398D">
      <w:r w:rsidRPr="001F0858">
        <w:t>Общие предложения</w:t>
      </w:r>
      <w:r w:rsidRPr="000A58B8">
        <w:t xml:space="preserve"> </w:t>
      </w:r>
      <w:r w:rsidRPr="001F0858">
        <w:t>Азиатско-Тихоокеанского сообщества электросвязи</w:t>
      </w:r>
      <w:r w:rsidRPr="000A58B8">
        <w:t xml:space="preserve"> </w:t>
      </w:r>
      <w:r w:rsidR="001A398D" w:rsidRPr="000A58B8">
        <w:t>(</w:t>
      </w:r>
      <w:r w:rsidRPr="001F0858">
        <w:t>ОП АТСЭ</w:t>
      </w:r>
      <w:r w:rsidR="001A398D" w:rsidRPr="000A58B8">
        <w:t xml:space="preserve">) </w:t>
      </w:r>
      <w:r w:rsidRPr="001F0858">
        <w:t>по вопросам пункта</w:t>
      </w:r>
      <w:r w:rsidRPr="000A58B8">
        <w:t xml:space="preserve"> </w:t>
      </w:r>
      <w:r w:rsidR="001A398D" w:rsidRPr="000A58B8">
        <w:t xml:space="preserve">1.9 </w:t>
      </w:r>
      <w:r w:rsidRPr="001F0858">
        <w:t xml:space="preserve">повестки дня представлены в настоящем документе в виде различных </w:t>
      </w:r>
      <w:r w:rsidRPr="001F0858">
        <w:rPr>
          <w:rFonts w:hint="eastAsia"/>
        </w:rPr>
        <w:t>дополнительных</w:t>
      </w:r>
      <w:r w:rsidRPr="001F0858">
        <w:t xml:space="preserve"> документов к нему</w:t>
      </w:r>
      <w:r w:rsidR="001A398D" w:rsidRPr="000A58B8">
        <w:t xml:space="preserve">. </w:t>
      </w:r>
      <w:r w:rsidRPr="001F0858">
        <w:t>В нижеследующей таблице показано распределение АСР по дополнительным документам</w:t>
      </w:r>
      <w:r w:rsidR="001A398D" w:rsidRPr="000A58B8">
        <w:t>:</w:t>
      </w:r>
    </w:p>
    <w:p w14:paraId="529656D5" w14:textId="20F22A8B" w:rsidR="001A398D" w:rsidRPr="000A58B8" w:rsidRDefault="001A398D" w:rsidP="001A398D"/>
    <w:tbl>
      <w:tblPr>
        <w:tblStyle w:val="TableGrid1"/>
        <w:tblW w:w="9705" w:type="dxa"/>
        <w:tblLook w:val="04A0" w:firstRow="1" w:lastRow="0" w:firstColumn="1" w:lastColumn="0" w:noHBand="0" w:noVBand="1"/>
      </w:tblPr>
      <w:tblGrid>
        <w:gridCol w:w="1413"/>
        <w:gridCol w:w="5670"/>
        <w:gridCol w:w="2614"/>
        <w:gridCol w:w="8"/>
      </w:tblGrid>
      <w:tr w:rsidR="001A398D" w:rsidRPr="001A398D" w14:paraId="0975EC2E" w14:textId="77777777" w:rsidTr="001F0858">
        <w:tc>
          <w:tcPr>
            <w:tcW w:w="7083" w:type="dxa"/>
            <w:gridSpan w:val="2"/>
            <w:shd w:val="clear" w:color="auto" w:fill="D9D9D9" w:themeFill="background1" w:themeFillShade="D9"/>
          </w:tcPr>
          <w:p w14:paraId="39D6A963" w14:textId="77777777" w:rsidR="001A398D" w:rsidRPr="001A398D" w:rsidRDefault="001A398D" w:rsidP="001F0858">
            <w:pPr>
              <w:pStyle w:val="Tablehead"/>
              <w:jc w:val="left"/>
            </w:pPr>
            <w:r w:rsidRPr="001A398D">
              <w:t>1.9</w:t>
            </w:r>
          </w:p>
        </w:tc>
        <w:tc>
          <w:tcPr>
            <w:tcW w:w="2622" w:type="dxa"/>
            <w:gridSpan w:val="2"/>
            <w:shd w:val="clear" w:color="auto" w:fill="D9D9D9" w:themeFill="background1" w:themeFillShade="D9"/>
          </w:tcPr>
          <w:p w14:paraId="7B2D0717" w14:textId="314214E9" w:rsidR="001A398D" w:rsidRPr="001A398D" w:rsidRDefault="000A58B8" w:rsidP="001F0858">
            <w:pPr>
              <w:pStyle w:val="Tablehead"/>
              <w:jc w:val="left"/>
            </w:pPr>
            <w:r>
              <w:t>Доп. документ</w:t>
            </w:r>
            <w:r w:rsidR="001A398D" w:rsidRPr="001A398D">
              <w:t xml:space="preserve"> No.</w:t>
            </w:r>
          </w:p>
        </w:tc>
      </w:tr>
      <w:tr w:rsidR="001A398D" w:rsidRPr="001A398D" w14:paraId="3595FC0A" w14:textId="77777777" w:rsidTr="001F0858">
        <w:trPr>
          <w:gridAfter w:val="1"/>
          <w:wAfter w:w="8" w:type="dxa"/>
        </w:trPr>
        <w:tc>
          <w:tcPr>
            <w:tcW w:w="1413" w:type="dxa"/>
          </w:tcPr>
          <w:p w14:paraId="0BF246B4" w14:textId="77777777" w:rsidR="001A398D" w:rsidRPr="001A398D" w:rsidRDefault="001A398D" w:rsidP="001F0858">
            <w:pPr>
              <w:pStyle w:val="Tabletext"/>
              <w:rPr>
                <w:lang w:val="en-GB"/>
              </w:rPr>
            </w:pPr>
            <w:r w:rsidRPr="001A398D">
              <w:rPr>
                <w:lang w:val="en-GB"/>
              </w:rPr>
              <w:t>1.9.1</w:t>
            </w:r>
          </w:p>
        </w:tc>
        <w:tc>
          <w:tcPr>
            <w:tcW w:w="5670" w:type="dxa"/>
          </w:tcPr>
          <w:p w14:paraId="688F1E63" w14:textId="6E13612D" w:rsidR="001A398D" w:rsidRPr="001A398D" w:rsidRDefault="001A398D" w:rsidP="001F0858">
            <w:pPr>
              <w:pStyle w:val="Tabletext"/>
            </w:pPr>
            <w:r w:rsidRPr="001A398D">
              <w:t xml:space="preserve">регламентарные меры в полосе частот 156−162,05 МГц для автономных морских радиоустройств в целях защиты ГМСББ и автоматической системы опознавания (AIS) в соответствии с Резолюцией </w:t>
            </w:r>
            <w:r w:rsidRPr="001F0858">
              <w:rPr>
                <w:b/>
              </w:rPr>
              <w:t>362 (ВКР-15)</w:t>
            </w:r>
            <w:r w:rsidRPr="001A398D">
              <w:t>;</w:t>
            </w:r>
          </w:p>
        </w:tc>
        <w:tc>
          <w:tcPr>
            <w:tcW w:w="2614" w:type="dxa"/>
          </w:tcPr>
          <w:p w14:paraId="558DA23E" w14:textId="77777777" w:rsidR="001A398D" w:rsidRPr="001A398D" w:rsidRDefault="001A398D" w:rsidP="001F0858">
            <w:pPr>
              <w:pStyle w:val="Tabletext"/>
              <w:rPr>
                <w:lang w:val="en-GB"/>
              </w:rPr>
            </w:pPr>
            <w:r w:rsidRPr="001A398D">
              <w:rPr>
                <w:lang w:val="en-GB"/>
              </w:rPr>
              <w:t>A1</w:t>
            </w:r>
          </w:p>
        </w:tc>
      </w:tr>
      <w:tr w:rsidR="001A398D" w:rsidRPr="001A398D" w14:paraId="1DC64F30" w14:textId="77777777" w:rsidTr="001F0858">
        <w:trPr>
          <w:gridAfter w:val="1"/>
          <w:wAfter w:w="8" w:type="dxa"/>
          <w:trHeight w:val="237"/>
        </w:trPr>
        <w:tc>
          <w:tcPr>
            <w:tcW w:w="1413" w:type="dxa"/>
          </w:tcPr>
          <w:p w14:paraId="55F2EB77" w14:textId="77777777" w:rsidR="001A398D" w:rsidRPr="001A398D" w:rsidRDefault="001A398D" w:rsidP="001F0858">
            <w:pPr>
              <w:pStyle w:val="Tabletext"/>
              <w:rPr>
                <w:lang w:val="en-GB"/>
              </w:rPr>
            </w:pPr>
            <w:r w:rsidRPr="001A398D">
              <w:rPr>
                <w:lang w:val="en-GB"/>
              </w:rPr>
              <w:t>1.9.2</w:t>
            </w:r>
          </w:p>
        </w:tc>
        <w:tc>
          <w:tcPr>
            <w:tcW w:w="5670" w:type="dxa"/>
          </w:tcPr>
          <w:p w14:paraId="63401A48" w14:textId="23F7846E" w:rsidR="001A398D" w:rsidRPr="001A398D" w:rsidRDefault="001A398D" w:rsidP="001F0858">
            <w:pPr>
              <w:pStyle w:val="Tabletext"/>
            </w:pPr>
            <w:r w:rsidRPr="001A398D">
              <w:t>изменения Регламента радиосвязи, включая новые распределения спектра морской подвижной спутниковой службе (Земля</w:t>
            </w:r>
            <w:r w:rsidRPr="001A398D">
              <w:noBreakHyphen/>
              <w:t>космос и космос-Земля), желательно в полосах частот 156,0125−157,4375</w:t>
            </w:r>
            <w:r w:rsidR="001F0858">
              <w:rPr>
                <w:lang w:val="en-US"/>
              </w:rPr>
              <w:t> </w:t>
            </w:r>
            <w:r w:rsidRPr="001A398D">
              <w:t xml:space="preserve">МГц и 160,6125−162,0375 МГц Приложения </w:t>
            </w:r>
            <w:r w:rsidRPr="001F0858">
              <w:rPr>
                <w:b/>
              </w:rPr>
              <w:t>18</w:t>
            </w:r>
            <w:r w:rsidRPr="001A398D">
              <w:t xml:space="preserve">, для создания условий для работы нового спутникового сегмента системы обмена данными в ОВЧ-диапазоне (VDES) при одновременном обеспечении того, чтобы данный сегмент не ухудшал работу имеющихся наземных сегментов VDES, специальных сообщений (ASM), AIS и не налагал каких-либо дополнительных ограничений на существующие службы в этих и соседних полосах частот, указанных в пунктах </w:t>
            </w:r>
            <w:r w:rsidRPr="001F0858">
              <w:rPr>
                <w:i/>
                <w:iCs/>
              </w:rPr>
              <w:t>d)</w:t>
            </w:r>
            <w:r w:rsidRPr="001A398D">
              <w:t xml:space="preserve"> и </w:t>
            </w:r>
            <w:r w:rsidRPr="001F0858">
              <w:rPr>
                <w:i/>
                <w:iCs/>
              </w:rPr>
              <w:t>e)</w:t>
            </w:r>
            <w:r w:rsidRPr="001A398D">
              <w:t xml:space="preserve"> раздела </w:t>
            </w:r>
            <w:r w:rsidRPr="001F0858">
              <w:rPr>
                <w:i/>
                <w:iCs/>
              </w:rPr>
              <w:t>признавая</w:t>
            </w:r>
            <w:r w:rsidRPr="001A398D">
              <w:t xml:space="preserve"> Резолюции </w:t>
            </w:r>
            <w:r w:rsidRPr="001F0858">
              <w:rPr>
                <w:b/>
              </w:rPr>
              <w:t>360 (</w:t>
            </w:r>
            <w:proofErr w:type="spellStart"/>
            <w:r w:rsidRPr="001F0858">
              <w:rPr>
                <w:b/>
              </w:rPr>
              <w:t>Пересм</w:t>
            </w:r>
            <w:proofErr w:type="spellEnd"/>
            <w:r w:rsidRPr="001F0858">
              <w:rPr>
                <w:b/>
              </w:rPr>
              <w:t>. ВКР-15)</w:t>
            </w:r>
            <w:r w:rsidRPr="001A398D">
              <w:t>;</w:t>
            </w:r>
          </w:p>
        </w:tc>
        <w:tc>
          <w:tcPr>
            <w:tcW w:w="2614" w:type="dxa"/>
          </w:tcPr>
          <w:p w14:paraId="2D3D2522" w14:textId="77777777" w:rsidR="001A398D" w:rsidRPr="001A398D" w:rsidRDefault="001A398D" w:rsidP="001F0858">
            <w:pPr>
              <w:pStyle w:val="Tabletext"/>
              <w:rPr>
                <w:lang w:val="en-GB"/>
              </w:rPr>
            </w:pPr>
            <w:r w:rsidRPr="001A398D">
              <w:rPr>
                <w:lang w:val="en-GB"/>
              </w:rPr>
              <w:t>A2</w:t>
            </w:r>
          </w:p>
        </w:tc>
      </w:tr>
    </w:tbl>
    <w:p w14:paraId="2B4AD821" w14:textId="77777777" w:rsidR="00B22E39" w:rsidRDefault="00B22E39" w:rsidP="001F0858">
      <w:pPr>
        <w:spacing w:before="720"/>
        <w:jc w:val="center"/>
      </w:pPr>
      <w:bookmarkStart w:id="8" w:name="_GoBack"/>
      <w:bookmarkEnd w:id="8"/>
      <w:r>
        <w:t>______________</w:t>
      </w:r>
    </w:p>
    <w:sectPr w:rsidR="00B22E3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C487" w14:textId="77777777" w:rsidR="00F1578A" w:rsidRDefault="00F1578A">
      <w:r>
        <w:separator/>
      </w:r>
    </w:p>
  </w:endnote>
  <w:endnote w:type="continuationSeparator" w:id="0">
    <w:p w14:paraId="4A3D3500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2368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9BB3D52" w14:textId="0C271FB1" w:rsidR="00567276" w:rsidRPr="001F0858" w:rsidRDefault="00567276">
    <w:pPr>
      <w:ind w:right="360"/>
      <w:rPr>
        <w:lang w:val="en-GB"/>
      </w:rPr>
    </w:pPr>
    <w:r>
      <w:fldChar w:fldCharType="begin"/>
    </w:r>
    <w:r w:rsidRPr="001F0858">
      <w:rPr>
        <w:lang w:val="en-GB"/>
      </w:rPr>
      <w:instrText xml:space="preserve"> FILENAME \p  \* MERGEFORMAT </w:instrText>
    </w:r>
    <w:r>
      <w:fldChar w:fldCharType="separate"/>
    </w:r>
    <w:r w:rsidR="00224372">
      <w:rPr>
        <w:noProof/>
        <w:lang w:val="en-GB"/>
      </w:rPr>
      <w:t>P:\RUS\ITU-R\CONF-R\CMR19\000\024ADD09R.docx</w:t>
    </w:r>
    <w:r>
      <w:fldChar w:fldCharType="end"/>
    </w:r>
    <w:r w:rsidRPr="001F085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4372">
      <w:rPr>
        <w:noProof/>
      </w:rPr>
      <w:t>20.10.19</w:t>
    </w:r>
    <w:r>
      <w:fldChar w:fldCharType="end"/>
    </w:r>
    <w:r w:rsidRPr="001F085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4372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97AA" w14:textId="5AED53C5" w:rsidR="00567276" w:rsidRPr="001A398D" w:rsidRDefault="001A398D" w:rsidP="001A398D">
    <w:pPr>
      <w:pStyle w:val="Footer"/>
    </w:pPr>
    <w:r>
      <w:fldChar w:fldCharType="begin"/>
    </w:r>
    <w:r w:rsidRPr="001A398D">
      <w:instrText xml:space="preserve"> FILENAME \p  \* MERGEFORMAT </w:instrText>
    </w:r>
    <w:r>
      <w:fldChar w:fldCharType="separate"/>
    </w:r>
    <w:r w:rsidR="00224372">
      <w:t>P:\RUS\ITU-R\CONF-R\CMR19\000\024ADD09R.docx</w:t>
    </w:r>
    <w:r>
      <w:fldChar w:fldCharType="end"/>
    </w:r>
    <w:r w:rsidRPr="001A398D">
      <w:t xml:space="preserve"> (4610098)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E2234" w14:textId="4E7F6FB0" w:rsidR="00567276" w:rsidRPr="001A398D" w:rsidRDefault="00567276" w:rsidP="00FB67E5">
    <w:pPr>
      <w:pStyle w:val="Footer"/>
    </w:pPr>
    <w:r>
      <w:fldChar w:fldCharType="begin"/>
    </w:r>
    <w:r w:rsidRPr="001A398D">
      <w:instrText xml:space="preserve"> FILENAME \p  \* MERGEFORMAT </w:instrText>
    </w:r>
    <w:r>
      <w:fldChar w:fldCharType="separate"/>
    </w:r>
    <w:r w:rsidR="00224372">
      <w:t>P:\RUS\ITU-R\CONF-R\CMR19\000\024ADD09R.docx</w:t>
    </w:r>
    <w:r>
      <w:fldChar w:fldCharType="end"/>
    </w:r>
    <w:r w:rsidR="001A398D" w:rsidRPr="001A398D">
      <w:t xml:space="preserve"> (461098)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C501C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37C0624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6A30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532A9BD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24(Add.9)-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3665A"/>
    <w:rsid w:val="000A0EF3"/>
    <w:rsid w:val="000A58B8"/>
    <w:rsid w:val="000C3F55"/>
    <w:rsid w:val="000D0F97"/>
    <w:rsid w:val="000F33D8"/>
    <w:rsid w:val="000F39B4"/>
    <w:rsid w:val="00113D0B"/>
    <w:rsid w:val="001226EC"/>
    <w:rsid w:val="00123B68"/>
    <w:rsid w:val="00124C09"/>
    <w:rsid w:val="00126F2E"/>
    <w:rsid w:val="001521AE"/>
    <w:rsid w:val="001A398D"/>
    <w:rsid w:val="001A5585"/>
    <w:rsid w:val="001E5FB4"/>
    <w:rsid w:val="001F0858"/>
    <w:rsid w:val="00202CA0"/>
    <w:rsid w:val="00224372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03A22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0EF7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2E39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82155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3F35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table" w:customStyle="1" w:styleId="TableGrid1">
    <w:name w:val="Table Grid1"/>
    <w:basedOn w:val="TableNormal"/>
    <w:next w:val="TableGrid"/>
    <w:rsid w:val="001A3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R16-WRC19-C-0024!A9!MSW-R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EF4A4C29-BF00-42DB-8274-0B07F3F580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4552FD-5D6F-4D50-93BA-3A9EC763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28E41-F295-4E9C-9D12-01D519C970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59534-7279-4182-9B1B-C053D5F06071}">
  <ds:schemaRefs>
    <ds:schemaRef ds:uri="32a1a8c5-2265-4ebc-b7a0-2071e2c5c9bb"/>
    <ds:schemaRef ds:uri="996b2e75-67fd-4955-a3b0-5ab9934cb50b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1379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R16-WRC19-C-0024!A9!MSW-R</vt:lpstr>
    </vt:vector>
  </TitlesOfParts>
  <Manager>General Secretariat - Pool</Manager>
  <Company>International Telecommunication Union (ITU)</Company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5</cp:revision>
  <cp:lastPrinted>2019-10-20T16:40:00Z</cp:lastPrinted>
  <dcterms:created xsi:type="dcterms:W3CDTF">2019-10-16T12:53:00Z</dcterms:created>
  <dcterms:modified xsi:type="dcterms:W3CDTF">2019-10-20T16:40:00Z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