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BC9BA5E" w14:textId="77777777" w:rsidTr="00F55E63">
        <w:trPr>
          <w:cantSplit/>
          <w:trHeight w:val="20"/>
        </w:trPr>
        <w:tc>
          <w:tcPr>
            <w:tcW w:w="6619" w:type="dxa"/>
          </w:tcPr>
          <w:p w14:paraId="42649660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27E9B4CC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427BBAA" wp14:editId="6357508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F02E8F4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4FF9433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2BE51928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1649AA4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7DAF8EC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306A7E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63230C" w:rsidRPr="00F545E4" w14:paraId="3324BDD1" w14:textId="77777777" w:rsidTr="00F55E63">
        <w:trPr>
          <w:cantSplit/>
        </w:trPr>
        <w:tc>
          <w:tcPr>
            <w:tcW w:w="6619" w:type="dxa"/>
          </w:tcPr>
          <w:p w14:paraId="4B8D6F3A" w14:textId="77777777" w:rsidR="0063230C" w:rsidRPr="00F545E4" w:rsidRDefault="0063230C" w:rsidP="0063230C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BF0E242" w14:textId="30CA9F11" w:rsidR="0063230C" w:rsidRPr="00F545E4" w:rsidRDefault="0063230C" w:rsidP="0063230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626A4D">
              <w:rPr>
                <w:rFonts w:ascii="Traditional Arabic" w:hAnsi="Traditional Arabic" w:hint="eastAsia"/>
                <w:sz w:val="30"/>
                <w:rtl/>
              </w:rPr>
              <w:t>الإضافة</w:t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 w:rsidR="001C1B1C" w:rsidRPr="001C1B1C">
              <w:rPr>
                <w:rFonts w:ascii="Verdana" w:eastAsia="SimSun" w:hAnsi="Verdana"/>
              </w:rPr>
              <w:t>3</w:t>
            </w:r>
            <w:r w:rsidRPr="00626A4D">
              <w:rPr>
                <w:rFonts w:ascii="Verdana" w:hAnsi="Verdana"/>
              </w:rPr>
              <w:br/>
            </w:r>
            <w:r w:rsidRPr="00626A4D">
              <w:rPr>
                <w:rFonts w:ascii="Traditional Arabic" w:hAnsi="Traditional Arabic" w:hint="eastAsia"/>
                <w:sz w:val="30"/>
                <w:rtl/>
              </w:rPr>
              <w:t>للوثيقة</w:t>
            </w:r>
            <w:r w:rsidRPr="00626A4D">
              <w:rPr>
                <w:rFonts w:ascii="Verdana" w:eastAsia="SimSun" w:hAnsi="Verdana"/>
              </w:rPr>
              <w:t>24-A</w:t>
            </w:r>
            <w:r>
              <w:rPr>
                <w:rFonts w:ascii="Verdana" w:eastAsia="SimSun" w:hAnsi="Verdana"/>
              </w:rPr>
              <w:t xml:space="preserve"> </w:t>
            </w:r>
          </w:p>
        </w:tc>
      </w:tr>
      <w:tr w:rsidR="0063230C" w:rsidRPr="00F545E4" w14:paraId="53530452" w14:textId="77777777" w:rsidTr="00F55E63">
        <w:trPr>
          <w:cantSplit/>
        </w:trPr>
        <w:tc>
          <w:tcPr>
            <w:tcW w:w="6619" w:type="dxa"/>
          </w:tcPr>
          <w:p w14:paraId="2392CB7A" w14:textId="77777777" w:rsidR="0063230C" w:rsidRPr="00F545E4" w:rsidRDefault="0063230C" w:rsidP="0063230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194C4E9" w14:textId="1F1FF186" w:rsidR="0063230C" w:rsidRPr="00F545E4" w:rsidRDefault="0063230C" w:rsidP="0063230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626A4D">
              <w:rPr>
                <w:rFonts w:ascii="Verdana" w:eastAsia="SimSun" w:hAnsi="Verdana"/>
              </w:rPr>
              <w:t>20</w:t>
            </w:r>
            <w:r w:rsidRPr="00626A4D">
              <w:rPr>
                <w:rtl/>
              </w:rPr>
              <w:t xml:space="preserve"> </w:t>
            </w:r>
            <w:r w:rsidRPr="00626A4D">
              <w:rPr>
                <w:rFonts w:hint="eastAsia"/>
                <w:rtl/>
              </w:rPr>
              <w:t>سبتمبر</w:t>
            </w:r>
            <w:r w:rsidRPr="00626A4D">
              <w:rPr>
                <w:rtl/>
              </w:rPr>
              <w:t xml:space="preserve"> </w:t>
            </w:r>
            <w:r w:rsidRPr="00626A4D">
              <w:rPr>
                <w:rFonts w:ascii="Verdana" w:eastAsia="SimSun" w:hAnsi="Verdana"/>
              </w:rPr>
              <w:t>2019</w:t>
            </w:r>
          </w:p>
        </w:tc>
      </w:tr>
      <w:tr w:rsidR="0063230C" w:rsidRPr="00F545E4" w14:paraId="703A760E" w14:textId="77777777" w:rsidTr="00F55E63">
        <w:trPr>
          <w:cantSplit/>
        </w:trPr>
        <w:tc>
          <w:tcPr>
            <w:tcW w:w="6619" w:type="dxa"/>
          </w:tcPr>
          <w:p w14:paraId="32D9AA49" w14:textId="77777777" w:rsidR="0063230C" w:rsidRPr="00F545E4" w:rsidRDefault="0063230C" w:rsidP="0063230C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</w:p>
        </w:tc>
        <w:tc>
          <w:tcPr>
            <w:tcW w:w="3053" w:type="dxa"/>
            <w:vAlign w:val="center"/>
          </w:tcPr>
          <w:p w14:paraId="63668CF5" w14:textId="27E06EE1" w:rsidR="0063230C" w:rsidRPr="00F545E4" w:rsidRDefault="0063230C" w:rsidP="0063230C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  <w:r w:rsidRPr="00626A4D">
              <w:rPr>
                <w:rFonts w:ascii="Verdana" w:hAnsi="Verdana" w:hint="eastAsia"/>
                <w:rtl/>
              </w:rPr>
              <w:t>الأصل</w:t>
            </w:r>
            <w:r w:rsidRPr="00626A4D">
              <w:rPr>
                <w:rFonts w:ascii="Verdana" w:hAnsi="Verdana"/>
                <w:rtl/>
              </w:rPr>
              <w:t xml:space="preserve">: </w:t>
            </w:r>
            <w:r w:rsidRPr="00626A4D">
              <w:rPr>
                <w:rFonts w:ascii="Verdana" w:hAnsi="Verdana" w:hint="eastAsia"/>
                <w:rtl/>
              </w:rPr>
              <w:t>بالإنكليزية</w:t>
            </w:r>
          </w:p>
        </w:tc>
      </w:tr>
      <w:tr w:rsidR="00764079" w14:paraId="7F0C5B17" w14:textId="77777777" w:rsidTr="00F55E63">
        <w:trPr>
          <w:cantSplit/>
        </w:trPr>
        <w:tc>
          <w:tcPr>
            <w:tcW w:w="9672" w:type="dxa"/>
            <w:gridSpan w:val="2"/>
          </w:tcPr>
          <w:p w14:paraId="0DCFFC3D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</w:p>
        </w:tc>
      </w:tr>
      <w:tr w:rsidR="00764079" w14:paraId="265FF752" w14:textId="77777777" w:rsidTr="00F55E63">
        <w:trPr>
          <w:cantSplit/>
        </w:trPr>
        <w:tc>
          <w:tcPr>
            <w:tcW w:w="9672" w:type="dxa"/>
            <w:gridSpan w:val="2"/>
          </w:tcPr>
          <w:p w14:paraId="180F84A2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6FC853B4" w14:textId="77777777" w:rsidTr="00F55E63">
        <w:trPr>
          <w:cantSplit/>
        </w:trPr>
        <w:tc>
          <w:tcPr>
            <w:tcW w:w="9672" w:type="dxa"/>
            <w:gridSpan w:val="2"/>
          </w:tcPr>
          <w:p w14:paraId="4A9FCEAB" w14:textId="347F3633" w:rsidR="00764079" w:rsidRPr="00BD6EF3" w:rsidRDefault="00426D2C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7D6EA18D" w14:textId="77777777" w:rsidTr="00F55E63">
        <w:trPr>
          <w:cantSplit/>
        </w:trPr>
        <w:tc>
          <w:tcPr>
            <w:tcW w:w="9672" w:type="dxa"/>
            <w:gridSpan w:val="2"/>
          </w:tcPr>
          <w:p w14:paraId="73401B92" w14:textId="77777777" w:rsidR="00764079" w:rsidRPr="00B36FC0" w:rsidRDefault="00764079" w:rsidP="00F55E63">
            <w:pPr>
              <w:pStyle w:val="Title2"/>
              <w:rPr>
                <w:sz w:val="14"/>
                <w:szCs w:val="20"/>
                <w:rtl/>
              </w:rPr>
            </w:pPr>
          </w:p>
        </w:tc>
      </w:tr>
      <w:tr w:rsidR="00764079" w14:paraId="503680EE" w14:textId="77777777" w:rsidTr="00F55E63">
        <w:trPr>
          <w:cantSplit/>
        </w:trPr>
        <w:tc>
          <w:tcPr>
            <w:tcW w:w="9672" w:type="dxa"/>
            <w:gridSpan w:val="2"/>
          </w:tcPr>
          <w:p w14:paraId="1838A59F" w14:textId="497EF9BF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426D2C">
              <w:rPr>
                <w:rFonts w:hint="cs"/>
                <w:rtl/>
                <w:lang w:val="en-US"/>
              </w:rPr>
              <w:t xml:space="preserve"> </w:t>
            </w:r>
            <w:r w:rsidR="00426D2C" w:rsidRPr="00723691">
              <w:rPr>
                <w:rFonts w:eastAsia="SimSun"/>
                <w:lang w:eastAsia="zh-CN" w:bidi="ar-SY"/>
              </w:rPr>
              <w:t>3.1</w:t>
            </w:r>
          </w:p>
        </w:tc>
      </w:tr>
    </w:tbl>
    <w:p w14:paraId="241D387E" w14:textId="5AEA3127" w:rsidR="00A17E61" w:rsidRPr="00DE6695" w:rsidRDefault="00426D2C" w:rsidP="00DE6695">
      <w:pPr>
        <w:rPr>
          <w:rFonts w:eastAsia="SimSun"/>
        </w:rPr>
      </w:pPr>
      <w:r w:rsidRPr="00723691">
        <w:rPr>
          <w:rFonts w:eastAsia="SimSun"/>
          <w:lang w:eastAsia="zh-CN" w:bidi="ar-SY"/>
        </w:rPr>
        <w:t>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في إمكانية رفع التوزيع الثانوي لخدمة الأرصاد الجوية الساتلية (فضاء-أرض) وخدمة استكشاف الأرض الساتلية (فضاء-أرض) إلى وضع أولي وإمكانية منح توزيع أولي لخدمة استكشاف الأرض الساتلية (فضاء-أرض) في نطاق </w:t>
      </w:r>
      <w:r w:rsidRPr="00723691">
        <w:rPr>
          <w:rFonts w:eastAsia="SimSun" w:hint="cs"/>
          <w:rtl/>
          <w:lang w:eastAsia="zh-CN"/>
        </w:rPr>
        <w:t>التردد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MHz 470</w:t>
      </w:r>
      <w:r w:rsidRPr="00723691">
        <w:rPr>
          <w:rFonts w:eastAsia="SimSun"/>
          <w:lang w:eastAsia="zh-CN" w:bidi="ar-SY"/>
        </w:rPr>
        <w:noBreakHyphen/>
        <w:t>460</w:t>
      </w:r>
      <w:r w:rsidRPr="00723691">
        <w:rPr>
          <w:rFonts w:eastAsia="SimSun"/>
          <w:rtl/>
          <w:lang w:eastAsia="zh-CN"/>
        </w:rPr>
        <w:t xml:space="preserve">، وفقاً </w:t>
      </w:r>
      <w:r w:rsidRPr="000822FA">
        <w:rPr>
          <w:rFonts w:eastAsia="SimSun"/>
          <w:rtl/>
          <w:lang w:eastAsia="zh-CN"/>
        </w:rPr>
        <w:t>للقرار</w:t>
      </w:r>
      <w:r w:rsidRPr="000822FA">
        <w:rPr>
          <w:rFonts w:eastAsia="SimSun" w:hint="cs"/>
          <w:rtl/>
          <w:lang w:eastAsia="zh-CN"/>
        </w:rPr>
        <w:t xml:space="preserve"> </w:t>
      </w:r>
      <w:r w:rsidRPr="000822FA">
        <w:rPr>
          <w:rFonts w:eastAsia="SimSun"/>
          <w:b/>
          <w:bCs/>
          <w:lang w:eastAsia="zh-CN" w:bidi="ar-SY"/>
        </w:rPr>
        <w:t>766 (WRC</w:t>
      </w:r>
      <w:r w:rsidRPr="000822FA">
        <w:rPr>
          <w:rFonts w:eastAsia="SimSun"/>
          <w:b/>
          <w:bCs/>
          <w:lang w:eastAsia="zh-CN" w:bidi="ar-SY"/>
        </w:rPr>
        <w:noBreakHyphen/>
      </w:r>
      <w:proofErr w:type="gramStart"/>
      <w:r w:rsidRPr="000822FA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6F1ACB38" w14:textId="77777777" w:rsidR="00426D2C" w:rsidRPr="001A2371" w:rsidRDefault="00426D2C" w:rsidP="00E65B3C">
      <w:pPr>
        <w:pStyle w:val="Headingb0"/>
        <w:rPr>
          <w:rtl/>
        </w:rPr>
      </w:pPr>
      <w:r w:rsidRPr="001A2371">
        <w:rPr>
          <w:rtl/>
        </w:rPr>
        <w:t>مقدمة</w:t>
      </w:r>
    </w:p>
    <w:p w14:paraId="132E81B0" w14:textId="02205CCB" w:rsidR="00426D2C" w:rsidRPr="003B5275" w:rsidRDefault="001A2371" w:rsidP="00426D2C">
      <w:pPr>
        <w:rPr>
          <w:spacing w:val="-4"/>
          <w:rtl/>
          <w:lang w:bidi="ar-SY"/>
        </w:rPr>
      </w:pPr>
      <w:r w:rsidRPr="003B5275">
        <w:rPr>
          <w:rFonts w:hint="cs"/>
          <w:spacing w:val="-4"/>
          <w:rtl/>
        </w:rPr>
        <w:t>لم يتوصل أعضاء جماعة آسيا والمحيط الهادئ</w:t>
      </w:r>
      <w:r w:rsidR="00EE1A0E" w:rsidRPr="003B5275">
        <w:rPr>
          <w:rFonts w:hint="cs"/>
          <w:spacing w:val="-4"/>
          <w:rtl/>
        </w:rPr>
        <w:t xml:space="preserve"> للاتصالات</w:t>
      </w:r>
      <w:r w:rsidRPr="003B5275">
        <w:rPr>
          <w:rFonts w:hint="cs"/>
          <w:spacing w:val="-4"/>
          <w:rtl/>
        </w:rPr>
        <w:t xml:space="preserve"> إلى اتفاق </w:t>
      </w:r>
      <w:r w:rsidR="00694768" w:rsidRPr="003B5275">
        <w:rPr>
          <w:rFonts w:hint="cs"/>
          <w:spacing w:val="-4"/>
          <w:rtl/>
        </w:rPr>
        <w:t xml:space="preserve">من أجل </w:t>
      </w:r>
      <w:r w:rsidR="00DE6695" w:rsidRPr="003B5275">
        <w:rPr>
          <w:rFonts w:hint="cs"/>
          <w:spacing w:val="-4"/>
          <w:rtl/>
        </w:rPr>
        <w:t xml:space="preserve">وضع </w:t>
      </w:r>
      <w:r w:rsidRPr="003B5275">
        <w:rPr>
          <w:rFonts w:hint="cs"/>
          <w:spacing w:val="-4"/>
          <w:rtl/>
        </w:rPr>
        <w:t xml:space="preserve">نص تنظيمي محدد </w:t>
      </w:r>
      <w:r w:rsidR="00DE6695" w:rsidRPr="003B5275">
        <w:rPr>
          <w:rFonts w:hint="cs"/>
          <w:spacing w:val="-4"/>
          <w:rtl/>
        </w:rPr>
        <w:t>مقترح بشأن ا</w:t>
      </w:r>
      <w:r w:rsidRPr="003B5275">
        <w:rPr>
          <w:rFonts w:hint="cs"/>
          <w:spacing w:val="-4"/>
          <w:rtl/>
        </w:rPr>
        <w:t xml:space="preserve">لبند </w:t>
      </w:r>
      <w:r w:rsidRPr="003B5275">
        <w:rPr>
          <w:spacing w:val="-4"/>
          <w:lang w:val="fr-CH"/>
        </w:rPr>
        <w:t>3.1</w:t>
      </w:r>
      <w:r w:rsidRPr="003B5275">
        <w:rPr>
          <w:rFonts w:hint="cs"/>
          <w:spacing w:val="-4"/>
          <w:rtl/>
          <w:lang w:bidi="ar-SY"/>
        </w:rPr>
        <w:t xml:space="preserve"> من جدول الأعمال. </w:t>
      </w:r>
      <w:r w:rsidR="00DE6695" w:rsidRPr="003B5275">
        <w:rPr>
          <w:rFonts w:hint="cs"/>
          <w:spacing w:val="-4"/>
          <w:rtl/>
          <w:lang w:bidi="ar-SY"/>
        </w:rPr>
        <w:t>وتقدم</w:t>
      </w:r>
      <w:r w:rsidRPr="003B5275">
        <w:rPr>
          <w:rFonts w:hint="cs"/>
          <w:spacing w:val="-4"/>
          <w:rtl/>
          <w:lang w:bidi="ar-SY"/>
        </w:rPr>
        <w:t xml:space="preserve"> الآراء التالية </w:t>
      </w:r>
      <w:r w:rsidR="00DE6695" w:rsidRPr="003B5275">
        <w:rPr>
          <w:rFonts w:hint="cs"/>
          <w:spacing w:val="-4"/>
          <w:rtl/>
          <w:lang w:bidi="ar-SY"/>
        </w:rPr>
        <w:t>ل</w:t>
      </w:r>
      <w:r w:rsidRPr="003B5275">
        <w:rPr>
          <w:rFonts w:hint="cs"/>
          <w:spacing w:val="-4"/>
          <w:rtl/>
          <w:lang w:bidi="ar-SY"/>
        </w:rPr>
        <w:t>ينظر فيها المؤتمر.</w:t>
      </w:r>
    </w:p>
    <w:p w14:paraId="7A31E83E" w14:textId="270FB0BC" w:rsidR="00426D2C" w:rsidRPr="003B5275" w:rsidRDefault="00426D2C" w:rsidP="00E65B3C">
      <w:pPr>
        <w:pStyle w:val="Headingb0"/>
        <w:rPr>
          <w:spacing w:val="-4"/>
          <w:rtl/>
        </w:rPr>
      </w:pPr>
      <w:r w:rsidRPr="001A2371">
        <w:rPr>
          <w:rtl/>
        </w:rPr>
        <w:t>م</w:t>
      </w:r>
      <w:r w:rsidRPr="001A2371">
        <w:rPr>
          <w:rFonts w:hint="cs"/>
          <w:rtl/>
        </w:rPr>
        <w:t>قت</w:t>
      </w:r>
      <w:r w:rsidRPr="001A2371">
        <w:rPr>
          <w:rtl/>
        </w:rPr>
        <w:t>رح</w:t>
      </w:r>
    </w:p>
    <w:p w14:paraId="3998D792" w14:textId="77777777" w:rsidR="00DD5C7C" w:rsidRDefault="00426D2C">
      <w:pPr>
        <w:pStyle w:val="Proposal"/>
      </w:pPr>
      <w:r>
        <w:tab/>
        <w:t>ACP/24A3/1</w:t>
      </w:r>
    </w:p>
    <w:p w14:paraId="3E95CA9C" w14:textId="5290DAF4" w:rsidR="00426D2C" w:rsidRPr="00B17A7C" w:rsidRDefault="001A2371">
      <w:pPr>
        <w:rPr>
          <w:rtl/>
          <w:lang w:bidi="ar-SY"/>
        </w:rPr>
      </w:pPr>
      <w:r>
        <w:rPr>
          <w:rFonts w:hint="cs"/>
          <w:rtl/>
        </w:rPr>
        <w:t xml:space="preserve">يؤيد بعض الأعضاء في جماعة آسيا والمحيط الهادئ </w:t>
      </w:r>
      <w:r w:rsidR="002267BD">
        <w:rPr>
          <w:rFonts w:hint="cs"/>
          <w:rtl/>
        </w:rPr>
        <w:t xml:space="preserve">للاتصالات </w:t>
      </w:r>
      <w:r>
        <w:rPr>
          <w:rFonts w:hint="cs"/>
          <w:rtl/>
        </w:rPr>
        <w:t xml:space="preserve">الأسلوب </w:t>
      </w:r>
      <w:r>
        <w:rPr>
          <w:lang w:val="fr-CH"/>
        </w:rPr>
        <w:t>C</w:t>
      </w:r>
      <w:r>
        <w:rPr>
          <w:rFonts w:hint="cs"/>
          <w:rtl/>
          <w:lang w:bidi="ar-SY"/>
        </w:rPr>
        <w:t xml:space="preserve">، بينما يؤيد البعض </w:t>
      </w:r>
      <w:r w:rsidR="00B17A7C">
        <w:rPr>
          <w:rFonts w:hint="cs"/>
          <w:rtl/>
          <w:lang w:bidi="ar-SY"/>
        </w:rPr>
        <w:t xml:space="preserve">الآخر الأسلوب </w:t>
      </w:r>
      <w:r w:rsidR="00B17A7C">
        <w:rPr>
          <w:lang w:val="fr-CH" w:bidi="ar-SY"/>
        </w:rPr>
        <w:t>B</w:t>
      </w:r>
      <w:r w:rsidR="00B17A7C">
        <w:rPr>
          <w:rFonts w:hint="cs"/>
          <w:rtl/>
          <w:lang w:bidi="ar-SY"/>
        </w:rPr>
        <w:t xml:space="preserve"> من تقرير الاجتماع التحضيري للمؤتمر.</w:t>
      </w:r>
    </w:p>
    <w:p w14:paraId="4621F097" w14:textId="2AC2BCE5" w:rsidR="00426D2C" w:rsidRPr="00B36FC0" w:rsidRDefault="00532806" w:rsidP="00B36FC0">
      <w:pPr>
        <w:rPr>
          <w:rtl/>
          <w:lang w:val="en-GB"/>
        </w:rPr>
      </w:pPr>
      <w:r>
        <w:rPr>
          <w:rFonts w:hint="cs"/>
          <w:rtl/>
        </w:rPr>
        <w:t xml:space="preserve">ويرى بعض أعضاء جماعة آسيا والمحيط الهادئ </w:t>
      </w:r>
      <w:r w:rsidR="002267BD">
        <w:rPr>
          <w:rFonts w:hint="cs"/>
          <w:rtl/>
        </w:rPr>
        <w:t xml:space="preserve">للاتصالات </w:t>
      </w:r>
      <w:r>
        <w:rPr>
          <w:rFonts w:hint="cs"/>
          <w:rtl/>
        </w:rPr>
        <w:t>أن</w:t>
      </w:r>
      <w:r w:rsidR="00E3211E">
        <w:rPr>
          <w:rFonts w:hint="cs"/>
          <w:rtl/>
          <w:lang w:bidi="ar-SY"/>
        </w:rPr>
        <w:t>ه</w:t>
      </w:r>
      <w:r>
        <w:rPr>
          <w:rFonts w:hint="cs"/>
          <w:rtl/>
        </w:rPr>
        <w:t xml:space="preserve"> </w:t>
      </w:r>
      <w:r w:rsidR="00E3211E">
        <w:rPr>
          <w:rFonts w:hint="cs"/>
          <w:rtl/>
        </w:rPr>
        <w:t xml:space="preserve">يتعين مراجعة </w:t>
      </w:r>
      <w:r>
        <w:rPr>
          <w:rFonts w:hint="cs"/>
          <w:rtl/>
        </w:rPr>
        <w:t xml:space="preserve">حدود كثافة تدفق القدرة </w:t>
      </w:r>
      <w:r w:rsidR="00E3211E">
        <w:rPr>
          <w:rFonts w:hint="cs"/>
          <w:rtl/>
        </w:rPr>
        <w:t>فيما يخص</w:t>
      </w:r>
      <w:r w:rsidR="00CE530F">
        <w:rPr>
          <w:rFonts w:hint="cs"/>
          <w:rtl/>
        </w:rPr>
        <w:t>، على السواء،</w:t>
      </w:r>
      <w:r w:rsidR="00E3211E">
        <w:rPr>
          <w:rFonts w:hint="cs"/>
          <w:rtl/>
        </w:rPr>
        <w:t xml:space="preserve"> ا</w:t>
      </w:r>
      <w:r w:rsidR="00465329">
        <w:rPr>
          <w:rFonts w:hint="cs"/>
          <w:rtl/>
        </w:rPr>
        <w:t xml:space="preserve">لسواتل </w:t>
      </w:r>
      <w:r w:rsidR="00694768" w:rsidRPr="00694768">
        <w:rPr>
          <w:rFonts w:hint="cs"/>
          <w:rtl/>
        </w:rPr>
        <w:t xml:space="preserve">المستقرة وغير المستقرة بالنسبة إلى الأرض </w:t>
      </w:r>
      <w:r w:rsidR="00694768">
        <w:rPr>
          <w:rFonts w:hint="cs"/>
          <w:rtl/>
        </w:rPr>
        <w:t xml:space="preserve">في </w:t>
      </w:r>
      <w:r w:rsidR="00465329">
        <w:rPr>
          <w:rFonts w:hint="cs"/>
          <w:rtl/>
        </w:rPr>
        <w:t xml:space="preserve">خدمة الأرصاد الجوية الساتلية/خدمة استكشاف الأرض الساتلية من أجل توفير </w:t>
      </w:r>
      <w:r w:rsidR="002267BD">
        <w:rPr>
          <w:rFonts w:hint="cs"/>
          <w:rtl/>
        </w:rPr>
        <w:t xml:space="preserve">الحماية الإضافية التي تحتاجها </w:t>
      </w:r>
      <w:r w:rsidR="00ED590A">
        <w:rPr>
          <w:rFonts w:hint="cs"/>
          <w:rtl/>
        </w:rPr>
        <w:t>الخدمات المتنقلة</w:t>
      </w:r>
      <w:r w:rsidR="00465329">
        <w:rPr>
          <w:rFonts w:hint="cs"/>
          <w:rtl/>
        </w:rPr>
        <w:t>، بناء</w:t>
      </w:r>
      <w:bookmarkStart w:id="1" w:name="_GoBack"/>
      <w:bookmarkEnd w:id="1"/>
      <w:r w:rsidR="00465329">
        <w:rPr>
          <w:rFonts w:hint="cs"/>
          <w:rtl/>
        </w:rPr>
        <w:t xml:space="preserve"> على </w:t>
      </w:r>
      <w:r w:rsidR="00ED590A">
        <w:rPr>
          <w:rFonts w:hint="cs"/>
          <w:rtl/>
        </w:rPr>
        <w:t xml:space="preserve">دراسات </w:t>
      </w:r>
      <w:r w:rsidR="00694768">
        <w:rPr>
          <w:rFonts w:hint="cs"/>
          <w:rtl/>
        </w:rPr>
        <w:t>أخرى ل</w:t>
      </w:r>
      <w:r w:rsidR="00ED590A">
        <w:rPr>
          <w:rFonts w:hint="cs"/>
          <w:rtl/>
        </w:rPr>
        <w:t>قطاع الاتصالات</w:t>
      </w:r>
      <w:r w:rsidR="00BE47A6">
        <w:rPr>
          <w:rFonts w:hint="cs"/>
          <w:rtl/>
        </w:rPr>
        <w:t xml:space="preserve"> الراديوية</w:t>
      </w:r>
      <w:r w:rsidR="00BE47A6">
        <w:rPr>
          <w:rFonts w:hint="cs"/>
          <w:rtl/>
          <w:lang w:val="en-GB"/>
        </w:rPr>
        <w:t>.</w:t>
      </w:r>
    </w:p>
    <w:p w14:paraId="23C60BF1" w14:textId="4808FC50" w:rsidR="00426D2C" w:rsidRDefault="00426D2C" w:rsidP="00B36FC0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ED590A">
        <w:rPr>
          <w:rFonts w:hint="cs"/>
          <w:b w:val="0"/>
          <w:bCs w:val="0"/>
          <w:rtl/>
        </w:rPr>
        <w:t xml:space="preserve">لم يتوصل أعضاء جماعة آسيا والمحيط الهادئ للاتصالات إلى اتفاق </w:t>
      </w:r>
      <w:r w:rsidR="00C06106">
        <w:rPr>
          <w:rFonts w:hint="cs"/>
          <w:b w:val="0"/>
          <w:bCs w:val="0"/>
          <w:rtl/>
        </w:rPr>
        <w:t xml:space="preserve">من أجل وضع نص تنظيمي </w:t>
      </w:r>
      <w:r w:rsidR="00694768" w:rsidRPr="00694768">
        <w:rPr>
          <w:rFonts w:hint="cs"/>
          <w:b w:val="0"/>
          <w:bCs w:val="0"/>
          <w:rtl/>
        </w:rPr>
        <w:t xml:space="preserve">محدد </w:t>
      </w:r>
      <w:r w:rsidR="00C06106">
        <w:rPr>
          <w:rFonts w:hint="cs"/>
          <w:b w:val="0"/>
          <w:bCs w:val="0"/>
          <w:rtl/>
        </w:rPr>
        <w:t xml:space="preserve">مقترح </w:t>
      </w:r>
      <w:r w:rsidR="00694768">
        <w:rPr>
          <w:rFonts w:hint="cs"/>
          <w:b w:val="0"/>
          <w:bCs w:val="0"/>
          <w:rtl/>
        </w:rPr>
        <w:t>بشأن ا</w:t>
      </w:r>
      <w:r w:rsidR="00C06106">
        <w:rPr>
          <w:rFonts w:hint="cs"/>
          <w:b w:val="0"/>
          <w:bCs w:val="0"/>
          <w:rtl/>
        </w:rPr>
        <w:t xml:space="preserve">لبند </w:t>
      </w:r>
      <w:r w:rsidR="00C06106" w:rsidRPr="00B36FC0">
        <w:rPr>
          <w:rFonts w:ascii="Times New Roman" w:hAnsi="Times New Roman"/>
          <w:b w:val="0"/>
          <w:bCs w:val="0"/>
          <w:lang w:val="fr-CH"/>
        </w:rPr>
        <w:t>3.1</w:t>
      </w:r>
      <w:r w:rsidR="00C06106">
        <w:rPr>
          <w:rFonts w:hint="cs"/>
          <w:b w:val="0"/>
          <w:bCs w:val="0"/>
          <w:rtl/>
          <w:lang w:bidi="ar-SY"/>
        </w:rPr>
        <w:t xml:space="preserve"> من جدول الأعمال</w:t>
      </w:r>
      <w:r w:rsidR="00BE47A6">
        <w:rPr>
          <w:rFonts w:hint="cs"/>
          <w:b w:val="0"/>
          <w:bCs w:val="0"/>
          <w:rtl/>
          <w:lang w:bidi="ar-SY"/>
        </w:rPr>
        <w:t>.</w:t>
      </w:r>
    </w:p>
    <w:p w14:paraId="418F131D" w14:textId="7633FE73" w:rsidR="00426D2C" w:rsidRPr="00426D2C" w:rsidRDefault="00426D2C" w:rsidP="00E65B3C">
      <w:pPr>
        <w:spacing w:before="600"/>
        <w:jc w:val="center"/>
      </w:pPr>
      <w:r>
        <w:rPr>
          <w:rFonts w:hint="cs"/>
          <w:rtl/>
        </w:rPr>
        <w:t>___________</w:t>
      </w:r>
    </w:p>
    <w:sectPr w:rsidR="00426D2C" w:rsidRPr="00426D2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9EC62" w14:textId="77777777" w:rsidR="00916925" w:rsidRDefault="00916925" w:rsidP="002919E1">
      <w:r>
        <w:separator/>
      </w:r>
    </w:p>
    <w:p w14:paraId="49CE3D7F" w14:textId="77777777" w:rsidR="00916925" w:rsidRDefault="00916925" w:rsidP="002919E1"/>
    <w:p w14:paraId="081A1F6F" w14:textId="77777777" w:rsidR="00916925" w:rsidRDefault="00916925" w:rsidP="002919E1"/>
    <w:p w14:paraId="6D34A72F" w14:textId="77777777" w:rsidR="00916925" w:rsidRDefault="00916925"/>
  </w:endnote>
  <w:endnote w:type="continuationSeparator" w:id="0">
    <w:p w14:paraId="1FB249FE" w14:textId="77777777" w:rsidR="00916925" w:rsidRDefault="00916925" w:rsidP="002919E1">
      <w:r>
        <w:continuationSeparator/>
      </w:r>
    </w:p>
    <w:p w14:paraId="15CD4648" w14:textId="77777777" w:rsidR="00916925" w:rsidRDefault="00916925" w:rsidP="002919E1"/>
    <w:p w14:paraId="7F0DE3B0" w14:textId="77777777" w:rsidR="00916925" w:rsidRDefault="00916925" w:rsidP="002919E1"/>
    <w:p w14:paraId="52E4C53B" w14:textId="77777777" w:rsidR="00916925" w:rsidRDefault="00916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C2896" w14:textId="78BDDF29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95519">
      <w:rPr>
        <w:noProof/>
      </w:rPr>
      <w:t>P:\ARA\ITU-R\CONF-R\CMR19\000\024ADD03A.docx</w:t>
    </w:r>
    <w:r>
      <w:fldChar w:fldCharType="end"/>
    </w:r>
    <w:proofErr w:type="gramStart"/>
    <w:r w:rsidRPr="00A809E8">
      <w:t xml:space="preserve">   (</w:t>
    </w:r>
    <w:proofErr w:type="gramEnd"/>
    <w:r w:rsidR="001C1B1C">
      <w:t>461084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D977" w14:textId="20E17F5F" w:rsidR="00281F5F" w:rsidRPr="008927F5" w:rsidRDefault="001C1B1C" w:rsidP="001C1B1C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95519">
      <w:rPr>
        <w:noProof/>
      </w:rPr>
      <w:t>P:\ARA\ITU-R\CONF-R\CMR19\000\024ADD03A.docx</w:t>
    </w:r>
    <w:r>
      <w:fldChar w:fldCharType="end"/>
    </w:r>
    <w:proofErr w:type="gramStart"/>
    <w:r w:rsidRPr="00A809E8">
      <w:t xml:space="preserve">   (</w:t>
    </w:r>
    <w:proofErr w:type="gramEnd"/>
    <w:r>
      <w:t>461084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3940" w14:textId="77777777" w:rsidR="00916925" w:rsidRDefault="00916925" w:rsidP="002919E1">
      <w:r>
        <w:t>___________________</w:t>
      </w:r>
    </w:p>
  </w:footnote>
  <w:footnote w:type="continuationSeparator" w:id="0">
    <w:p w14:paraId="12206E1D" w14:textId="77777777" w:rsidR="00916925" w:rsidRDefault="00916925" w:rsidP="002919E1">
      <w:r>
        <w:continuationSeparator/>
      </w:r>
    </w:p>
    <w:p w14:paraId="012D04DD" w14:textId="77777777" w:rsidR="00916925" w:rsidRDefault="00916925" w:rsidP="002919E1"/>
    <w:p w14:paraId="372039D9" w14:textId="77777777" w:rsidR="00916925" w:rsidRDefault="00916925" w:rsidP="002919E1"/>
    <w:p w14:paraId="6A581013" w14:textId="77777777" w:rsidR="00916925" w:rsidRDefault="009169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1C45" w14:textId="77777777" w:rsidR="00281F5F" w:rsidRDefault="00281F5F" w:rsidP="002919E1"/>
  <w:p w14:paraId="3AAB6F7D" w14:textId="77777777" w:rsidR="00281F5F" w:rsidRDefault="00281F5F" w:rsidP="002919E1"/>
  <w:p w14:paraId="5DE0E1E1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0FE6C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787E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EC16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3E64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7EFE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16B0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A2371"/>
    <w:rsid w:val="001B0F78"/>
    <w:rsid w:val="001B5953"/>
    <w:rsid w:val="001C1B1C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67BD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2836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B5275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26D2C"/>
    <w:rsid w:val="004636E2"/>
    <w:rsid w:val="00465329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2806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3230C"/>
    <w:rsid w:val="0065562F"/>
    <w:rsid w:val="006569F9"/>
    <w:rsid w:val="00666697"/>
    <w:rsid w:val="006779A4"/>
    <w:rsid w:val="00680A66"/>
    <w:rsid w:val="00681391"/>
    <w:rsid w:val="00694690"/>
    <w:rsid w:val="00694768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1692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A3C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5C3A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17A7C"/>
    <w:rsid w:val="00B357E9"/>
    <w:rsid w:val="00B36FC0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C2C10"/>
    <w:rsid w:val="00BD6291"/>
    <w:rsid w:val="00BD6EF3"/>
    <w:rsid w:val="00BE47A6"/>
    <w:rsid w:val="00BE69C3"/>
    <w:rsid w:val="00C06106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30F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D5C7C"/>
    <w:rsid w:val="00DE6695"/>
    <w:rsid w:val="00DE7387"/>
    <w:rsid w:val="00DF2A6A"/>
    <w:rsid w:val="00DF3B72"/>
    <w:rsid w:val="00E10821"/>
    <w:rsid w:val="00E2476B"/>
    <w:rsid w:val="00E2489D"/>
    <w:rsid w:val="00E26520"/>
    <w:rsid w:val="00E3211E"/>
    <w:rsid w:val="00E343A3"/>
    <w:rsid w:val="00E51BFA"/>
    <w:rsid w:val="00E611F1"/>
    <w:rsid w:val="00E621A3"/>
    <w:rsid w:val="00E65B3C"/>
    <w:rsid w:val="00E833BC"/>
    <w:rsid w:val="00E8580E"/>
    <w:rsid w:val="00E97E21"/>
    <w:rsid w:val="00EA1B76"/>
    <w:rsid w:val="00EA5D25"/>
    <w:rsid w:val="00EA77D7"/>
    <w:rsid w:val="00EC09B9"/>
    <w:rsid w:val="00ED048C"/>
    <w:rsid w:val="00ED590A"/>
    <w:rsid w:val="00EE1A0E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5519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8EEA83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VolumeTitle0">
    <w:name w:val="VolumeTitle"/>
    <w:basedOn w:val="Normal"/>
    <w:next w:val="Normal"/>
    <w:autoRedefine/>
    <w:qFormat/>
    <w:rsid w:val="00426D2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Traditional Arabic" w:hAnsi="Traditional Arabic"/>
      <w:b/>
      <w:bCs/>
      <w:sz w:val="44"/>
      <w:szCs w:val="44"/>
      <w:lang w:val="en-GB"/>
    </w:rPr>
  </w:style>
  <w:style w:type="paragraph" w:customStyle="1" w:styleId="Headingb0">
    <w:name w:val="Heading b"/>
    <w:basedOn w:val="Normal"/>
    <w:rsid w:val="00E65B3C"/>
    <w:pPr>
      <w:keepNext/>
      <w:spacing w:before="180"/>
      <w:outlineLvl w:val="1"/>
    </w:pPr>
    <w:rPr>
      <w:rFonts w:ascii="Times New Roman Bold" w:hAnsi="Times New Roman Bold"/>
      <w:b/>
      <w:bCs/>
      <w:kern w:val="1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R16-WRC19-C-0024!A3!MSW-A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106E-1A0A-46AB-91C7-9948D88B6B00}">
  <ds:schemaRefs>
    <ds:schemaRef ds:uri="http://purl.org/dc/elements/1.1/"/>
    <ds:schemaRef ds:uri="32a1a8c5-2265-4ebc-b7a0-2071e2c5c9bb"/>
    <ds:schemaRef ds:uri="http://schemas.microsoft.com/office/2006/documentManagement/types"/>
    <ds:schemaRef ds:uri="http://www.w3.org/XML/1998/namespace"/>
    <ds:schemaRef ds:uri="http://purl.org/dc/terms/"/>
    <ds:schemaRef ds:uri="996b2e75-67fd-4955-a3b0-5ab9934cb5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325FCE-7270-4415-B83A-72D37A484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A0586-2CA6-42D4-BE89-EC58D4504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681A4-5B69-4EAB-B73E-32A78ED9C66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C23D2E-210B-40D4-B3FC-C78589AE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1116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R16-WRC19-C-0024!A3!MSW-A</vt:lpstr>
    </vt:vector>
  </TitlesOfParts>
  <Manager>General Secretariat - Pool</Manager>
  <Company>International Telecommunication Union (ITU)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R16-WRC19-C-0024!A3!MSW-A</dc:title>
  <dc:creator>Documents Proposals Manager (DPM)</dc:creator>
  <cp:keywords>DPM_v2019.9.25.1_prod</cp:keywords>
  <cp:lastModifiedBy>Riz, Imad</cp:lastModifiedBy>
  <cp:revision>8</cp:revision>
  <cp:lastPrinted>2019-10-16T09:21:00Z</cp:lastPrinted>
  <dcterms:created xsi:type="dcterms:W3CDTF">2019-10-11T12:47:00Z</dcterms:created>
  <dcterms:modified xsi:type="dcterms:W3CDTF">2019-10-16T09:21:00Z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