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14:paraId="3FE1E2CC" w14:textId="77777777" w:rsidTr="0050008E">
        <w:trPr>
          <w:cantSplit/>
        </w:trPr>
        <w:tc>
          <w:tcPr>
            <w:tcW w:w="6911" w:type="dxa"/>
          </w:tcPr>
          <w:p w14:paraId="0DDE8344" w14:textId="77777777" w:rsidR="00BB1D82" w:rsidRPr="00930FFD" w:rsidRDefault="00851625" w:rsidP="00095EF6">
            <w:pPr>
              <w:spacing w:before="400" w:after="48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</w:t>
            </w:r>
            <w:r w:rsidR="00FD7AA3">
              <w:rPr>
                <w:rFonts w:ascii="Verdana" w:hAnsi="Verdana"/>
                <w:b/>
                <w:bCs/>
                <w:sz w:val="20"/>
                <w:lang w:val="fr-CH"/>
              </w:rPr>
              <w:t>9</w:t>
            </w:r>
            <w:r>
              <w:rPr>
                <w:rFonts w:ascii="Verdana" w:hAnsi="Verdana"/>
                <w:b/>
                <w:bCs/>
                <w:sz w:val="20"/>
                <w:lang w:val="fr-CH"/>
              </w:rPr>
              <w:t>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Charm el-Cheikh, </w:t>
            </w:r>
            <w:r w:rsidR="0008136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É</w:t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gypte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8 octobre </w:t>
            </w:r>
            <w:r w:rsidR="00F10064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–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novembre 201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9</w:t>
            </w:r>
          </w:p>
        </w:tc>
        <w:tc>
          <w:tcPr>
            <w:tcW w:w="3120" w:type="dxa"/>
          </w:tcPr>
          <w:p w14:paraId="2C5E7CAE" w14:textId="77777777" w:rsidR="00BB1D82" w:rsidRPr="002A6F8F" w:rsidRDefault="000A55AE" w:rsidP="00095EF6">
            <w:pPr>
              <w:spacing w:before="0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rFonts w:ascii="Verdana" w:hAnsi="Verdana"/>
                <w:b/>
                <w:bCs/>
                <w:noProof/>
                <w:lang w:val="en-US" w:eastAsia="zh-CN"/>
              </w:rPr>
              <w:drawing>
                <wp:inline distT="0" distB="0" distL="0" distR="0" wp14:anchorId="6DBFCE31" wp14:editId="72561D11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14:paraId="2E5734A2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57C67FCE" w14:textId="77777777" w:rsidR="00BB1D82" w:rsidRPr="002A6F8F" w:rsidRDefault="00BB1D82" w:rsidP="00095EF6">
            <w:pPr>
              <w:spacing w:before="0" w:after="48"/>
              <w:rPr>
                <w:b/>
                <w:smallCaps/>
                <w:szCs w:val="24"/>
                <w:lang w:val="en-US"/>
              </w:rPr>
            </w:pPr>
            <w:bookmarkStart w:id="1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7521D78D" w14:textId="77777777" w:rsidR="00BB1D82" w:rsidRPr="002A6F8F" w:rsidRDefault="00BB1D82" w:rsidP="00095EF6">
            <w:pPr>
              <w:spacing w:before="0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14:paraId="66336688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628B00CB" w14:textId="77777777" w:rsidR="00BB1D82" w:rsidRPr="002A6F8F" w:rsidRDefault="00BB1D82" w:rsidP="00095EF6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09AA52B4" w14:textId="77777777" w:rsidR="00BB1D82" w:rsidRPr="002A6F8F" w:rsidRDefault="00BB1D82" w:rsidP="00095EF6">
            <w:pPr>
              <w:spacing w:before="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14:paraId="1C09B1BC" w14:textId="77777777" w:rsidTr="00BB1D82">
        <w:trPr>
          <w:cantSplit/>
        </w:trPr>
        <w:tc>
          <w:tcPr>
            <w:tcW w:w="6911" w:type="dxa"/>
          </w:tcPr>
          <w:p w14:paraId="5CF15083" w14:textId="77777777" w:rsidR="00BB1D82" w:rsidRPr="00930FFD" w:rsidRDefault="006D4724" w:rsidP="00095EF6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</w:tcPr>
          <w:p w14:paraId="30AA9B04" w14:textId="77777777" w:rsidR="00BB1D82" w:rsidRPr="004D6ED7" w:rsidRDefault="006D4724" w:rsidP="00095EF6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4D6ED7">
              <w:rPr>
                <w:rFonts w:ascii="Verdana" w:hAnsi="Verdana"/>
                <w:b/>
                <w:sz w:val="20"/>
                <w:lang w:val="fr-CH"/>
              </w:rPr>
              <w:t>Addendum 7 au</w:t>
            </w:r>
            <w:r w:rsidRPr="004D6ED7">
              <w:rPr>
                <w:rFonts w:ascii="Verdana" w:hAnsi="Verdana"/>
                <w:b/>
                <w:sz w:val="20"/>
                <w:lang w:val="fr-CH"/>
              </w:rPr>
              <w:br/>
              <w:t>Document 24(Add.24)</w:t>
            </w:r>
            <w:r w:rsidR="00BB1D82" w:rsidRPr="004D6ED7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4D6ED7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bookmarkEnd w:id="1"/>
      <w:tr w:rsidR="00690C7B" w:rsidRPr="002A6F8F" w14:paraId="51186241" w14:textId="77777777" w:rsidTr="00BB1D82">
        <w:trPr>
          <w:cantSplit/>
        </w:trPr>
        <w:tc>
          <w:tcPr>
            <w:tcW w:w="6911" w:type="dxa"/>
          </w:tcPr>
          <w:p w14:paraId="3AF44580" w14:textId="77777777" w:rsidR="00690C7B" w:rsidRPr="004D6ED7" w:rsidRDefault="00690C7B" w:rsidP="00095EF6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</w:tcPr>
          <w:p w14:paraId="481B0EEC" w14:textId="77777777" w:rsidR="00690C7B" w:rsidRPr="002A6F8F" w:rsidRDefault="00690C7B" w:rsidP="00095EF6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20 septembre 2019</w:t>
            </w:r>
          </w:p>
        </w:tc>
      </w:tr>
      <w:tr w:rsidR="00690C7B" w:rsidRPr="002A6F8F" w14:paraId="4AB10F6F" w14:textId="77777777" w:rsidTr="00BB1D82">
        <w:trPr>
          <w:cantSplit/>
        </w:trPr>
        <w:tc>
          <w:tcPr>
            <w:tcW w:w="6911" w:type="dxa"/>
          </w:tcPr>
          <w:p w14:paraId="2F7E2E62" w14:textId="77777777" w:rsidR="00690C7B" w:rsidRPr="002A6F8F" w:rsidRDefault="00690C7B" w:rsidP="00095EF6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14:paraId="16C6261E" w14:textId="77777777" w:rsidR="00690C7B" w:rsidRPr="002A6F8F" w:rsidRDefault="00690C7B" w:rsidP="00095EF6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14:paraId="64FDDC45" w14:textId="77777777" w:rsidTr="00C11970">
        <w:trPr>
          <w:cantSplit/>
        </w:trPr>
        <w:tc>
          <w:tcPr>
            <w:tcW w:w="10031" w:type="dxa"/>
            <w:gridSpan w:val="2"/>
          </w:tcPr>
          <w:p w14:paraId="05A9FA8E" w14:textId="77777777" w:rsidR="00690C7B" w:rsidRPr="002A6F8F" w:rsidRDefault="00690C7B" w:rsidP="005E0EFE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14:paraId="4245563E" w14:textId="77777777" w:rsidTr="0050008E">
        <w:trPr>
          <w:cantSplit/>
        </w:trPr>
        <w:tc>
          <w:tcPr>
            <w:tcW w:w="10031" w:type="dxa"/>
            <w:gridSpan w:val="2"/>
          </w:tcPr>
          <w:p w14:paraId="79F8363A" w14:textId="77777777" w:rsidR="00690C7B" w:rsidRPr="004D6ED7" w:rsidRDefault="00690C7B" w:rsidP="005E0EFE">
            <w:pPr>
              <w:pStyle w:val="Source"/>
              <w:rPr>
                <w:lang w:val="fr-CH"/>
              </w:rPr>
            </w:pPr>
            <w:bookmarkStart w:id="2" w:name="dsource" w:colFirst="0" w:colLast="0"/>
            <w:r w:rsidRPr="004D6ED7">
              <w:rPr>
                <w:lang w:val="fr-CH"/>
              </w:rPr>
              <w:t>Propositions communes de la Télécommunauté Asie-Pacifique</w:t>
            </w:r>
          </w:p>
        </w:tc>
      </w:tr>
      <w:tr w:rsidR="00690C7B" w:rsidRPr="002A6F8F" w14:paraId="1C94F0AB" w14:textId="77777777" w:rsidTr="0050008E">
        <w:trPr>
          <w:cantSplit/>
        </w:trPr>
        <w:tc>
          <w:tcPr>
            <w:tcW w:w="10031" w:type="dxa"/>
            <w:gridSpan w:val="2"/>
          </w:tcPr>
          <w:p w14:paraId="790A5612" w14:textId="59F615AC" w:rsidR="00690C7B" w:rsidRPr="004D6ED7" w:rsidRDefault="00C36EC5" w:rsidP="005E0EFE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4D6ED7">
              <w:rPr>
                <w:lang w:val="fr-CH"/>
              </w:rPr>
              <w:t>PROPOSITIONS POUR LES TRAVAUX DE LA CONFéRENCE</w:t>
            </w:r>
          </w:p>
        </w:tc>
      </w:tr>
      <w:tr w:rsidR="00690C7B" w:rsidRPr="002A6F8F" w14:paraId="22032DE8" w14:textId="77777777" w:rsidTr="0050008E">
        <w:trPr>
          <w:cantSplit/>
        </w:trPr>
        <w:tc>
          <w:tcPr>
            <w:tcW w:w="10031" w:type="dxa"/>
            <w:gridSpan w:val="2"/>
          </w:tcPr>
          <w:p w14:paraId="18E19AFA" w14:textId="77777777" w:rsidR="00690C7B" w:rsidRPr="004D6ED7" w:rsidRDefault="00690C7B" w:rsidP="005E0EFE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14:paraId="298114DA" w14:textId="77777777" w:rsidTr="0050008E">
        <w:trPr>
          <w:cantSplit/>
        </w:trPr>
        <w:tc>
          <w:tcPr>
            <w:tcW w:w="10031" w:type="dxa"/>
            <w:gridSpan w:val="2"/>
          </w:tcPr>
          <w:p w14:paraId="6F04E2E3" w14:textId="0982FFCE" w:rsidR="00690C7B" w:rsidRDefault="00690C7B" w:rsidP="00095EF6">
            <w:pPr>
              <w:pStyle w:val="Agendaitem"/>
            </w:pPr>
            <w:bookmarkStart w:id="5" w:name="dtitle3" w:colFirst="0" w:colLast="0"/>
            <w:bookmarkEnd w:id="4"/>
            <w:r w:rsidRPr="006D4724">
              <w:t>Point 10 de l</w:t>
            </w:r>
            <w:r w:rsidR="00215480">
              <w:t>'</w:t>
            </w:r>
            <w:r w:rsidRPr="006D4724">
              <w:t>ordre du jour</w:t>
            </w:r>
          </w:p>
        </w:tc>
      </w:tr>
    </w:tbl>
    <w:bookmarkEnd w:id="5"/>
    <w:p w14:paraId="5809C8BC" w14:textId="63F1EA7D" w:rsidR="001C0E40" w:rsidRDefault="00A12835" w:rsidP="00095EF6">
      <w:r w:rsidRPr="009B46DD">
        <w:t>10</w:t>
      </w:r>
      <w:r w:rsidRPr="009B46DD">
        <w:tab/>
        <w:t>recommander au Conseil des points à inscrire à l</w:t>
      </w:r>
      <w:r w:rsidR="00215480">
        <w:t>'</w:t>
      </w:r>
      <w:r w:rsidRPr="009B46DD">
        <w:t>ordre du jour de la CMR suivante et exposer ses vues sur l</w:t>
      </w:r>
      <w:r w:rsidR="00215480">
        <w:t>'</w:t>
      </w:r>
      <w:r w:rsidRPr="009B46DD">
        <w:t>ordre du jour préliminaire de la conférence ultérieure ainsi que sur des points éventuels à inscrire à l</w:t>
      </w:r>
      <w:r w:rsidR="00215480">
        <w:t>'</w:t>
      </w:r>
      <w:r w:rsidRPr="009B46DD">
        <w:t>ordre du jour de conférences futures, conformément à l</w:t>
      </w:r>
      <w:r w:rsidR="00215480">
        <w:t>'</w:t>
      </w:r>
      <w:r w:rsidRPr="009B46DD">
        <w:t>article 7 de la Convention</w:t>
      </w:r>
      <w:r w:rsidR="005E0EFE">
        <w:t>.</w:t>
      </w:r>
    </w:p>
    <w:p w14:paraId="2B3FEE5F" w14:textId="77777777" w:rsidR="00E609ED" w:rsidRPr="00722E5E" w:rsidRDefault="00E609ED" w:rsidP="00095EF6">
      <w:pPr>
        <w:pStyle w:val="Headingb"/>
        <w:rPr>
          <w:lang w:val="fr-CH"/>
        </w:rPr>
      </w:pPr>
      <w:r w:rsidRPr="00722E5E">
        <w:rPr>
          <w:lang w:val="fr-CH"/>
        </w:rPr>
        <w:t>Introduction</w:t>
      </w:r>
    </w:p>
    <w:p w14:paraId="288EF9AE" w14:textId="1E8AEA0F" w:rsidR="00722E5E" w:rsidRDefault="00F620B7" w:rsidP="00722E5E">
      <w:pPr>
        <w:rPr>
          <w:lang w:val="fr-CH"/>
        </w:rPr>
      </w:pPr>
      <w:r w:rsidRPr="00F620B7">
        <w:rPr>
          <w:color w:val="000000"/>
          <w:lang w:val="fr-CH"/>
        </w:rPr>
        <w:t>Les Membres de l</w:t>
      </w:r>
      <w:r w:rsidR="00215480">
        <w:rPr>
          <w:color w:val="000000"/>
          <w:lang w:val="fr-CH"/>
        </w:rPr>
        <w:t>'</w:t>
      </w:r>
      <w:r w:rsidRPr="00F620B7">
        <w:rPr>
          <w:color w:val="000000"/>
          <w:lang w:val="fr-CH"/>
        </w:rPr>
        <w:t>APT</w:t>
      </w:r>
      <w:r w:rsidRPr="00F620B7">
        <w:rPr>
          <w:rFonts w:hint="eastAsia"/>
          <w:lang w:val="fr-CH"/>
        </w:rPr>
        <w:t xml:space="preserve"> </w:t>
      </w:r>
      <w:r w:rsidRPr="00F620B7">
        <w:rPr>
          <w:lang w:val="fr-CH"/>
        </w:rPr>
        <w:t>sont favorables à l</w:t>
      </w:r>
      <w:r w:rsidR="00215480">
        <w:rPr>
          <w:lang w:val="fr-CH"/>
        </w:rPr>
        <w:t>'</w:t>
      </w:r>
      <w:r w:rsidRPr="00F620B7">
        <w:rPr>
          <w:lang w:val="fr-CH"/>
        </w:rPr>
        <w:t>inscription du point ci-après à l</w:t>
      </w:r>
      <w:r w:rsidR="00215480">
        <w:rPr>
          <w:lang w:val="fr-CH"/>
        </w:rPr>
        <w:t>'</w:t>
      </w:r>
      <w:r w:rsidRPr="00F620B7">
        <w:rPr>
          <w:lang w:val="fr-CH"/>
        </w:rPr>
        <w:t>ordre du jour de la CMR</w:t>
      </w:r>
      <w:r w:rsidR="0002626E">
        <w:rPr>
          <w:lang w:val="fr-CH"/>
        </w:rPr>
        <w:noBreakHyphen/>
      </w:r>
      <w:r w:rsidRPr="00F620B7">
        <w:rPr>
          <w:lang w:val="fr-CH"/>
        </w:rPr>
        <w:t>23:</w:t>
      </w:r>
    </w:p>
    <w:p w14:paraId="2EDA6DDA" w14:textId="1758F918" w:rsidR="00E609ED" w:rsidRPr="00722E5E" w:rsidRDefault="00722E5E" w:rsidP="00722E5E">
      <w:pPr>
        <w:pStyle w:val="enumlev1"/>
        <w:rPr>
          <w:lang w:val="fr-CH"/>
        </w:rPr>
      </w:pPr>
      <w:r w:rsidRPr="00722E5E">
        <w:rPr>
          <w:lang w:val="fr-CH"/>
        </w:rPr>
        <w:t>–</w:t>
      </w:r>
      <w:r>
        <w:rPr>
          <w:lang w:val="fr-CH"/>
        </w:rPr>
        <w:tab/>
      </w:r>
      <w:r w:rsidR="00095EF6">
        <w:rPr>
          <w:lang w:val="fr-CH"/>
        </w:rPr>
        <w:t>c</w:t>
      </w:r>
      <w:r w:rsidR="00F620B7">
        <w:rPr>
          <w:lang w:val="fr-CH"/>
        </w:rPr>
        <w:t>onsidérer qu</w:t>
      </w:r>
      <w:r w:rsidR="00215480">
        <w:rPr>
          <w:lang w:val="fr-CH"/>
        </w:rPr>
        <w:t>'</w:t>
      </w:r>
      <w:r w:rsidR="00F620B7">
        <w:rPr>
          <w:lang w:val="fr-CH"/>
        </w:rPr>
        <w:t xml:space="preserve">il pourrait </w:t>
      </w:r>
      <w:r w:rsidR="00E609ED" w:rsidRPr="00E609ED">
        <w:rPr>
          <w:lang w:val="fr-CH"/>
        </w:rPr>
        <w:t>être nécessaire d</w:t>
      </w:r>
      <w:r w:rsidR="00215480">
        <w:rPr>
          <w:lang w:val="fr-CH"/>
        </w:rPr>
        <w:t>'</w:t>
      </w:r>
      <w:r w:rsidR="00E609ED" w:rsidRPr="00E609ED">
        <w:rPr>
          <w:lang w:val="fr-CH"/>
        </w:rPr>
        <w:t>aborder d</w:t>
      </w:r>
      <w:r w:rsidR="00215480">
        <w:rPr>
          <w:lang w:val="fr-CH"/>
        </w:rPr>
        <w:t>'</w:t>
      </w:r>
      <w:r w:rsidR="00E609ED" w:rsidRPr="00E609ED">
        <w:rPr>
          <w:lang w:val="fr-CH"/>
        </w:rPr>
        <w:t>autres questions d</w:t>
      </w:r>
      <w:r w:rsidR="00215480">
        <w:rPr>
          <w:lang w:val="fr-CH"/>
        </w:rPr>
        <w:t>'</w:t>
      </w:r>
      <w:r w:rsidR="00E609ED" w:rsidRPr="00E609ED">
        <w:rPr>
          <w:lang w:val="fr-CH"/>
        </w:rPr>
        <w:t>ordre opérationnel, technique et réglementaire,</w:t>
      </w:r>
      <w:r w:rsidR="00215480">
        <w:rPr>
          <w:lang w:val="fr-CH"/>
        </w:rPr>
        <w:t xml:space="preserve"> </w:t>
      </w:r>
      <w:r w:rsidR="00F620B7">
        <w:rPr>
          <w:lang w:val="fr-CH"/>
        </w:rPr>
        <w:t>ce qui</w:t>
      </w:r>
      <w:r w:rsidR="00215480">
        <w:rPr>
          <w:lang w:val="fr-CH"/>
        </w:rPr>
        <w:t xml:space="preserve"> </w:t>
      </w:r>
      <w:r w:rsidR="00E609ED" w:rsidRPr="00E609ED">
        <w:rPr>
          <w:lang w:val="fr-CH"/>
        </w:rPr>
        <w:t>nécessite</w:t>
      </w:r>
      <w:r w:rsidR="00F620B7">
        <w:rPr>
          <w:lang w:val="fr-CH"/>
        </w:rPr>
        <w:t>ra</w:t>
      </w:r>
      <w:r w:rsidR="00E609ED" w:rsidRPr="00E609ED">
        <w:rPr>
          <w:lang w:val="fr-CH"/>
        </w:rPr>
        <w:t xml:space="preserve"> de poursuivre les études</w:t>
      </w:r>
      <w:r w:rsidR="00F620B7">
        <w:rPr>
          <w:lang w:val="fr-CH"/>
        </w:rPr>
        <w:t>,</w:t>
      </w:r>
      <w:r w:rsidR="00215480">
        <w:rPr>
          <w:lang w:val="fr-CH"/>
        </w:rPr>
        <w:t xml:space="preserve"> </w:t>
      </w:r>
      <w:r w:rsidR="00E609ED" w:rsidRPr="00E609ED">
        <w:rPr>
          <w:lang w:val="fr-CH"/>
        </w:rPr>
        <w:t>sur le statut des stations placées à bord de véhicules suborbitaux et le type d</w:t>
      </w:r>
      <w:r w:rsidR="00215480">
        <w:rPr>
          <w:lang w:val="fr-CH"/>
        </w:rPr>
        <w:t>'</w:t>
      </w:r>
      <w:r w:rsidR="00E609ED" w:rsidRPr="00E609ED">
        <w:rPr>
          <w:lang w:val="fr-CH"/>
        </w:rPr>
        <w:t>applications,</w:t>
      </w:r>
      <w:r w:rsidR="00215480">
        <w:rPr>
          <w:lang w:val="fr-CH"/>
        </w:rPr>
        <w:t xml:space="preserve"> </w:t>
      </w:r>
      <w:r w:rsidR="00E609ED" w:rsidRPr="00E609ED">
        <w:rPr>
          <w:lang w:val="fr-CH"/>
        </w:rPr>
        <w:t>ainsi que sur les risques de brouillage à prendre en</w:t>
      </w:r>
      <w:r w:rsidR="00F620B7">
        <w:rPr>
          <w:lang w:val="fr-CH"/>
        </w:rPr>
        <w:t xml:space="preserve"> considération s</w:t>
      </w:r>
      <w:r w:rsidR="00215480">
        <w:rPr>
          <w:lang w:val="fr-CH"/>
        </w:rPr>
        <w:t>'</w:t>
      </w:r>
      <w:r w:rsidR="00F620B7">
        <w:rPr>
          <w:lang w:val="fr-CH"/>
        </w:rPr>
        <w:t>agissant des</w:t>
      </w:r>
      <w:r w:rsidR="00215480">
        <w:rPr>
          <w:lang w:val="fr-CH"/>
        </w:rPr>
        <w:t xml:space="preserve"> </w:t>
      </w:r>
      <w:r w:rsidR="00E609ED" w:rsidRPr="00E609ED">
        <w:t xml:space="preserve">systèmes de </w:t>
      </w:r>
      <w:r w:rsidR="00095EF6">
        <w:t>radio</w:t>
      </w:r>
      <w:r w:rsidR="00E609ED" w:rsidRPr="00E609ED">
        <w:t>communication</w:t>
      </w:r>
      <w:r w:rsidR="00F620B7">
        <w:t xml:space="preserve"> fonctionnant </w:t>
      </w:r>
      <w:r w:rsidR="00E609ED" w:rsidRPr="00E609ED">
        <w:t xml:space="preserve">à bord </w:t>
      </w:r>
      <w:r w:rsidR="00F620B7">
        <w:t xml:space="preserve">de </w:t>
      </w:r>
      <w:r w:rsidR="00F620B7" w:rsidRPr="00E609ED">
        <w:rPr>
          <w:lang w:val="fr-CH"/>
        </w:rPr>
        <w:t>véhicules suborbitaux</w:t>
      </w:r>
    </w:p>
    <w:p w14:paraId="1EBC1126" w14:textId="5FE09478" w:rsidR="00E609ED" w:rsidRDefault="00E609ED" w:rsidP="00095EF6">
      <w:pPr>
        <w:pStyle w:val="Headingb"/>
      </w:pPr>
      <w:r w:rsidRPr="004D6ED7">
        <w:rPr>
          <w:lang w:val="fr-CH"/>
        </w:rPr>
        <w:t>Propos</w:t>
      </w:r>
      <w:r w:rsidR="00F620B7">
        <w:rPr>
          <w:lang w:val="fr-CH"/>
        </w:rPr>
        <w:t>itions</w:t>
      </w:r>
    </w:p>
    <w:p w14:paraId="5350B092" w14:textId="77777777" w:rsidR="0015203F" w:rsidRDefault="0015203F" w:rsidP="00095EF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5992A2B6" w14:textId="77777777" w:rsidR="00764512" w:rsidRDefault="00A12835" w:rsidP="00095EF6">
      <w:pPr>
        <w:pStyle w:val="Proposal"/>
      </w:pPr>
      <w:r>
        <w:lastRenderedPageBreak/>
        <w:t>ADD</w:t>
      </w:r>
      <w:r>
        <w:tab/>
        <w:t>ACP/24A24A7/1</w:t>
      </w:r>
    </w:p>
    <w:p w14:paraId="6978F981" w14:textId="2C3293DC" w:rsidR="00764512" w:rsidRDefault="00A12835" w:rsidP="00095EF6">
      <w:pPr>
        <w:pStyle w:val="ResNo"/>
      </w:pPr>
      <w:r>
        <w:t>Projet de nouvelle Résolution [ACP-A10-WRC23]</w:t>
      </w:r>
      <w:r w:rsidR="00A82125">
        <w:t xml:space="preserve"> (CMR-19)</w:t>
      </w:r>
    </w:p>
    <w:p w14:paraId="0CA964AD" w14:textId="273D8A55" w:rsidR="00CD6118" w:rsidRPr="00F620B7" w:rsidRDefault="00F620B7" w:rsidP="00095EF6">
      <w:pPr>
        <w:pStyle w:val="Restitle"/>
        <w:rPr>
          <w:lang w:val="fr-CH" w:eastAsia="zh-CN"/>
        </w:rPr>
      </w:pPr>
      <w:bookmarkStart w:id="6" w:name="_Toc319401926"/>
      <w:bookmarkStart w:id="7" w:name="_Toc450048857"/>
      <w:r>
        <w:rPr>
          <w:color w:val="000000"/>
        </w:rPr>
        <w:t>Ordre du jour de la Conférence mondiale des radiocommunications de 2023</w:t>
      </w:r>
      <w:bookmarkEnd w:id="6"/>
      <w:bookmarkEnd w:id="7"/>
    </w:p>
    <w:p w14:paraId="5987FCA4" w14:textId="6F8FEEB1" w:rsidR="00CD6118" w:rsidRPr="00F620B7" w:rsidRDefault="00F620B7" w:rsidP="00095EF6">
      <w:pPr>
        <w:pStyle w:val="Normalaftertitle"/>
        <w:rPr>
          <w:lang w:val="fr-CH" w:eastAsia="zh-CN"/>
        </w:rPr>
      </w:pPr>
      <w:r>
        <w:rPr>
          <w:color w:val="000000"/>
        </w:rPr>
        <w:t>La Conférence mondiale des radiocommunications (Charm el-Cheikh, 2019),</w:t>
      </w:r>
    </w:p>
    <w:p w14:paraId="20F66D7A" w14:textId="77777777" w:rsidR="005E0EFE" w:rsidRDefault="00CD6118" w:rsidP="005E0EFE">
      <w:pPr>
        <w:rPr>
          <w:lang w:eastAsia="zh-CN"/>
        </w:rPr>
      </w:pPr>
      <w:r w:rsidRPr="00D3783A">
        <w:rPr>
          <w:lang w:eastAsia="zh-CN"/>
        </w:rPr>
        <w:t>…</w:t>
      </w:r>
    </w:p>
    <w:p w14:paraId="55F6A42B" w14:textId="2291440D" w:rsidR="00764512" w:rsidRPr="005E0EFE" w:rsidRDefault="00CD6118" w:rsidP="004E3E63">
      <w:pPr>
        <w:rPr>
          <w:lang w:eastAsia="zh-CN"/>
        </w:rPr>
      </w:pPr>
      <w:r w:rsidRPr="004D6ED7">
        <w:rPr>
          <w:lang w:val="fr-CH"/>
        </w:rPr>
        <w:t>1.x</w:t>
      </w:r>
      <w:r w:rsidRPr="004D6ED7">
        <w:rPr>
          <w:lang w:val="fr-CH"/>
        </w:rPr>
        <w:tab/>
      </w:r>
      <w:r w:rsidR="00F620B7">
        <w:rPr>
          <w:lang w:val="fr-CH"/>
        </w:rPr>
        <w:t>considérer qu</w:t>
      </w:r>
      <w:r w:rsidR="00215480">
        <w:rPr>
          <w:lang w:val="fr-CH"/>
        </w:rPr>
        <w:t>'</w:t>
      </w:r>
      <w:r w:rsidR="00F620B7">
        <w:rPr>
          <w:lang w:val="fr-CH"/>
        </w:rPr>
        <w:t xml:space="preserve">il pourrait </w:t>
      </w:r>
      <w:r w:rsidR="00F620B7" w:rsidRPr="00E609ED">
        <w:rPr>
          <w:lang w:val="fr-CH"/>
        </w:rPr>
        <w:t>être nécessaire d</w:t>
      </w:r>
      <w:r w:rsidR="00215480">
        <w:rPr>
          <w:lang w:val="fr-CH"/>
        </w:rPr>
        <w:t>'</w:t>
      </w:r>
      <w:r w:rsidR="00F620B7" w:rsidRPr="00E609ED">
        <w:rPr>
          <w:lang w:val="fr-CH"/>
        </w:rPr>
        <w:t>aborder d</w:t>
      </w:r>
      <w:r w:rsidR="00215480">
        <w:rPr>
          <w:lang w:val="fr-CH"/>
        </w:rPr>
        <w:t>'</w:t>
      </w:r>
      <w:r w:rsidR="00F620B7" w:rsidRPr="00E609ED">
        <w:rPr>
          <w:lang w:val="fr-CH"/>
        </w:rPr>
        <w:t>autres questions d</w:t>
      </w:r>
      <w:r w:rsidR="00215480">
        <w:rPr>
          <w:lang w:val="fr-CH"/>
        </w:rPr>
        <w:t>'</w:t>
      </w:r>
      <w:r w:rsidR="00F620B7" w:rsidRPr="00E609ED">
        <w:rPr>
          <w:lang w:val="fr-CH"/>
        </w:rPr>
        <w:t>ordre opérationnel, technique et réglementaire,</w:t>
      </w:r>
      <w:r w:rsidR="00215480">
        <w:rPr>
          <w:lang w:val="fr-CH"/>
        </w:rPr>
        <w:t xml:space="preserve"> </w:t>
      </w:r>
      <w:r w:rsidR="00F620B7">
        <w:rPr>
          <w:lang w:val="fr-CH"/>
        </w:rPr>
        <w:t>ce qui</w:t>
      </w:r>
      <w:r w:rsidR="00215480">
        <w:rPr>
          <w:lang w:val="fr-CH"/>
        </w:rPr>
        <w:t xml:space="preserve"> </w:t>
      </w:r>
      <w:r w:rsidR="00F620B7" w:rsidRPr="00E609ED">
        <w:rPr>
          <w:lang w:val="fr-CH"/>
        </w:rPr>
        <w:t>nécessite</w:t>
      </w:r>
      <w:r w:rsidR="00F620B7">
        <w:rPr>
          <w:lang w:val="fr-CH"/>
        </w:rPr>
        <w:t>ra</w:t>
      </w:r>
      <w:r w:rsidR="00F620B7" w:rsidRPr="00E609ED">
        <w:rPr>
          <w:lang w:val="fr-CH"/>
        </w:rPr>
        <w:t xml:space="preserve"> de poursuivre les études</w:t>
      </w:r>
      <w:r w:rsidR="00F620B7">
        <w:rPr>
          <w:lang w:val="fr-CH"/>
        </w:rPr>
        <w:t>,</w:t>
      </w:r>
      <w:r w:rsidR="00215480">
        <w:rPr>
          <w:lang w:val="fr-CH"/>
        </w:rPr>
        <w:t xml:space="preserve"> </w:t>
      </w:r>
      <w:r w:rsidR="00F620B7" w:rsidRPr="00E609ED">
        <w:rPr>
          <w:lang w:val="fr-CH"/>
        </w:rPr>
        <w:t>sur le statut des stations placées à bord de véhicules suborbitaux et le type d</w:t>
      </w:r>
      <w:r w:rsidR="00215480">
        <w:rPr>
          <w:lang w:val="fr-CH"/>
        </w:rPr>
        <w:t>'</w:t>
      </w:r>
      <w:r w:rsidR="00F620B7" w:rsidRPr="00E609ED">
        <w:rPr>
          <w:lang w:val="fr-CH"/>
        </w:rPr>
        <w:t>applications,</w:t>
      </w:r>
      <w:r w:rsidR="00215480">
        <w:rPr>
          <w:lang w:val="fr-CH"/>
        </w:rPr>
        <w:t xml:space="preserve"> </w:t>
      </w:r>
      <w:r w:rsidR="00F620B7" w:rsidRPr="00E609ED">
        <w:rPr>
          <w:lang w:val="fr-CH"/>
        </w:rPr>
        <w:t>ainsi que sur les risques de brouillage à prendre en</w:t>
      </w:r>
      <w:r w:rsidR="00F620B7">
        <w:rPr>
          <w:lang w:val="fr-CH"/>
        </w:rPr>
        <w:t xml:space="preserve"> considération s</w:t>
      </w:r>
      <w:r w:rsidR="00215480">
        <w:rPr>
          <w:lang w:val="fr-CH"/>
        </w:rPr>
        <w:t>'</w:t>
      </w:r>
      <w:r w:rsidR="00F620B7">
        <w:rPr>
          <w:lang w:val="fr-CH"/>
        </w:rPr>
        <w:t>agissant des</w:t>
      </w:r>
      <w:r w:rsidR="00215480">
        <w:rPr>
          <w:lang w:val="fr-CH"/>
        </w:rPr>
        <w:t xml:space="preserve"> </w:t>
      </w:r>
      <w:r w:rsidR="00F620B7" w:rsidRPr="00E609ED">
        <w:t xml:space="preserve">systèmes de </w:t>
      </w:r>
      <w:r w:rsidR="00095EF6">
        <w:t>radio</w:t>
      </w:r>
      <w:r w:rsidR="00F620B7" w:rsidRPr="00E609ED">
        <w:t>communication</w:t>
      </w:r>
      <w:r w:rsidR="00F620B7">
        <w:t xml:space="preserve"> fonctionnant </w:t>
      </w:r>
      <w:r w:rsidR="00F620B7" w:rsidRPr="00E609ED">
        <w:t xml:space="preserve">à bord </w:t>
      </w:r>
      <w:r w:rsidR="00F620B7">
        <w:t xml:space="preserve">de </w:t>
      </w:r>
      <w:r w:rsidR="00F620B7" w:rsidRPr="00E609ED">
        <w:rPr>
          <w:lang w:val="fr-CH"/>
        </w:rPr>
        <w:t>véhicules suborbitaux</w:t>
      </w:r>
      <w:r w:rsidR="00F620B7">
        <w:rPr>
          <w:lang w:val="fr-CH"/>
        </w:rPr>
        <w:t xml:space="preserve">, conformément à la </w:t>
      </w:r>
      <w:r w:rsidR="00F620B7" w:rsidRPr="00984300">
        <w:rPr>
          <w:lang w:val="fr-CH"/>
        </w:rPr>
        <w:t>Résolution</w:t>
      </w:r>
      <w:r w:rsidR="00F620B7" w:rsidRPr="00984300">
        <w:rPr>
          <w:iCs/>
          <w:color w:val="000000"/>
        </w:rPr>
        <w:t xml:space="preserve"> </w:t>
      </w:r>
      <w:r w:rsidR="00F620B7" w:rsidRPr="00984300">
        <w:rPr>
          <w:b/>
          <w:iCs/>
          <w:color w:val="000000"/>
        </w:rPr>
        <w:t>[</w:t>
      </w:r>
      <w:r w:rsidR="00F620B7" w:rsidRPr="00984300">
        <w:rPr>
          <w:b/>
        </w:rPr>
        <w:t>ACP</w:t>
      </w:r>
      <w:r w:rsidR="00984300">
        <w:rPr>
          <w:b/>
        </w:rPr>
        <w:noBreakHyphen/>
      </w:r>
      <w:r w:rsidR="00F620B7" w:rsidRPr="00984300">
        <w:rPr>
          <w:b/>
        </w:rPr>
        <w:t>G10</w:t>
      </w:r>
      <w:r w:rsidR="00984300">
        <w:rPr>
          <w:b/>
        </w:rPr>
        <w:noBreakHyphen/>
      </w:r>
      <w:r w:rsidR="00F620B7" w:rsidRPr="00984300">
        <w:rPr>
          <w:b/>
        </w:rPr>
        <w:t>SUBORBITAL VEHICLES</w:t>
      </w:r>
      <w:r w:rsidR="00F620B7" w:rsidRPr="00984300">
        <w:rPr>
          <w:b/>
          <w:iCs/>
          <w:color w:val="000000"/>
        </w:rPr>
        <w:t>]</w:t>
      </w:r>
      <w:r w:rsidR="00F620B7" w:rsidRPr="00F620B7">
        <w:t xml:space="preserve"> </w:t>
      </w:r>
      <w:r w:rsidR="00F620B7" w:rsidRPr="0002626E">
        <w:rPr>
          <w:b/>
          <w:bCs/>
        </w:rPr>
        <w:t>(CMR-19)</w:t>
      </w:r>
      <w:r w:rsidR="00984300">
        <w:t>;</w:t>
      </w:r>
    </w:p>
    <w:p w14:paraId="5DD290EB" w14:textId="77777777" w:rsidR="00CD6118" w:rsidRPr="00095EF6" w:rsidRDefault="00CD6118" w:rsidP="004E3E63">
      <w:pPr>
        <w:rPr>
          <w:szCs w:val="24"/>
          <w:lang w:val="fr-CH" w:eastAsia="zh-CN"/>
        </w:rPr>
      </w:pPr>
      <w:r w:rsidRPr="00095EF6">
        <w:rPr>
          <w:lang w:val="fr-CH" w:eastAsia="zh-CN"/>
        </w:rPr>
        <w:t>…</w:t>
      </w:r>
    </w:p>
    <w:p w14:paraId="2920791A" w14:textId="302D782C" w:rsidR="00CD6118" w:rsidRPr="00F620B7" w:rsidRDefault="00F620B7" w:rsidP="00095EF6">
      <w:pPr>
        <w:pStyle w:val="Reasons"/>
        <w:rPr>
          <w:lang w:val="fr-CH"/>
        </w:rPr>
      </w:pPr>
      <w:r w:rsidRPr="00F620B7">
        <w:rPr>
          <w:b/>
          <w:lang w:val="fr-CH"/>
        </w:rPr>
        <w:t>Motif</w:t>
      </w:r>
      <w:r w:rsidR="00DD3684">
        <w:rPr>
          <w:b/>
          <w:lang w:val="fr-CH"/>
        </w:rPr>
        <w:t>s</w:t>
      </w:r>
      <w:r w:rsidRPr="00F620B7">
        <w:rPr>
          <w:b/>
          <w:lang w:val="fr-CH"/>
        </w:rPr>
        <w:t>:</w:t>
      </w:r>
      <w:r w:rsidR="00984300">
        <w:rPr>
          <w:b/>
          <w:lang w:val="fr-CH"/>
        </w:rPr>
        <w:tab/>
      </w:r>
      <w:r w:rsidRPr="00F620B7">
        <w:rPr>
          <w:bCs/>
          <w:lang w:val="fr-CH"/>
        </w:rPr>
        <w:t>Proposition visant à inscrire à l</w:t>
      </w:r>
      <w:r w:rsidR="00215480">
        <w:rPr>
          <w:bCs/>
          <w:lang w:val="fr-CH"/>
        </w:rPr>
        <w:t>'</w:t>
      </w:r>
      <w:r w:rsidRPr="00F620B7">
        <w:rPr>
          <w:bCs/>
          <w:lang w:val="fr-CH"/>
        </w:rPr>
        <w:t>ordre du jour de la CMR</w:t>
      </w:r>
      <w:r>
        <w:rPr>
          <w:bCs/>
          <w:lang w:val="fr-CH"/>
        </w:rPr>
        <w:t>-2</w:t>
      </w:r>
      <w:r w:rsidRPr="00F620B7">
        <w:rPr>
          <w:bCs/>
          <w:lang w:val="fr-CH"/>
        </w:rPr>
        <w:t>3</w:t>
      </w:r>
      <w:r>
        <w:rPr>
          <w:bCs/>
          <w:lang w:val="fr-CH"/>
        </w:rPr>
        <w:t xml:space="preserve"> un point v</w:t>
      </w:r>
      <w:r w:rsidRPr="00F620B7">
        <w:rPr>
          <w:bCs/>
          <w:lang w:val="fr-CH"/>
        </w:rPr>
        <w:t>isant à poursuivre les études sur les véhicules suborbitaux examin</w:t>
      </w:r>
      <w:r>
        <w:rPr>
          <w:bCs/>
          <w:lang w:val="fr-CH"/>
        </w:rPr>
        <w:t xml:space="preserve">és précédemment </w:t>
      </w:r>
      <w:r w:rsidRPr="00F620B7">
        <w:rPr>
          <w:bCs/>
          <w:lang w:val="fr-CH"/>
        </w:rPr>
        <w:t xml:space="preserve">au titre du point </w:t>
      </w:r>
      <w:r w:rsidRPr="00F620B7">
        <w:rPr>
          <w:lang w:val="fr-CH"/>
        </w:rPr>
        <w:t>9.1</w:t>
      </w:r>
      <w:r w:rsidR="00215480">
        <w:rPr>
          <w:lang w:val="fr-CH"/>
        </w:rPr>
        <w:t xml:space="preserve"> </w:t>
      </w:r>
      <w:r w:rsidRPr="00F620B7">
        <w:rPr>
          <w:bCs/>
          <w:lang w:val="fr-CH"/>
        </w:rPr>
        <w:t>de l</w:t>
      </w:r>
      <w:r w:rsidR="00215480">
        <w:rPr>
          <w:bCs/>
          <w:lang w:val="fr-CH"/>
        </w:rPr>
        <w:t>'</w:t>
      </w:r>
      <w:r w:rsidRPr="00F620B7">
        <w:rPr>
          <w:bCs/>
          <w:lang w:val="fr-CH"/>
        </w:rPr>
        <w:t>ordre du jour de la</w:t>
      </w:r>
      <w:r w:rsidRPr="00F620B7">
        <w:rPr>
          <w:lang w:val="fr-CH"/>
        </w:rPr>
        <w:t xml:space="preserve"> CMR-19</w:t>
      </w:r>
      <w:r>
        <w:rPr>
          <w:lang w:val="fr-CH"/>
        </w:rPr>
        <w:t xml:space="preserve">, </w:t>
      </w:r>
      <w:r w:rsidRPr="00F620B7">
        <w:rPr>
          <w:bCs/>
          <w:lang w:val="fr-CH"/>
        </w:rPr>
        <w:t>question</w:t>
      </w:r>
      <w:r w:rsidR="00984300" w:rsidRPr="00984300">
        <w:rPr>
          <w:bCs/>
          <w:lang w:val="fr-CH"/>
        </w:rPr>
        <w:t xml:space="preserve"> </w:t>
      </w:r>
      <w:r w:rsidR="00CD6118" w:rsidRPr="00F620B7">
        <w:rPr>
          <w:lang w:val="fr-CH"/>
        </w:rPr>
        <w:t>9.1.4.</w:t>
      </w:r>
    </w:p>
    <w:p w14:paraId="7204E680" w14:textId="77777777" w:rsidR="00764512" w:rsidRDefault="00A12835" w:rsidP="00095EF6">
      <w:pPr>
        <w:pStyle w:val="Proposal"/>
      </w:pPr>
      <w:r>
        <w:t>ADD</w:t>
      </w:r>
      <w:r>
        <w:tab/>
        <w:t>ACP/24A24A7/2</w:t>
      </w:r>
    </w:p>
    <w:p w14:paraId="410BB762" w14:textId="4133D67D" w:rsidR="00764512" w:rsidRDefault="00A12835" w:rsidP="00095EF6">
      <w:pPr>
        <w:pStyle w:val="ResNo"/>
      </w:pPr>
      <w:r>
        <w:t>Projet de nouvelle Résolution [ACP-G10-SUBORBITAL</w:t>
      </w:r>
      <w:r w:rsidR="00984300">
        <w:br/>
      </w:r>
      <w:r>
        <w:t>VEHICLES]</w:t>
      </w:r>
      <w:r w:rsidR="00DD3684">
        <w:t xml:space="preserve"> </w:t>
      </w:r>
      <w:r w:rsidR="00A82125">
        <w:t>(CMR</w:t>
      </w:r>
      <w:r w:rsidR="0002626E">
        <w:t>-</w:t>
      </w:r>
      <w:r w:rsidR="00A82125">
        <w:t>19)</w:t>
      </w:r>
    </w:p>
    <w:p w14:paraId="23D51780" w14:textId="290AAECD" w:rsidR="00CD6118" w:rsidRPr="00F620B7" w:rsidRDefault="00F620B7" w:rsidP="00095EF6">
      <w:pPr>
        <w:pStyle w:val="Restitle"/>
        <w:rPr>
          <w:lang w:val="fr-CH"/>
        </w:rPr>
      </w:pPr>
      <w:bookmarkStart w:id="8" w:name="_Hlk12221551"/>
      <w:r w:rsidRPr="00F620B7">
        <w:rPr>
          <w:color w:val="000000"/>
          <w:lang w:val="fr-CH"/>
        </w:rPr>
        <w:t>Examen de dispositions réglementaires</w:t>
      </w:r>
      <w:r w:rsidRPr="00F620B7">
        <w:rPr>
          <w:lang w:val="fr-CH"/>
        </w:rPr>
        <w:t xml:space="preserve"> et de bande</w:t>
      </w:r>
      <w:r>
        <w:rPr>
          <w:lang w:val="fr-CH"/>
        </w:rPr>
        <w:t>s</w:t>
      </w:r>
      <w:r w:rsidRPr="00F620B7">
        <w:rPr>
          <w:lang w:val="fr-CH"/>
        </w:rPr>
        <w:t xml:space="preserve"> de fréquences possibles pour les stations à bord de véhicules suborbitaux</w:t>
      </w:r>
      <w:bookmarkEnd w:id="8"/>
      <w:r>
        <w:rPr>
          <w:lang w:val="fr-CH"/>
        </w:rPr>
        <w:t xml:space="preserve"> </w:t>
      </w:r>
    </w:p>
    <w:p w14:paraId="72586F78" w14:textId="677AC4EF" w:rsidR="00F620B7" w:rsidRPr="00F620B7" w:rsidRDefault="00F620B7" w:rsidP="00095EF6">
      <w:pPr>
        <w:pStyle w:val="Normalaftertitle"/>
        <w:rPr>
          <w:lang w:val="fr-CH" w:eastAsia="zh-CN"/>
        </w:rPr>
      </w:pPr>
      <w:r>
        <w:rPr>
          <w:color w:val="000000"/>
        </w:rPr>
        <w:t>La Conférence mondiale des radiocommunications (Charm el-Cheikh, 2019),</w:t>
      </w:r>
    </w:p>
    <w:p w14:paraId="5034A072" w14:textId="79BFEC96" w:rsidR="00CD6118" w:rsidRPr="00B314C2" w:rsidRDefault="00F620B7" w:rsidP="00095EF6">
      <w:pPr>
        <w:pStyle w:val="Call"/>
        <w:rPr>
          <w:lang w:eastAsia="nl-NL"/>
        </w:rPr>
      </w:pPr>
      <w:r>
        <w:rPr>
          <w:lang w:eastAsia="nl-NL"/>
        </w:rPr>
        <w:t>considérant</w:t>
      </w:r>
    </w:p>
    <w:p w14:paraId="4B213BF7" w14:textId="6E15B7CF" w:rsidR="00764512" w:rsidRDefault="00913732" w:rsidP="004E3E63">
      <w:pPr>
        <w:rPr>
          <w:lang w:val="fr-CH"/>
        </w:rPr>
      </w:pPr>
      <w:r>
        <w:rPr>
          <w:i/>
          <w:iCs/>
          <w:lang w:val="fr-CH"/>
        </w:rPr>
        <w:t>a</w:t>
      </w:r>
      <w:r w:rsidRPr="00913732">
        <w:rPr>
          <w:i/>
          <w:iCs/>
          <w:lang w:val="fr-CH"/>
        </w:rPr>
        <w:t>)</w:t>
      </w:r>
      <w:r w:rsidRPr="00913732">
        <w:rPr>
          <w:lang w:val="fr-CH"/>
        </w:rPr>
        <w:tab/>
        <w:t>que l</w:t>
      </w:r>
      <w:r w:rsidR="00215480">
        <w:rPr>
          <w:lang w:val="fr-CH"/>
        </w:rPr>
        <w:t>'</w:t>
      </w:r>
      <w:r w:rsidRPr="00913732">
        <w:rPr>
          <w:lang w:val="fr-CH"/>
        </w:rPr>
        <w:t xml:space="preserve">on </w:t>
      </w:r>
      <w:r w:rsidR="00F620B7">
        <w:rPr>
          <w:lang w:val="fr-CH"/>
        </w:rPr>
        <w:t xml:space="preserve">pourrait </w:t>
      </w:r>
      <w:r w:rsidRPr="00913732">
        <w:rPr>
          <w:lang w:val="fr-CH"/>
        </w:rPr>
        <w:t>consid</w:t>
      </w:r>
      <w:r w:rsidR="00095EF6">
        <w:rPr>
          <w:lang w:val="fr-CH"/>
        </w:rPr>
        <w:t>é</w:t>
      </w:r>
      <w:r w:rsidRPr="00913732">
        <w:rPr>
          <w:lang w:val="fr-CH"/>
        </w:rPr>
        <w:t>re</w:t>
      </w:r>
      <w:r w:rsidR="00095EF6">
        <w:rPr>
          <w:lang w:val="fr-CH"/>
        </w:rPr>
        <w:t>r</w:t>
      </w:r>
      <w:r w:rsidR="00215480">
        <w:rPr>
          <w:lang w:val="fr-CH"/>
        </w:rPr>
        <w:t xml:space="preserve"> </w:t>
      </w:r>
      <w:r w:rsidRPr="00913732">
        <w:rPr>
          <w:lang w:val="fr-CH"/>
        </w:rPr>
        <w:t>que la limite entre l</w:t>
      </w:r>
      <w:r w:rsidR="00215480">
        <w:rPr>
          <w:lang w:val="fr-CH"/>
        </w:rPr>
        <w:t>'</w:t>
      </w:r>
      <w:r w:rsidRPr="00913732">
        <w:rPr>
          <w:lang w:val="fr-CH"/>
        </w:rPr>
        <w:t>atmosphère terrestre et l</w:t>
      </w:r>
      <w:r w:rsidR="00215480">
        <w:rPr>
          <w:lang w:val="fr-CH"/>
        </w:rPr>
        <w:t>'</w:t>
      </w:r>
      <w:r w:rsidRPr="00913732">
        <w:rPr>
          <w:lang w:val="fr-CH"/>
        </w:rPr>
        <w:t>espace se trouve à 100 km au-dessus de la surface de la Terre;</w:t>
      </w:r>
    </w:p>
    <w:p w14:paraId="0FF66A76" w14:textId="0AF577D9" w:rsidR="00913732" w:rsidRDefault="00913732" w:rsidP="004E3E63">
      <w:pPr>
        <w:rPr>
          <w:lang w:val="fr-CH"/>
        </w:rPr>
      </w:pPr>
      <w:r>
        <w:rPr>
          <w:i/>
          <w:lang w:val="fr-CH"/>
        </w:rPr>
        <w:t>b</w:t>
      </w:r>
      <w:r w:rsidRPr="00913732">
        <w:rPr>
          <w:i/>
          <w:lang w:val="fr-CH"/>
        </w:rPr>
        <w:t>)</w:t>
      </w:r>
      <w:r w:rsidRPr="00913732">
        <w:rPr>
          <w:lang w:val="fr-CH"/>
        </w:rPr>
        <w:tab/>
        <w:t xml:space="preserve">que </w:t>
      </w:r>
      <w:r w:rsidR="00F620B7">
        <w:rPr>
          <w:lang w:val="fr-CH"/>
        </w:rPr>
        <w:t>certains</w:t>
      </w:r>
      <w:r w:rsidRPr="00913732">
        <w:rPr>
          <w:lang w:val="fr-CH"/>
        </w:rPr>
        <w:t xml:space="preserve"> véhicules, </w:t>
      </w:r>
      <w:r w:rsidR="00095EF6">
        <w:rPr>
          <w:lang w:val="fr-CH"/>
        </w:rPr>
        <w:t>y compris</w:t>
      </w:r>
      <w:r w:rsidRPr="00913732">
        <w:rPr>
          <w:lang w:val="fr-CH"/>
        </w:rPr>
        <w:t xml:space="preserve"> des aéronefs,</w:t>
      </w:r>
      <w:r w:rsidR="00215480">
        <w:rPr>
          <w:lang w:val="fr-CH"/>
        </w:rPr>
        <w:t xml:space="preserve"> </w:t>
      </w:r>
      <w:r w:rsidRPr="00913732">
        <w:rPr>
          <w:lang w:val="fr-CH"/>
        </w:rPr>
        <w:t>peuvent voler à une altitude de plus de 100 km en empruntant des trajectoires suborbitales;</w:t>
      </w:r>
    </w:p>
    <w:p w14:paraId="1BD44785" w14:textId="36E8A434" w:rsidR="00913732" w:rsidRDefault="00913732" w:rsidP="004E3E63">
      <w:pPr>
        <w:rPr>
          <w:lang w:val="fr-CH"/>
        </w:rPr>
      </w:pPr>
      <w:r>
        <w:rPr>
          <w:i/>
          <w:iCs/>
          <w:lang w:val="fr-CH"/>
        </w:rPr>
        <w:t>c</w:t>
      </w:r>
      <w:r w:rsidRPr="00913732">
        <w:rPr>
          <w:i/>
          <w:iCs/>
          <w:lang w:val="fr-CH"/>
        </w:rPr>
        <w:t>)</w:t>
      </w:r>
      <w:r w:rsidRPr="00913732">
        <w:rPr>
          <w:lang w:val="fr-CH"/>
        </w:rPr>
        <w:tab/>
        <w:t>que d</w:t>
      </w:r>
      <w:r w:rsidR="00215480">
        <w:rPr>
          <w:lang w:val="fr-CH"/>
        </w:rPr>
        <w:t>'</w:t>
      </w:r>
      <w:r w:rsidRPr="00913732">
        <w:rPr>
          <w:lang w:val="fr-CH"/>
        </w:rPr>
        <w:t>autres véhicules peuvent également évoluer à une altitude de plus de 100 km et emprunter des trajectoires non orbitales</w:t>
      </w:r>
      <w:r w:rsidR="0002626E">
        <w:rPr>
          <w:lang w:val="fr-CH"/>
        </w:rPr>
        <w:t>;</w:t>
      </w:r>
    </w:p>
    <w:p w14:paraId="54CA19D7" w14:textId="4D9F2D0B" w:rsidR="00913732" w:rsidRPr="00F03C97" w:rsidRDefault="00913732" w:rsidP="004E3E63">
      <w:pPr>
        <w:rPr>
          <w:lang w:val="fr-CH"/>
        </w:rPr>
      </w:pPr>
      <w:r w:rsidRPr="00F03C97">
        <w:rPr>
          <w:i/>
          <w:lang w:val="fr-CH"/>
        </w:rPr>
        <w:t>d)</w:t>
      </w:r>
      <w:r w:rsidRPr="00F03C97">
        <w:rPr>
          <w:lang w:val="fr-CH"/>
        </w:rPr>
        <w:tab/>
      </w:r>
      <w:r w:rsidR="00215480">
        <w:rPr>
          <w:lang w:val="fr-CH"/>
        </w:rPr>
        <w:t xml:space="preserve"> </w:t>
      </w:r>
      <w:r w:rsidR="00523414" w:rsidRPr="00F03C97">
        <w:rPr>
          <w:lang w:val="fr-CH"/>
        </w:rPr>
        <w:t>qu</w:t>
      </w:r>
      <w:r w:rsidR="00215480">
        <w:rPr>
          <w:lang w:val="fr-CH"/>
        </w:rPr>
        <w:t>'</w:t>
      </w:r>
      <w:r w:rsidR="00523414" w:rsidRPr="00F03C97">
        <w:rPr>
          <w:lang w:val="fr-CH"/>
        </w:rPr>
        <w:t>un vol suborbital peut être défini comme la trajectoire de vol intentionnelle d</w:t>
      </w:r>
      <w:r w:rsidR="00215480">
        <w:rPr>
          <w:lang w:val="fr-CH"/>
        </w:rPr>
        <w:t>'</w:t>
      </w:r>
      <w:r w:rsidR="00523414" w:rsidRPr="00F03C97">
        <w:rPr>
          <w:lang w:val="fr-CH"/>
        </w:rPr>
        <w:t>un</w:t>
      </w:r>
      <w:r w:rsidR="00215480">
        <w:rPr>
          <w:lang w:val="fr-CH"/>
        </w:rPr>
        <w:t xml:space="preserve"> </w:t>
      </w:r>
      <w:r w:rsidR="00523414" w:rsidRPr="00F03C97">
        <w:rPr>
          <w:lang w:val="fr-CH"/>
        </w:rPr>
        <w:t xml:space="preserve">véhicule </w:t>
      </w:r>
      <w:r w:rsidR="00F03C97" w:rsidRPr="00F03C97">
        <w:rPr>
          <w:lang w:val="fr-CH"/>
        </w:rPr>
        <w:t xml:space="preserve">qui est </w:t>
      </w:r>
      <w:r w:rsidR="00523414" w:rsidRPr="00F03C97">
        <w:rPr>
          <w:lang w:val="fr-CH"/>
        </w:rPr>
        <w:t>censé atteindre la haute atmosphère</w:t>
      </w:r>
      <w:r w:rsidR="00F03C97">
        <w:rPr>
          <w:lang w:val="fr-CH"/>
        </w:rPr>
        <w:t xml:space="preserve"> en effectuant une partie de sa trajectoire de vol dans l</w:t>
      </w:r>
      <w:r w:rsidR="00215480">
        <w:rPr>
          <w:lang w:val="fr-CH"/>
        </w:rPr>
        <w:t>'</w:t>
      </w:r>
      <w:r w:rsidR="00F03C97">
        <w:rPr>
          <w:lang w:val="fr-CH"/>
        </w:rPr>
        <w:t>espace</w:t>
      </w:r>
      <w:r w:rsidR="00215480">
        <w:rPr>
          <w:lang w:val="fr-CH"/>
        </w:rPr>
        <w:t xml:space="preserve"> </w:t>
      </w:r>
      <w:r w:rsidR="00F03C97">
        <w:rPr>
          <w:color w:val="000000"/>
        </w:rPr>
        <w:t>sans parcourir une orbite complète autour de la Terre avant de regagner la surface de la Terre;</w:t>
      </w:r>
    </w:p>
    <w:p w14:paraId="4A1D62DF" w14:textId="7CB85186" w:rsidR="00913732" w:rsidRDefault="00811916" w:rsidP="004E3E63">
      <w:pPr>
        <w:rPr>
          <w:lang w:val="fr-CH"/>
        </w:rPr>
      </w:pPr>
      <w:r w:rsidRPr="00A82125">
        <w:rPr>
          <w:i/>
          <w:iCs/>
          <w:lang w:val="fr-CH"/>
        </w:rPr>
        <w:t>e)</w:t>
      </w:r>
      <w:r>
        <w:rPr>
          <w:lang w:val="fr-CH"/>
        </w:rPr>
        <w:tab/>
      </w:r>
      <w:r w:rsidR="00F03C97">
        <w:rPr>
          <w:lang w:val="fr-CH"/>
        </w:rPr>
        <w:t>que l</w:t>
      </w:r>
      <w:r w:rsidRPr="00811916">
        <w:rPr>
          <w:lang w:val="fr-CH"/>
        </w:rPr>
        <w:t>es véhicules suborbitaux peuvent accomplir différentes missions (par exemple déploiement d</w:t>
      </w:r>
      <w:r w:rsidR="00215480">
        <w:rPr>
          <w:lang w:val="fr-CH"/>
        </w:rPr>
        <w:t>'</w:t>
      </w:r>
      <w:r w:rsidRPr="00811916">
        <w:rPr>
          <w:lang w:val="fr-CH"/>
        </w:rPr>
        <w:t xml:space="preserve">un engin spatial, réalisation de recherches scientifiques ou transfert) avant de </w:t>
      </w:r>
      <w:r w:rsidR="00095EF6">
        <w:rPr>
          <w:lang w:val="fr-CH"/>
        </w:rPr>
        <w:t>regagner</w:t>
      </w:r>
      <w:r w:rsidRPr="00811916">
        <w:rPr>
          <w:lang w:val="fr-CH"/>
        </w:rPr>
        <w:t xml:space="preserve"> la surface de la Terre sans effectuer une orbite complète autour de la Terre</w:t>
      </w:r>
      <w:r>
        <w:rPr>
          <w:lang w:val="fr-CH"/>
        </w:rPr>
        <w:t>;</w:t>
      </w:r>
    </w:p>
    <w:p w14:paraId="7470320C" w14:textId="625DD661" w:rsidR="00811916" w:rsidRDefault="00811916" w:rsidP="004E3E63">
      <w:pPr>
        <w:rPr>
          <w:lang w:val="fr-CH"/>
        </w:rPr>
      </w:pPr>
      <w:r w:rsidRPr="00A82125">
        <w:rPr>
          <w:i/>
          <w:iCs/>
          <w:lang w:val="fr-CH"/>
        </w:rPr>
        <w:lastRenderedPageBreak/>
        <w:t>f)</w:t>
      </w:r>
      <w:r>
        <w:rPr>
          <w:lang w:val="fr-CH"/>
        </w:rPr>
        <w:tab/>
      </w:r>
      <w:r w:rsidR="00F03C97">
        <w:rPr>
          <w:lang w:val="fr-CH"/>
        </w:rPr>
        <w:t>que, p</w:t>
      </w:r>
      <w:r w:rsidRPr="00811916">
        <w:rPr>
          <w:lang w:val="fr-CH"/>
        </w:rPr>
        <w:t>endant leur transition vers et depuis une haute altitude, y compris celles vers et depuis l</w:t>
      </w:r>
      <w:r w:rsidR="00215480">
        <w:rPr>
          <w:lang w:val="fr-CH"/>
        </w:rPr>
        <w:t>'</w:t>
      </w:r>
      <w:r w:rsidRPr="00811916">
        <w:rPr>
          <w:lang w:val="fr-CH"/>
        </w:rPr>
        <w:t>espace, les véhicules suborbitaux d</w:t>
      </w:r>
      <w:r w:rsidR="00F03C97">
        <w:rPr>
          <w:lang w:val="fr-CH"/>
        </w:rPr>
        <w:t xml:space="preserve">evraient </w:t>
      </w:r>
      <w:r w:rsidRPr="00811916">
        <w:rPr>
          <w:lang w:val="fr-CH"/>
        </w:rPr>
        <w:t>partager l</w:t>
      </w:r>
      <w:r w:rsidR="00215480">
        <w:rPr>
          <w:lang w:val="fr-CH"/>
        </w:rPr>
        <w:t>'</w:t>
      </w:r>
      <w:r w:rsidRPr="00811916">
        <w:rPr>
          <w:lang w:val="fr-CH"/>
        </w:rPr>
        <w:t>espace aérien utilisé par les aéronefs traditionnels en toute sécurité</w:t>
      </w:r>
      <w:r>
        <w:rPr>
          <w:lang w:val="fr-CH"/>
        </w:rPr>
        <w:t>;</w:t>
      </w:r>
    </w:p>
    <w:p w14:paraId="2920AE28" w14:textId="3F65FB82" w:rsidR="00811916" w:rsidRDefault="00762CB8" w:rsidP="004E3E63">
      <w:pPr>
        <w:rPr>
          <w:lang w:val="fr-CH"/>
        </w:rPr>
      </w:pPr>
      <w:r>
        <w:rPr>
          <w:i/>
          <w:iCs/>
          <w:lang w:val="fr-CH"/>
        </w:rPr>
        <w:t>g</w:t>
      </w:r>
      <w:r w:rsidRPr="00762CB8">
        <w:rPr>
          <w:i/>
          <w:iCs/>
          <w:lang w:val="fr-CH"/>
        </w:rPr>
        <w:t>)</w:t>
      </w:r>
      <w:r w:rsidRPr="00762CB8">
        <w:rPr>
          <w:lang w:val="fr-CH"/>
        </w:rPr>
        <w:tab/>
        <w:t>qu</w:t>
      </w:r>
      <w:r w:rsidR="00215480">
        <w:rPr>
          <w:lang w:val="fr-CH"/>
        </w:rPr>
        <w:t>'</w:t>
      </w:r>
      <w:r w:rsidRPr="00762CB8">
        <w:rPr>
          <w:lang w:val="fr-CH"/>
        </w:rPr>
        <w:t>il se peut que les stations placées à bord de véhicules suborbitaux utilisent des fréquences attribuées aux services spatiaux et aux services de Terre à des fins de télémesure, poursuite et commande (TTC)</w:t>
      </w:r>
      <w:r w:rsidR="00215480">
        <w:rPr>
          <w:lang w:val="fr-CH"/>
        </w:rPr>
        <w:t>,</w:t>
      </w:r>
      <w:r w:rsidRPr="00762CB8">
        <w:rPr>
          <w:lang w:val="fr-CH"/>
        </w:rPr>
        <w:t xml:space="preserve"> </w:t>
      </w:r>
      <w:r w:rsidR="00F03C97">
        <w:rPr>
          <w:lang w:val="fr-CH"/>
        </w:rPr>
        <w:t>de</w:t>
      </w:r>
      <w:r w:rsidRPr="00762CB8">
        <w:rPr>
          <w:lang w:val="fr-CH"/>
        </w:rPr>
        <w:t xml:space="preserve"> communications vocales,</w:t>
      </w:r>
      <w:r w:rsidR="00F03C97">
        <w:rPr>
          <w:lang w:val="fr-CH"/>
        </w:rPr>
        <w:t xml:space="preserve"> de navigation, de surveillance et de</w:t>
      </w:r>
      <w:r w:rsidR="00F03C97" w:rsidRPr="00F03C97">
        <w:rPr>
          <w:color w:val="000000"/>
        </w:rPr>
        <w:t xml:space="preserve"> </w:t>
      </w:r>
      <w:r w:rsidR="00F03C97">
        <w:rPr>
          <w:color w:val="000000"/>
        </w:rPr>
        <w:t>sécurité des personnes et des biens,</w:t>
      </w:r>
    </w:p>
    <w:p w14:paraId="5BE54ED4" w14:textId="7A8F7AD2" w:rsidR="00762CB8" w:rsidRPr="004D6ED7" w:rsidRDefault="00762CB8" w:rsidP="00095EF6">
      <w:pPr>
        <w:pStyle w:val="Call"/>
        <w:rPr>
          <w:lang w:val="fr-CH"/>
        </w:rPr>
      </w:pPr>
      <w:r w:rsidRPr="004D6ED7">
        <w:rPr>
          <w:lang w:val="fr-CH"/>
        </w:rPr>
        <w:t>reco</w:t>
      </w:r>
      <w:r w:rsidR="00A03E4C">
        <w:rPr>
          <w:lang w:val="fr-CH"/>
        </w:rPr>
        <w:t>nnaissant</w:t>
      </w:r>
    </w:p>
    <w:p w14:paraId="6D254863" w14:textId="3D738240" w:rsidR="00762CB8" w:rsidRDefault="00762CB8" w:rsidP="004E3E63">
      <w:pPr>
        <w:rPr>
          <w:lang w:val="fr-CH"/>
        </w:rPr>
      </w:pPr>
      <w:r w:rsidRPr="004D6ED7">
        <w:rPr>
          <w:i/>
          <w:iCs/>
          <w:lang w:val="fr-CH"/>
        </w:rPr>
        <w:t>a)</w:t>
      </w:r>
      <w:r w:rsidRPr="004D6ED7">
        <w:rPr>
          <w:lang w:val="fr-CH"/>
        </w:rPr>
        <w:tab/>
      </w:r>
      <w:r w:rsidR="00F4782D">
        <w:rPr>
          <w:lang w:val="fr-CH"/>
        </w:rPr>
        <w:t>qu</w:t>
      </w:r>
      <w:r w:rsidR="00215480">
        <w:rPr>
          <w:lang w:val="fr-CH"/>
        </w:rPr>
        <w:t>'</w:t>
      </w:r>
      <w:r w:rsidRPr="00700BA5">
        <w:rPr>
          <w:lang w:val="fr-CH"/>
        </w:rPr>
        <w:t>il n</w:t>
      </w:r>
      <w:r w:rsidR="00215480">
        <w:rPr>
          <w:lang w:val="fr-CH"/>
        </w:rPr>
        <w:t>'</w:t>
      </w:r>
      <w:r w:rsidRPr="00700BA5">
        <w:rPr>
          <w:lang w:val="fr-CH"/>
        </w:rPr>
        <w:t>existe pas de</w:t>
      </w:r>
      <w:r w:rsidR="00043BEF">
        <w:rPr>
          <w:lang w:val="fr-CH"/>
        </w:rPr>
        <w:t xml:space="preserve"> délimitation juridique </w:t>
      </w:r>
      <w:r w:rsidR="00043BEF">
        <w:rPr>
          <w:color w:val="000000"/>
        </w:rPr>
        <w:t xml:space="preserve">arrêtée </w:t>
      </w:r>
      <w:r w:rsidRPr="00700BA5">
        <w:rPr>
          <w:lang w:val="fr-CH"/>
        </w:rPr>
        <w:t>au niveau international entre l</w:t>
      </w:r>
      <w:r w:rsidR="00215480">
        <w:rPr>
          <w:lang w:val="fr-CH"/>
        </w:rPr>
        <w:t>'</w:t>
      </w:r>
      <w:r w:rsidRPr="00700BA5">
        <w:rPr>
          <w:lang w:val="fr-CH"/>
        </w:rPr>
        <w:t>atmosphère terrestre et l</w:t>
      </w:r>
      <w:r w:rsidR="00215480">
        <w:rPr>
          <w:lang w:val="fr-CH"/>
        </w:rPr>
        <w:t>'</w:t>
      </w:r>
      <w:r w:rsidRPr="00700BA5">
        <w:rPr>
          <w:lang w:val="fr-CH"/>
        </w:rPr>
        <w:t>espace</w:t>
      </w:r>
      <w:r w:rsidR="00701CCC">
        <w:rPr>
          <w:lang w:val="fr-CH"/>
        </w:rPr>
        <w:t>;</w:t>
      </w:r>
    </w:p>
    <w:p w14:paraId="2AB108B8" w14:textId="1FCED7CC" w:rsidR="00701CCC" w:rsidRDefault="00701CCC" w:rsidP="004E3E63">
      <w:r w:rsidRPr="00E864D5">
        <w:rPr>
          <w:i/>
          <w:iCs/>
        </w:rPr>
        <w:t>b)</w:t>
      </w:r>
      <w:r>
        <w:tab/>
        <w:t xml:space="preserve">que les dispositions réglementaires actuelles applicables </w:t>
      </w:r>
      <w:r w:rsidR="00043BEF">
        <w:t xml:space="preserve">aux services de Terre et </w:t>
      </w:r>
      <w:r>
        <w:t>aux services spatiaux</w:t>
      </w:r>
      <w:r w:rsidR="00215480">
        <w:t xml:space="preserve"> </w:t>
      </w:r>
      <w:r>
        <w:t>peuvent ne pas convenir pour la reconnaissance internationale de l</w:t>
      </w:r>
      <w:r w:rsidR="00215480">
        <w:t>'</w:t>
      </w:r>
      <w:r>
        <w:t>utilisation d</w:t>
      </w:r>
      <w:r w:rsidR="00215480">
        <w:t>'</w:t>
      </w:r>
      <w:r>
        <w:t>assignations de fréquences pertinentes par les stations placées à bord de véhicules suborbitaux,</w:t>
      </w:r>
    </w:p>
    <w:p w14:paraId="389B4B01" w14:textId="16DDBD0B" w:rsidR="00701CCC" w:rsidRPr="00095EF6" w:rsidRDefault="00701CCC" w:rsidP="00095EF6">
      <w:pPr>
        <w:pStyle w:val="Call"/>
        <w:rPr>
          <w:lang w:val="fr-CH"/>
        </w:rPr>
      </w:pPr>
      <w:r w:rsidRPr="00095EF6">
        <w:rPr>
          <w:lang w:val="fr-CH"/>
        </w:rPr>
        <w:t>not</w:t>
      </w:r>
      <w:r w:rsidR="00A03E4C" w:rsidRPr="00095EF6">
        <w:rPr>
          <w:lang w:val="fr-CH"/>
        </w:rPr>
        <w:t>ant</w:t>
      </w:r>
    </w:p>
    <w:p w14:paraId="2F0E06E8" w14:textId="7D242D32" w:rsidR="00043BEF" w:rsidRDefault="00701CCC" w:rsidP="004E3E63">
      <w:pPr>
        <w:rPr>
          <w:color w:val="000000"/>
        </w:rPr>
      </w:pPr>
      <w:r w:rsidRPr="00043BEF">
        <w:rPr>
          <w:i/>
          <w:lang w:val="fr-CH"/>
        </w:rPr>
        <w:t>a)</w:t>
      </w:r>
      <w:r w:rsidRPr="00043BEF">
        <w:rPr>
          <w:lang w:val="fr-CH"/>
        </w:rPr>
        <w:tab/>
      </w:r>
      <w:r w:rsidR="00043BEF" w:rsidRPr="00043BEF">
        <w:rPr>
          <w:lang w:val="fr-CH"/>
        </w:rPr>
        <w:t>que le rapport</w:t>
      </w:r>
      <w:r w:rsidRPr="00043BEF">
        <w:rPr>
          <w:lang w:val="fr-CH"/>
        </w:rPr>
        <w:t xml:space="preserve"> </w:t>
      </w:r>
      <w:r w:rsidR="00F620B7" w:rsidRPr="00043BEF">
        <w:rPr>
          <w:lang w:val="fr-CH"/>
        </w:rPr>
        <w:t>UIT</w:t>
      </w:r>
      <w:r w:rsidRPr="00043BEF">
        <w:rPr>
          <w:lang w:val="fr-CH"/>
        </w:rPr>
        <w:t>-R M.[SUBORBITAL VEHICLES]</w:t>
      </w:r>
      <w:r w:rsidRPr="00043BEF">
        <w:rPr>
          <w:rStyle w:val="FootnoteReference"/>
          <w:lang w:val="fr-CH"/>
        </w:rPr>
        <w:footnoteReference w:customMarkFollows="1" w:id="1"/>
        <w:t>*</w:t>
      </w:r>
      <w:r w:rsidR="00215480">
        <w:rPr>
          <w:lang w:val="fr-CH"/>
        </w:rPr>
        <w:t xml:space="preserve"> </w:t>
      </w:r>
      <w:r w:rsidR="00043BEF" w:rsidRPr="00043BEF">
        <w:rPr>
          <w:lang w:val="fr-CH"/>
        </w:rPr>
        <w:t xml:space="preserve">fournit des informations sur </w:t>
      </w:r>
      <w:r w:rsidR="00043BEF">
        <w:rPr>
          <w:color w:val="000000"/>
        </w:rPr>
        <w:t>l</w:t>
      </w:r>
      <w:r w:rsidR="00215480">
        <w:rPr>
          <w:color w:val="000000"/>
        </w:rPr>
        <w:t>'</w:t>
      </w:r>
      <w:r w:rsidR="00043BEF">
        <w:rPr>
          <w:color w:val="000000"/>
        </w:rPr>
        <w:t>état actuel des connaissances</w:t>
      </w:r>
      <w:r w:rsidR="00043BEF">
        <w:rPr>
          <w:lang w:val="fr-CH"/>
        </w:rPr>
        <w:t xml:space="preserve"> concernant les </w:t>
      </w:r>
      <w:r w:rsidR="00043BEF" w:rsidRPr="00043BEF">
        <w:rPr>
          <w:lang w:val="fr-CH"/>
        </w:rPr>
        <w:t>radiocommunications pour les véhicules suborbitaux, et compren</w:t>
      </w:r>
      <w:r w:rsidR="00043BEF">
        <w:rPr>
          <w:lang w:val="fr-CH"/>
        </w:rPr>
        <w:t>d</w:t>
      </w:r>
      <w:r w:rsidR="00043BEF" w:rsidRPr="00043BEF">
        <w:rPr>
          <w:lang w:val="fr-CH"/>
        </w:rPr>
        <w:t xml:space="preserve"> notamment une description de la trajectoire du vol, des catégories de véhicules suborbitaux, des études techniques relatives</w:t>
      </w:r>
      <w:r w:rsidR="00043BEF">
        <w:rPr>
          <w:lang w:val="fr-CH"/>
        </w:rPr>
        <w:t xml:space="preserve"> aux systèmes d</w:t>
      </w:r>
      <w:r w:rsidR="00215480">
        <w:rPr>
          <w:lang w:val="fr-CH"/>
        </w:rPr>
        <w:t>'</w:t>
      </w:r>
      <w:r w:rsidR="00043BEF">
        <w:rPr>
          <w:lang w:val="fr-CH"/>
        </w:rPr>
        <w:t xml:space="preserve">avionique qui pourraient être utilisés par des véhicules suborbitaux et </w:t>
      </w:r>
      <w:r w:rsidR="00095EF6">
        <w:rPr>
          <w:lang w:val="fr-CH"/>
        </w:rPr>
        <w:t>des</w:t>
      </w:r>
      <w:r w:rsidR="00043BEF">
        <w:rPr>
          <w:lang w:val="fr-CH"/>
        </w:rPr>
        <w:t xml:space="preserve"> attributions </w:t>
      </w:r>
      <w:r w:rsidR="00043BEF">
        <w:rPr>
          <w:color w:val="000000"/>
        </w:rPr>
        <w:t>aux services pour ces systèmes;</w:t>
      </w:r>
    </w:p>
    <w:p w14:paraId="68967105" w14:textId="0B479175" w:rsidR="00701CCC" w:rsidRPr="00B8750F" w:rsidRDefault="00701CCC" w:rsidP="004E3E63">
      <w:pPr>
        <w:rPr>
          <w:lang w:val="fr-CH"/>
        </w:rPr>
      </w:pPr>
      <w:r w:rsidRPr="00B8750F">
        <w:rPr>
          <w:i/>
          <w:lang w:val="fr-CH"/>
        </w:rPr>
        <w:t>b)</w:t>
      </w:r>
      <w:r w:rsidRPr="00B8750F">
        <w:rPr>
          <w:lang w:val="fr-CH"/>
        </w:rPr>
        <w:tab/>
      </w:r>
      <w:r w:rsidR="00B8750F" w:rsidRPr="00B8750F">
        <w:rPr>
          <w:rFonts w:eastAsia="SimSun"/>
          <w:lang w:val="fr-CH" w:eastAsia="zh-CN"/>
        </w:rPr>
        <w:t xml:space="preserve">que les dispositions du numéro </w:t>
      </w:r>
      <w:r w:rsidR="00B8750F" w:rsidRPr="00B8750F">
        <w:rPr>
          <w:b/>
          <w:lang w:val="fr-CH"/>
        </w:rPr>
        <w:t>4.10</w:t>
      </w:r>
      <w:r w:rsidR="00B8750F" w:rsidRPr="00B8750F">
        <w:rPr>
          <w:lang w:val="fr-CH"/>
        </w:rPr>
        <w:t xml:space="preserve"> </w:t>
      </w:r>
      <w:r w:rsidR="00B8750F" w:rsidRPr="00B8750F">
        <w:rPr>
          <w:rFonts w:eastAsia="SimSun"/>
          <w:lang w:val="fr-CH" w:eastAsia="zh-CN"/>
        </w:rPr>
        <w:t>peuvent s</w:t>
      </w:r>
      <w:r w:rsidR="00215480">
        <w:rPr>
          <w:rFonts w:eastAsia="SimSun"/>
          <w:lang w:val="fr-CH" w:eastAsia="zh-CN"/>
        </w:rPr>
        <w:t>'</w:t>
      </w:r>
      <w:r w:rsidR="00B8750F" w:rsidRPr="00B8750F">
        <w:rPr>
          <w:rFonts w:eastAsia="SimSun"/>
          <w:lang w:val="fr-CH" w:eastAsia="zh-CN"/>
        </w:rPr>
        <w:t>appliquer à certains aspects de ces opérations,</w:t>
      </w:r>
    </w:p>
    <w:p w14:paraId="6E7AB976" w14:textId="51A0DD31" w:rsidR="00701CCC" w:rsidRPr="00B8750F" w:rsidRDefault="00B8750F" w:rsidP="00095EF6">
      <w:pPr>
        <w:pStyle w:val="Call"/>
        <w:rPr>
          <w:lang w:val="fr-CH"/>
        </w:rPr>
      </w:pPr>
      <w:r>
        <w:rPr>
          <w:color w:val="000000"/>
        </w:rPr>
        <w:t>décide d</w:t>
      </w:r>
      <w:r w:rsidR="00215480">
        <w:rPr>
          <w:color w:val="000000"/>
        </w:rPr>
        <w:t>'</w:t>
      </w:r>
      <w:r>
        <w:rPr>
          <w:color w:val="000000"/>
        </w:rPr>
        <w:t>inviter la Conférence mondiale des radiocommunications de 2023</w:t>
      </w:r>
    </w:p>
    <w:p w14:paraId="7529CC3D" w14:textId="0500CCFD" w:rsidR="00701CCC" w:rsidRPr="00B8750F" w:rsidRDefault="00B8750F" w:rsidP="00095EF6">
      <w:pPr>
        <w:rPr>
          <w:iCs/>
          <w:lang w:val="fr-CH"/>
        </w:rPr>
      </w:pPr>
      <w:r>
        <w:rPr>
          <w:iCs/>
          <w:lang w:val="fr-CH"/>
        </w:rPr>
        <w:t xml:space="preserve">à </w:t>
      </w:r>
      <w:r w:rsidRPr="00B8750F">
        <w:rPr>
          <w:iCs/>
          <w:lang w:val="fr-CH"/>
        </w:rPr>
        <w:t xml:space="preserve">prendre les mesures appropriées, compte tenu des résultats des études de </w:t>
      </w:r>
      <w:r>
        <w:rPr>
          <w:iCs/>
          <w:lang w:val="fr-CH"/>
        </w:rPr>
        <w:t>l</w:t>
      </w:r>
      <w:r w:rsidR="00215480">
        <w:rPr>
          <w:iCs/>
          <w:lang w:val="fr-CH"/>
        </w:rPr>
        <w:t>'</w:t>
      </w:r>
      <w:r w:rsidRPr="00B8750F">
        <w:rPr>
          <w:lang w:val="fr-CH"/>
        </w:rPr>
        <w:t>UIT-R</w:t>
      </w:r>
      <w:r w:rsidRPr="00B8750F">
        <w:rPr>
          <w:iCs/>
          <w:lang w:val="fr-CH"/>
        </w:rPr>
        <w:t xml:space="preserve">, concernant la mise en œuvre </w:t>
      </w:r>
      <w:r>
        <w:rPr>
          <w:iCs/>
          <w:lang w:val="fr-CH"/>
        </w:rPr>
        <w:t>de stations placées à bord</w:t>
      </w:r>
      <w:r w:rsidR="00215480">
        <w:rPr>
          <w:iCs/>
          <w:lang w:val="fr-CH"/>
        </w:rPr>
        <w:t xml:space="preserve"> </w:t>
      </w:r>
      <w:r>
        <w:rPr>
          <w:iCs/>
          <w:lang w:val="fr-CH"/>
        </w:rPr>
        <w:t xml:space="preserve">de véhicules </w:t>
      </w:r>
      <w:r>
        <w:rPr>
          <w:lang w:val="fr-CH"/>
        </w:rPr>
        <w:t>suborbitaux,</w:t>
      </w:r>
    </w:p>
    <w:p w14:paraId="5F8D4169" w14:textId="16041B37" w:rsidR="00701CCC" w:rsidRPr="00B8750F" w:rsidRDefault="00B8750F" w:rsidP="00095EF6">
      <w:pPr>
        <w:pStyle w:val="Call"/>
        <w:rPr>
          <w:lang w:val="fr-CH"/>
        </w:rPr>
      </w:pPr>
      <w:r>
        <w:rPr>
          <w:color w:val="000000"/>
        </w:rPr>
        <w:t>décide d</w:t>
      </w:r>
      <w:r w:rsidR="00215480">
        <w:rPr>
          <w:color w:val="000000"/>
        </w:rPr>
        <w:t>'</w:t>
      </w:r>
      <w:r>
        <w:rPr>
          <w:color w:val="000000"/>
        </w:rPr>
        <w:t>inviter le Secteur des radiocommunications de</w:t>
      </w:r>
      <w:r w:rsidR="00215480">
        <w:rPr>
          <w:color w:val="000000"/>
        </w:rPr>
        <w:t xml:space="preserve"> </w:t>
      </w:r>
      <w:r>
        <w:rPr>
          <w:color w:val="000000"/>
        </w:rPr>
        <w:t>l</w:t>
      </w:r>
      <w:r w:rsidR="00215480">
        <w:rPr>
          <w:color w:val="000000"/>
        </w:rPr>
        <w:t>'</w:t>
      </w:r>
      <w:r>
        <w:rPr>
          <w:color w:val="000000"/>
        </w:rPr>
        <w:t>UIT</w:t>
      </w:r>
      <w:r>
        <w:rPr>
          <w:lang w:val="fr-CH"/>
        </w:rPr>
        <w:t xml:space="preserve"> </w:t>
      </w:r>
    </w:p>
    <w:p w14:paraId="49133FB9" w14:textId="5A87E95A" w:rsidR="00701CCC" w:rsidRPr="00B8750F" w:rsidRDefault="00701CCC" w:rsidP="00095EF6">
      <w:pPr>
        <w:rPr>
          <w:rFonts w:eastAsia="MS PMincho"/>
          <w:lang w:val="fr-CH" w:eastAsia="ja-JP"/>
        </w:rPr>
      </w:pPr>
      <w:r w:rsidRPr="00B8750F">
        <w:rPr>
          <w:rFonts w:eastAsia="SimSun"/>
          <w:lang w:val="fr-CH" w:eastAsia="zh-CN"/>
        </w:rPr>
        <w:t>1</w:t>
      </w:r>
      <w:r w:rsidRPr="00B8750F">
        <w:rPr>
          <w:rFonts w:eastAsia="SimSun"/>
          <w:lang w:val="fr-CH" w:eastAsia="zh-CN"/>
        </w:rPr>
        <w:tab/>
      </w:r>
      <w:r w:rsidR="004E3E63">
        <w:rPr>
          <w:rFonts w:eastAsia="SimSun"/>
          <w:lang w:val="fr-CH" w:eastAsia="zh-CN"/>
        </w:rPr>
        <w:t xml:space="preserve">à </w:t>
      </w:r>
      <w:r w:rsidR="00B8750F" w:rsidRPr="00B8750F">
        <w:rPr>
          <w:rFonts w:eastAsia="SimSun"/>
          <w:lang w:val="fr-CH" w:eastAsia="zh-CN"/>
        </w:rPr>
        <w:t>étudier les besoins en matière de spectre pour les communications entre les stations</w:t>
      </w:r>
      <w:r w:rsidR="00B8750F" w:rsidRPr="00B8750F">
        <w:rPr>
          <w:iCs/>
          <w:lang w:val="fr-CH"/>
        </w:rPr>
        <w:t xml:space="preserve"> </w:t>
      </w:r>
      <w:r w:rsidR="00B8750F">
        <w:rPr>
          <w:iCs/>
          <w:lang w:val="fr-CH"/>
        </w:rPr>
        <w:t xml:space="preserve">placées à bord de véhicules </w:t>
      </w:r>
      <w:r w:rsidR="00B8750F">
        <w:rPr>
          <w:lang w:val="fr-CH"/>
        </w:rPr>
        <w:t>suborbitaux et les stations de Terre ainsi que les stations spatiales assurant</w:t>
      </w:r>
      <w:r w:rsidR="00215480">
        <w:rPr>
          <w:lang w:val="fr-CH"/>
        </w:rPr>
        <w:t xml:space="preserve">, </w:t>
      </w:r>
      <w:r w:rsidR="00B8750F">
        <w:rPr>
          <w:lang w:val="fr-CH"/>
        </w:rPr>
        <w:t>notamment</w:t>
      </w:r>
      <w:r w:rsidR="00215480">
        <w:rPr>
          <w:lang w:val="fr-CH"/>
        </w:rPr>
        <w:t xml:space="preserve">, </w:t>
      </w:r>
      <w:r w:rsidR="00B8750F">
        <w:rPr>
          <w:lang w:val="fr-CH"/>
        </w:rPr>
        <w:t xml:space="preserve">des fonctions de communication vocale/de données, de navigation, de surveillance, de télémesure, poursuite et télécommande </w:t>
      </w:r>
      <w:r w:rsidR="00B8750F" w:rsidRPr="00B8750F">
        <w:rPr>
          <w:rFonts w:eastAsia="MS PMincho"/>
          <w:lang w:val="fr-CH" w:eastAsia="ja-JP"/>
        </w:rPr>
        <w:t xml:space="preserve">(TT&amp;C) </w:t>
      </w:r>
      <w:r w:rsidR="00B8750F">
        <w:rPr>
          <w:lang w:val="fr-CH"/>
        </w:rPr>
        <w:t xml:space="preserve">et de sécurité </w:t>
      </w:r>
      <w:r w:rsidR="00B8750F">
        <w:rPr>
          <w:color w:val="000000"/>
        </w:rPr>
        <w:t>des personnes et des biens</w:t>
      </w:r>
      <w:r w:rsidR="00095EF6">
        <w:rPr>
          <w:color w:val="000000"/>
        </w:rPr>
        <w:t>;</w:t>
      </w:r>
    </w:p>
    <w:p w14:paraId="0280693D" w14:textId="3573BA62" w:rsidR="00701CCC" w:rsidRPr="00B8750F" w:rsidRDefault="00701CCC" w:rsidP="00095EF6">
      <w:pPr>
        <w:rPr>
          <w:rFonts w:eastAsia="MS PMincho"/>
          <w:lang w:val="fr-CH" w:eastAsia="ja-JP"/>
        </w:rPr>
      </w:pPr>
      <w:r w:rsidRPr="00B8750F">
        <w:rPr>
          <w:rFonts w:eastAsia="SimSun"/>
          <w:lang w:val="fr-CH" w:eastAsia="zh-CN"/>
        </w:rPr>
        <w:t>2</w:t>
      </w:r>
      <w:r w:rsidRPr="00B8750F">
        <w:rPr>
          <w:rFonts w:eastAsia="SimSun"/>
          <w:lang w:val="fr-CH" w:eastAsia="zh-CN"/>
        </w:rPr>
        <w:tab/>
      </w:r>
      <w:r w:rsidR="00B8750F">
        <w:rPr>
          <w:color w:val="000000"/>
        </w:rPr>
        <w:t>à étudier les modifications qu</w:t>
      </w:r>
      <w:r w:rsidR="00215480">
        <w:rPr>
          <w:color w:val="000000"/>
        </w:rPr>
        <w:t>'</w:t>
      </w:r>
      <w:r w:rsidR="00B8750F">
        <w:rPr>
          <w:color w:val="000000"/>
        </w:rPr>
        <w:t>il convient d</w:t>
      </w:r>
      <w:r w:rsidR="00215480">
        <w:rPr>
          <w:color w:val="000000"/>
        </w:rPr>
        <w:t>'</w:t>
      </w:r>
      <w:r w:rsidR="00B8750F">
        <w:rPr>
          <w:color w:val="000000"/>
        </w:rPr>
        <w:t>apporter aux dispositions existantes pour tenir compte des stations</w:t>
      </w:r>
      <w:r w:rsidR="00B8750F" w:rsidRPr="00B8750F">
        <w:rPr>
          <w:iCs/>
          <w:lang w:val="fr-CH"/>
        </w:rPr>
        <w:t xml:space="preserve"> </w:t>
      </w:r>
      <w:r w:rsidR="00B8750F">
        <w:rPr>
          <w:iCs/>
          <w:lang w:val="fr-CH"/>
        </w:rPr>
        <w:t>placées à bord</w:t>
      </w:r>
      <w:r w:rsidR="00215480">
        <w:rPr>
          <w:iCs/>
          <w:lang w:val="fr-CH"/>
        </w:rPr>
        <w:t xml:space="preserve"> </w:t>
      </w:r>
      <w:r w:rsidR="00B8750F">
        <w:rPr>
          <w:iCs/>
          <w:lang w:val="fr-CH"/>
        </w:rPr>
        <w:t xml:space="preserve">de véhicules </w:t>
      </w:r>
      <w:r w:rsidR="00B8750F">
        <w:rPr>
          <w:lang w:val="fr-CH"/>
        </w:rPr>
        <w:t>suborbitaux;</w:t>
      </w:r>
    </w:p>
    <w:p w14:paraId="1351F226" w14:textId="35276D34" w:rsidR="00701CCC" w:rsidRPr="00B8750F" w:rsidRDefault="00701CCC" w:rsidP="00095EF6">
      <w:pPr>
        <w:rPr>
          <w:rFonts w:eastAsia="MS PMincho"/>
          <w:lang w:val="fr-CH" w:eastAsia="ja-JP"/>
        </w:rPr>
      </w:pPr>
      <w:r w:rsidRPr="00B8750F">
        <w:rPr>
          <w:rFonts w:eastAsia="SimSun"/>
          <w:lang w:val="fr-CH" w:eastAsia="zh-CN"/>
        </w:rPr>
        <w:t>3</w:t>
      </w:r>
      <w:r w:rsidRPr="00B8750F">
        <w:rPr>
          <w:rFonts w:eastAsia="SimSun"/>
          <w:lang w:val="fr-CH" w:eastAsia="zh-CN"/>
        </w:rPr>
        <w:tab/>
      </w:r>
      <w:r w:rsidR="00095EF6">
        <w:rPr>
          <w:color w:val="000000"/>
        </w:rPr>
        <w:t>à</w:t>
      </w:r>
      <w:r w:rsidR="00095EF6" w:rsidRPr="00B8750F">
        <w:rPr>
          <w:rFonts w:eastAsia="SimSun"/>
          <w:lang w:val="fr-CH" w:eastAsia="zh-CN"/>
        </w:rPr>
        <w:t xml:space="preserve"> </w:t>
      </w:r>
      <w:r w:rsidR="00B8750F" w:rsidRPr="00B8750F">
        <w:rPr>
          <w:rFonts w:eastAsia="SimSun"/>
          <w:lang w:val="fr-CH" w:eastAsia="zh-CN"/>
        </w:rPr>
        <w:t>mener</w:t>
      </w:r>
      <w:r w:rsidRPr="00B8750F">
        <w:rPr>
          <w:rFonts w:eastAsia="SimSun" w:hint="eastAsia"/>
          <w:lang w:val="fr-CH" w:eastAsia="zh-CN"/>
        </w:rPr>
        <w:t xml:space="preserve"> </w:t>
      </w:r>
      <w:r w:rsidR="00B8750F" w:rsidRPr="00B8750F">
        <w:rPr>
          <w:color w:val="000000"/>
          <w:lang w:val="fr-CH"/>
        </w:rPr>
        <w:t>des études de partage et de compatibilité avec les services existants disposant d</w:t>
      </w:r>
      <w:r w:rsidR="00215480">
        <w:rPr>
          <w:color w:val="000000"/>
          <w:lang w:val="fr-CH"/>
        </w:rPr>
        <w:t>'</w:t>
      </w:r>
      <w:r w:rsidR="00B8750F" w:rsidRPr="00B8750F">
        <w:rPr>
          <w:color w:val="000000"/>
          <w:lang w:val="fr-CH"/>
        </w:rPr>
        <w:t>attribution</w:t>
      </w:r>
      <w:r w:rsidR="00095EF6">
        <w:rPr>
          <w:color w:val="000000"/>
          <w:lang w:val="fr-CH"/>
        </w:rPr>
        <w:t>s</w:t>
      </w:r>
      <w:r w:rsidR="00B8750F" w:rsidRPr="00B8750F">
        <w:rPr>
          <w:color w:val="000000"/>
          <w:lang w:val="fr-CH"/>
        </w:rPr>
        <w:t xml:space="preserve"> à titre primaire dans les mêmes bandes de fréquences ou dans les bandes de fréquences adjacentes</w:t>
      </w:r>
      <w:r w:rsidR="00095EF6">
        <w:rPr>
          <w:color w:val="000000"/>
          <w:lang w:val="fr-CH"/>
        </w:rPr>
        <w:t xml:space="preserve"> afin d</w:t>
      </w:r>
      <w:r w:rsidR="00215480">
        <w:rPr>
          <w:color w:val="000000"/>
          <w:lang w:val="fr-CH"/>
        </w:rPr>
        <w:t>'</w:t>
      </w:r>
      <w:r w:rsidR="00B8750F" w:rsidRPr="00B8750F">
        <w:rPr>
          <w:color w:val="000000"/>
          <w:lang w:val="fr-CH"/>
        </w:rPr>
        <w:t>éviter</w:t>
      </w:r>
      <w:r w:rsidR="00B8750F">
        <w:rPr>
          <w:color w:val="000000"/>
          <w:lang w:val="fr-CH"/>
        </w:rPr>
        <w:t xml:space="preserve"> que des brouillages préjudiciables soient causés, </w:t>
      </w:r>
      <w:r w:rsidR="00A03E4C">
        <w:rPr>
          <w:color w:val="000000"/>
          <w:lang w:val="fr-CH"/>
        </w:rPr>
        <w:t>eu</w:t>
      </w:r>
      <w:r w:rsidR="00215480">
        <w:rPr>
          <w:color w:val="000000"/>
          <w:lang w:val="fr-CH"/>
        </w:rPr>
        <w:t xml:space="preserve"> </w:t>
      </w:r>
      <w:r w:rsidR="00A03E4C">
        <w:rPr>
          <w:color w:val="000000"/>
          <w:lang w:val="fr-CH"/>
        </w:rPr>
        <w:t xml:space="preserve">égard aux </w:t>
      </w:r>
      <w:r w:rsidR="00B8750F">
        <w:rPr>
          <w:color w:val="000000"/>
          <w:lang w:val="fr-CH"/>
        </w:rPr>
        <w:t>scénarios d</w:t>
      </w:r>
      <w:r w:rsidR="00215480">
        <w:rPr>
          <w:color w:val="000000"/>
          <w:lang w:val="fr-CH"/>
        </w:rPr>
        <w:t>'</w:t>
      </w:r>
      <w:r w:rsidR="00B8750F">
        <w:rPr>
          <w:color w:val="000000"/>
          <w:lang w:val="fr-CH"/>
        </w:rPr>
        <w:t>application des vols</w:t>
      </w:r>
      <w:r w:rsidR="00B8750F" w:rsidRPr="00B8750F">
        <w:rPr>
          <w:lang w:val="fr-CH"/>
        </w:rPr>
        <w:t xml:space="preserve"> </w:t>
      </w:r>
      <w:r w:rsidR="00B8750F">
        <w:rPr>
          <w:lang w:val="fr-CH"/>
        </w:rPr>
        <w:t>suborbitaux</w:t>
      </w:r>
      <w:r w:rsidR="00B8750F" w:rsidRPr="00B8750F">
        <w:rPr>
          <w:color w:val="000000"/>
          <w:lang w:val="fr-CH"/>
        </w:rPr>
        <w:t>,</w:t>
      </w:r>
    </w:p>
    <w:p w14:paraId="049DB78A" w14:textId="77777777" w:rsidR="002F1A83" w:rsidRPr="009000A8" w:rsidRDefault="002F1A83" w:rsidP="00095EF6">
      <w:pPr>
        <w:pStyle w:val="Call"/>
        <w:rPr>
          <w:lang w:val="fr-CH"/>
        </w:rPr>
      </w:pPr>
      <w:r w:rsidRPr="009000A8">
        <w:rPr>
          <w:lang w:val="fr-CH"/>
        </w:rPr>
        <w:t xml:space="preserve">invite les administrations </w:t>
      </w:r>
    </w:p>
    <w:p w14:paraId="5C064B41" w14:textId="112A3F0F" w:rsidR="002F1A83" w:rsidRDefault="002F1A83" w:rsidP="00095EF6">
      <w:pPr>
        <w:rPr>
          <w:lang w:val="fr-CH" w:eastAsia="nl-NL"/>
        </w:rPr>
      </w:pPr>
      <w:r w:rsidRPr="009000A8">
        <w:rPr>
          <w:lang w:val="fr-CH" w:eastAsia="nl-NL"/>
        </w:rPr>
        <w:t>à participer activement à ces études en soumettant des contributions à l</w:t>
      </w:r>
      <w:r w:rsidR="00215480">
        <w:rPr>
          <w:lang w:val="fr-CH" w:eastAsia="nl-NL"/>
        </w:rPr>
        <w:t>'</w:t>
      </w:r>
      <w:r w:rsidRPr="009000A8">
        <w:rPr>
          <w:lang w:val="fr-CH" w:eastAsia="nl-NL"/>
        </w:rPr>
        <w:t>UIT-R</w:t>
      </w:r>
      <w:r w:rsidR="0055612B">
        <w:rPr>
          <w:lang w:val="fr-CH" w:eastAsia="nl-NL"/>
        </w:rPr>
        <w:t>,</w:t>
      </w:r>
    </w:p>
    <w:p w14:paraId="28D41C17" w14:textId="77777777" w:rsidR="002F1A83" w:rsidRPr="002F1A83" w:rsidRDefault="002F1A83" w:rsidP="00095EF6">
      <w:pPr>
        <w:pStyle w:val="Call"/>
        <w:rPr>
          <w:lang w:val="fr-CH" w:eastAsia="nl-NL"/>
        </w:rPr>
      </w:pPr>
      <w:r w:rsidRPr="002F1A83">
        <w:rPr>
          <w:lang w:val="fr-CH" w:eastAsia="nl-NL"/>
        </w:rPr>
        <w:lastRenderedPageBreak/>
        <w:t>charge le Secrétaire général</w:t>
      </w:r>
    </w:p>
    <w:p w14:paraId="286BB49D" w14:textId="460796B3" w:rsidR="002F1A83" w:rsidRDefault="002F1A83" w:rsidP="00095EF6">
      <w:pPr>
        <w:rPr>
          <w:lang w:val="fr-CH" w:eastAsia="nl-NL"/>
        </w:rPr>
      </w:pPr>
      <w:r w:rsidRPr="002F1A83">
        <w:rPr>
          <w:lang w:val="fr-CH" w:eastAsia="nl-NL"/>
        </w:rPr>
        <w:t>de porter la présente Résolution à l</w:t>
      </w:r>
      <w:r w:rsidR="00215480">
        <w:rPr>
          <w:lang w:val="fr-CH" w:eastAsia="nl-NL"/>
        </w:rPr>
        <w:t>'</w:t>
      </w:r>
      <w:r w:rsidRPr="002F1A83">
        <w:rPr>
          <w:lang w:val="fr-CH" w:eastAsia="nl-NL"/>
        </w:rPr>
        <w:t>attention du Comité des utilisations pacifiques de l</w:t>
      </w:r>
      <w:r w:rsidR="00215480">
        <w:rPr>
          <w:lang w:val="fr-CH" w:eastAsia="nl-NL"/>
        </w:rPr>
        <w:t>'</w:t>
      </w:r>
      <w:r w:rsidRPr="002F1A83">
        <w:rPr>
          <w:lang w:val="fr-CH" w:eastAsia="nl-NL"/>
        </w:rPr>
        <w:t>espace extra</w:t>
      </w:r>
      <w:r w:rsidRPr="002F1A83">
        <w:rPr>
          <w:lang w:val="fr-CH" w:eastAsia="nl-NL"/>
        </w:rPr>
        <w:noBreakHyphen/>
        <w:t>atmosphérique des Nations Unies (COPUOS) et de l</w:t>
      </w:r>
      <w:r w:rsidR="00215480">
        <w:rPr>
          <w:lang w:val="fr-CH" w:eastAsia="nl-NL"/>
        </w:rPr>
        <w:t>'</w:t>
      </w:r>
      <w:r w:rsidRPr="002F1A83">
        <w:rPr>
          <w:lang w:val="fr-CH" w:eastAsia="nl-NL"/>
        </w:rPr>
        <w:t>Organisation de l</w:t>
      </w:r>
      <w:r w:rsidR="00215480">
        <w:rPr>
          <w:lang w:val="fr-CH" w:eastAsia="nl-NL"/>
        </w:rPr>
        <w:t>'</w:t>
      </w:r>
      <w:r w:rsidRPr="002F1A83">
        <w:rPr>
          <w:lang w:val="fr-CH" w:eastAsia="nl-NL"/>
        </w:rPr>
        <w:t>aviation civile internationale (OACI) ainsi que des autres organisations internationales et régionales concernées.</w:t>
      </w:r>
    </w:p>
    <w:p w14:paraId="55064CDE" w14:textId="1E3F6B84" w:rsidR="00764512" w:rsidRPr="00B8750F" w:rsidRDefault="00A12835" w:rsidP="004E3E63">
      <w:pPr>
        <w:pStyle w:val="Reasons"/>
        <w:rPr>
          <w:lang w:val="fr-CH"/>
        </w:rPr>
      </w:pPr>
      <w:r w:rsidRPr="00B8750F">
        <w:rPr>
          <w:b/>
          <w:lang w:val="fr-CH"/>
        </w:rPr>
        <w:t>Motifs:</w:t>
      </w:r>
      <w:r w:rsidRPr="00B8750F">
        <w:rPr>
          <w:lang w:val="fr-CH"/>
        </w:rPr>
        <w:tab/>
      </w:r>
      <w:r w:rsidR="00B8750F" w:rsidRPr="004E3E63">
        <w:t>Veuillez</w:t>
      </w:r>
      <w:r w:rsidR="00B8750F" w:rsidRPr="00B8750F">
        <w:rPr>
          <w:lang w:val="fr-CH"/>
        </w:rPr>
        <w:t xml:space="preserve"> vous reporter</w:t>
      </w:r>
      <w:bookmarkStart w:id="9" w:name="_GoBack"/>
      <w:bookmarkEnd w:id="9"/>
      <w:r w:rsidR="00B8750F" w:rsidRPr="00B8750F">
        <w:rPr>
          <w:lang w:val="fr-CH"/>
        </w:rPr>
        <w:t xml:space="preserve"> au tableau</w:t>
      </w:r>
      <w:r w:rsidR="00B8750F">
        <w:rPr>
          <w:lang w:val="fr-CH"/>
        </w:rPr>
        <w:t xml:space="preserve"> ci-dessous.</w:t>
      </w:r>
    </w:p>
    <w:p w14:paraId="5375BA2B" w14:textId="6673E673" w:rsidR="002F1A83" w:rsidRPr="00B8750F" w:rsidRDefault="002F1A83" w:rsidP="00095EF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 w:rsidRPr="00B8750F">
        <w:rPr>
          <w:lang w:val="fr-CH"/>
        </w:rPr>
        <w:br w:type="page"/>
      </w:r>
    </w:p>
    <w:tbl>
      <w:tblPr>
        <w:tblW w:w="9317" w:type="dxa"/>
        <w:tblInd w:w="9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5"/>
        <w:gridCol w:w="5112"/>
      </w:tblGrid>
      <w:tr w:rsidR="0065191E" w:rsidRPr="00F712A7" w14:paraId="52D62591" w14:textId="77777777" w:rsidTr="009A3BC4">
        <w:tc>
          <w:tcPr>
            <w:tcW w:w="9317" w:type="dxa"/>
            <w:gridSpan w:val="2"/>
            <w:tcBorders>
              <w:top w:val="nil"/>
              <w:bottom w:val="nil"/>
            </w:tcBorders>
          </w:tcPr>
          <w:p w14:paraId="2326BB86" w14:textId="77777777" w:rsidR="004E3E63" w:rsidRDefault="00F712A7" w:rsidP="006C4E02">
            <w:pPr>
              <w:spacing w:beforeLines="50" w:afterLines="50" w:after="120"/>
              <w:rPr>
                <w:rFonts w:eastAsia="MS Gothic"/>
                <w:b/>
                <w:bCs/>
                <w:i/>
                <w:iCs/>
                <w:kern w:val="2"/>
                <w:lang w:val="fr-CH"/>
              </w:rPr>
            </w:pPr>
            <w:r w:rsidRPr="00F712A7">
              <w:rPr>
                <w:rFonts w:eastAsia="MS Gothic"/>
                <w:b/>
                <w:bCs/>
                <w:i/>
                <w:iCs/>
                <w:kern w:val="2"/>
                <w:lang w:val="fr-CH"/>
              </w:rPr>
              <w:lastRenderedPageBreak/>
              <w:t>Obje</w:t>
            </w:r>
            <w:r w:rsidR="0065191E" w:rsidRPr="00F712A7">
              <w:rPr>
                <w:rFonts w:eastAsia="MS Gothic"/>
                <w:b/>
                <w:bCs/>
                <w:i/>
                <w:iCs/>
                <w:kern w:val="2"/>
                <w:lang w:val="fr-CH"/>
              </w:rPr>
              <w:t>t:</w:t>
            </w:r>
          </w:p>
          <w:p w14:paraId="50E3EBB3" w14:textId="1FF4DA4D" w:rsidR="0065191E" w:rsidRPr="00F712A7" w:rsidRDefault="00F712A7" w:rsidP="006C4E02">
            <w:pPr>
              <w:spacing w:beforeLines="50" w:afterLines="50" w:after="120"/>
              <w:rPr>
                <w:rFonts w:eastAsia="SimSun"/>
                <w:b/>
                <w:bCs/>
                <w:i/>
                <w:iCs/>
                <w:kern w:val="2"/>
                <w:lang w:val="fr-CH" w:eastAsia="zh-CN"/>
              </w:rPr>
            </w:pPr>
            <w:r w:rsidRPr="00F712A7">
              <w:rPr>
                <w:rFonts w:eastAsia="SimSun"/>
                <w:kern w:val="2"/>
                <w:lang w:val="fr-CH" w:eastAsia="ja-JP"/>
              </w:rPr>
              <w:t>Proposition</w:t>
            </w:r>
            <w:r>
              <w:rPr>
                <w:rFonts w:eastAsia="SimSun"/>
                <w:kern w:val="2"/>
                <w:lang w:val="fr-CH" w:eastAsia="ja-JP"/>
              </w:rPr>
              <w:t xml:space="preserve"> </w:t>
            </w:r>
            <w:r w:rsidRPr="00F712A7">
              <w:rPr>
                <w:rFonts w:eastAsia="SimSun"/>
                <w:kern w:val="2"/>
                <w:lang w:val="fr-CH" w:eastAsia="ja-JP"/>
              </w:rPr>
              <w:t>d</w:t>
            </w:r>
            <w:r w:rsidR="00215480">
              <w:rPr>
                <w:rFonts w:eastAsia="SimSun"/>
                <w:kern w:val="2"/>
                <w:lang w:val="fr-CH" w:eastAsia="ja-JP"/>
              </w:rPr>
              <w:t>'</w:t>
            </w:r>
            <w:r w:rsidRPr="00F712A7">
              <w:rPr>
                <w:rFonts w:eastAsia="SimSun"/>
                <w:kern w:val="2"/>
                <w:lang w:val="fr-CH" w:eastAsia="ja-JP"/>
              </w:rPr>
              <w:t>inscription d</w:t>
            </w:r>
            <w:r w:rsidR="00215480">
              <w:rPr>
                <w:rFonts w:eastAsia="SimSun"/>
                <w:kern w:val="2"/>
                <w:lang w:val="fr-CH" w:eastAsia="ja-JP"/>
              </w:rPr>
              <w:t>'</w:t>
            </w:r>
            <w:r w:rsidRPr="00F712A7">
              <w:rPr>
                <w:rFonts w:eastAsia="SimSun"/>
                <w:kern w:val="2"/>
                <w:lang w:val="fr-CH" w:eastAsia="ja-JP"/>
              </w:rPr>
              <w:t>un nouveau point à l</w:t>
            </w:r>
            <w:r w:rsidR="00215480">
              <w:rPr>
                <w:rFonts w:eastAsia="SimSun"/>
                <w:kern w:val="2"/>
                <w:lang w:val="fr-CH" w:eastAsia="ja-JP"/>
              </w:rPr>
              <w:t>'</w:t>
            </w:r>
            <w:r w:rsidRPr="00F712A7">
              <w:rPr>
                <w:rFonts w:eastAsia="SimSun"/>
                <w:kern w:val="2"/>
                <w:lang w:val="fr-CH" w:eastAsia="ja-JP"/>
              </w:rPr>
              <w:t xml:space="preserve">ordre du jour de la </w:t>
            </w:r>
            <w:r w:rsidRPr="00F712A7">
              <w:rPr>
                <w:rFonts w:eastAsia="SimSun"/>
                <w:lang w:val="fr-CH" w:eastAsia="ja-JP"/>
              </w:rPr>
              <w:t>CMR-23</w:t>
            </w:r>
            <w:r w:rsidR="00215480">
              <w:rPr>
                <w:rFonts w:eastAsia="SimSun"/>
                <w:lang w:val="fr-CH" w:eastAsia="ja-JP"/>
              </w:rPr>
              <w:t xml:space="preserve"> </w:t>
            </w:r>
            <w:r w:rsidRPr="00F712A7">
              <w:rPr>
                <w:rFonts w:eastAsia="SimSun"/>
                <w:kern w:val="2"/>
                <w:lang w:val="fr-CH" w:eastAsia="ja-JP"/>
              </w:rPr>
              <w:t xml:space="preserve">visant à examiner de manière plus approfondie </w:t>
            </w:r>
            <w:r>
              <w:rPr>
                <w:rFonts w:eastAsia="SimSun"/>
                <w:kern w:val="2"/>
                <w:lang w:val="fr-CH" w:eastAsia="ja-JP"/>
              </w:rPr>
              <w:t>les questions d</w:t>
            </w:r>
            <w:r w:rsidR="00215480">
              <w:rPr>
                <w:rFonts w:eastAsia="SimSun"/>
                <w:kern w:val="2"/>
                <w:lang w:val="fr-CH" w:eastAsia="ja-JP"/>
              </w:rPr>
              <w:t>'</w:t>
            </w:r>
            <w:r w:rsidR="00A03E4C">
              <w:rPr>
                <w:rFonts w:eastAsia="SimSun"/>
                <w:kern w:val="2"/>
                <w:lang w:val="fr-CH" w:eastAsia="ja-JP"/>
              </w:rPr>
              <w:t xml:space="preserve">ordre </w:t>
            </w:r>
            <w:r>
              <w:rPr>
                <w:rFonts w:eastAsia="SimSun"/>
                <w:kern w:val="2"/>
                <w:lang w:val="fr-CH" w:eastAsia="ja-JP"/>
              </w:rPr>
              <w:t>opérationnel, technique</w:t>
            </w:r>
            <w:r w:rsidR="00215480">
              <w:rPr>
                <w:rFonts w:eastAsia="SimSun"/>
                <w:kern w:val="2"/>
                <w:lang w:val="fr-CH" w:eastAsia="ja-JP"/>
              </w:rPr>
              <w:t xml:space="preserve"> </w:t>
            </w:r>
            <w:r>
              <w:rPr>
                <w:rFonts w:eastAsia="SimSun"/>
                <w:kern w:val="2"/>
                <w:lang w:val="fr-CH" w:eastAsia="ja-JP"/>
              </w:rPr>
              <w:t>et réglementaire</w:t>
            </w:r>
            <w:r w:rsidR="00215480">
              <w:rPr>
                <w:rFonts w:eastAsia="SimSun"/>
                <w:kern w:val="2"/>
                <w:lang w:val="fr-CH" w:eastAsia="ja-JP"/>
              </w:rPr>
              <w:t xml:space="preserve"> </w:t>
            </w:r>
            <w:r>
              <w:rPr>
                <w:rFonts w:eastAsia="SimSun"/>
                <w:kern w:val="2"/>
                <w:lang w:val="fr-CH" w:eastAsia="ja-JP"/>
              </w:rPr>
              <w:t>relatives aux stations placées à bord de véhicules sub</w:t>
            </w:r>
            <w:r w:rsidR="00A03E4C">
              <w:rPr>
                <w:rFonts w:eastAsia="SimSun"/>
                <w:kern w:val="2"/>
                <w:lang w:val="fr-CH" w:eastAsia="ja-JP"/>
              </w:rPr>
              <w:t>o</w:t>
            </w:r>
            <w:r>
              <w:rPr>
                <w:rFonts w:eastAsia="SimSun"/>
                <w:kern w:val="2"/>
                <w:lang w:val="fr-CH" w:eastAsia="ja-JP"/>
              </w:rPr>
              <w:t>rbit</w:t>
            </w:r>
            <w:r w:rsidR="00A03E4C">
              <w:rPr>
                <w:rFonts w:eastAsia="SimSun"/>
                <w:kern w:val="2"/>
                <w:lang w:val="fr-CH" w:eastAsia="ja-JP"/>
              </w:rPr>
              <w:t>aux</w:t>
            </w:r>
            <w:r w:rsidR="003674A0">
              <w:rPr>
                <w:rFonts w:eastAsia="SimSun"/>
                <w:kern w:val="2"/>
                <w:lang w:val="fr-CH" w:eastAsia="ja-JP"/>
              </w:rPr>
              <w:t>.</w:t>
            </w:r>
          </w:p>
        </w:tc>
      </w:tr>
      <w:tr w:rsidR="0065191E" w:rsidRPr="00F712A7" w14:paraId="57A0A4AD" w14:textId="77777777" w:rsidTr="009A3BC4">
        <w:tc>
          <w:tcPr>
            <w:tcW w:w="9317" w:type="dxa"/>
            <w:gridSpan w:val="2"/>
            <w:tcBorders>
              <w:top w:val="nil"/>
            </w:tcBorders>
          </w:tcPr>
          <w:p w14:paraId="7C6C08F5" w14:textId="3132B5C4" w:rsidR="0065191E" w:rsidRPr="00F712A7" w:rsidRDefault="0065191E" w:rsidP="006C4E02">
            <w:pPr>
              <w:spacing w:beforeLines="50" w:afterLines="50" w:after="120"/>
              <w:rPr>
                <w:rFonts w:eastAsia="SimSun"/>
                <w:bCs/>
                <w:kern w:val="2"/>
                <w:lang w:val="fr-CH" w:eastAsia="zh-CN"/>
              </w:rPr>
            </w:pPr>
            <w:r w:rsidRPr="00F712A7">
              <w:rPr>
                <w:rFonts w:eastAsia="MS Gothic"/>
                <w:b/>
                <w:bCs/>
                <w:i/>
                <w:kern w:val="2"/>
                <w:lang w:val="fr-CH"/>
              </w:rPr>
              <w:t>Origin</w:t>
            </w:r>
            <w:r w:rsidR="00F712A7" w:rsidRPr="00F712A7">
              <w:rPr>
                <w:rFonts w:eastAsia="MS Gothic"/>
                <w:b/>
                <w:bCs/>
                <w:i/>
                <w:kern w:val="2"/>
                <w:lang w:val="fr-CH"/>
              </w:rPr>
              <w:t>e</w:t>
            </w:r>
            <w:r w:rsidRPr="00F712A7">
              <w:rPr>
                <w:rFonts w:eastAsia="MS Gothic"/>
                <w:b/>
                <w:bCs/>
                <w:i/>
                <w:kern w:val="2"/>
                <w:lang w:val="fr-CH"/>
              </w:rPr>
              <w:t>:</w:t>
            </w:r>
            <w:r w:rsidR="006C4E02">
              <w:rPr>
                <w:rFonts w:eastAsia="MS Gothic"/>
                <w:b/>
                <w:bCs/>
                <w:i/>
                <w:kern w:val="2"/>
                <w:lang w:val="fr-CH"/>
              </w:rPr>
              <w:t xml:space="preserve"> </w:t>
            </w:r>
            <w:r w:rsidR="00F712A7">
              <w:rPr>
                <w:color w:val="000000"/>
              </w:rPr>
              <w:t>Télécommunauté Asie-Pacifique (APT)</w:t>
            </w:r>
          </w:p>
        </w:tc>
      </w:tr>
      <w:tr w:rsidR="0065191E" w:rsidRPr="00A03E4C" w14:paraId="3597D997" w14:textId="77777777" w:rsidTr="009A3BC4">
        <w:tc>
          <w:tcPr>
            <w:tcW w:w="9317" w:type="dxa"/>
            <w:gridSpan w:val="2"/>
          </w:tcPr>
          <w:p w14:paraId="48DA5C7C" w14:textId="00919E41" w:rsidR="0065191E" w:rsidRPr="003674A0" w:rsidRDefault="0065191E" w:rsidP="00095EF6">
            <w:pPr>
              <w:pStyle w:val="Headingb"/>
              <w:keepNext w:val="0"/>
              <w:rPr>
                <w:rFonts w:eastAsia="MS Gothic"/>
                <w:i/>
                <w:iCs/>
                <w:lang w:val="fr-CH" w:eastAsia="ja-JP"/>
              </w:rPr>
            </w:pPr>
            <w:r w:rsidRPr="003674A0">
              <w:rPr>
                <w:rFonts w:eastAsia="MS Gothic"/>
                <w:i/>
                <w:iCs/>
                <w:lang w:val="fr-CH"/>
              </w:rPr>
              <w:t>Propos</w:t>
            </w:r>
            <w:r w:rsidR="00F712A7" w:rsidRPr="003674A0">
              <w:rPr>
                <w:rFonts w:eastAsia="MS Gothic"/>
                <w:i/>
                <w:iCs/>
                <w:lang w:val="fr-CH"/>
              </w:rPr>
              <w:t>ition</w:t>
            </w:r>
            <w:r w:rsidRPr="003674A0">
              <w:rPr>
                <w:rFonts w:eastAsia="MS Gothic"/>
                <w:i/>
                <w:iCs/>
                <w:lang w:val="fr-CH"/>
              </w:rPr>
              <w:t>:</w:t>
            </w:r>
          </w:p>
          <w:p w14:paraId="7C1AE081" w14:textId="47F5CCDC" w:rsidR="0065191E" w:rsidRPr="00A03E4C" w:rsidRDefault="00A03E4C" w:rsidP="00095EF6">
            <w:pPr>
              <w:rPr>
                <w:rFonts w:eastAsia="SimSun"/>
                <w:lang w:val="fr-CH" w:eastAsia="ja-JP"/>
              </w:rPr>
            </w:pPr>
            <w:r w:rsidRPr="00A03E4C">
              <w:rPr>
                <w:rFonts w:eastAsia="SimSun"/>
                <w:lang w:val="fr-CH" w:eastAsia="ja-JP"/>
              </w:rPr>
              <w:t>Définir le statut d</w:t>
            </w:r>
            <w:r w:rsidR="00215480">
              <w:rPr>
                <w:rFonts w:eastAsia="SimSun"/>
                <w:lang w:val="fr-CH" w:eastAsia="ja-JP"/>
              </w:rPr>
              <w:t>'</w:t>
            </w:r>
            <w:r>
              <w:rPr>
                <w:rFonts w:eastAsia="SimSun"/>
                <w:lang w:val="fr-CH" w:eastAsia="ja-JP"/>
              </w:rPr>
              <w:t xml:space="preserve">une </w:t>
            </w:r>
            <w:r>
              <w:rPr>
                <w:rFonts w:eastAsia="SimSun"/>
                <w:kern w:val="2"/>
                <w:lang w:val="fr-CH" w:eastAsia="ja-JP"/>
              </w:rPr>
              <w:t>station placée</w:t>
            </w:r>
            <w:r w:rsidR="00215480">
              <w:rPr>
                <w:rFonts w:eastAsia="SimSun"/>
                <w:kern w:val="2"/>
                <w:lang w:val="fr-CH" w:eastAsia="ja-JP"/>
              </w:rPr>
              <w:t xml:space="preserve"> </w:t>
            </w:r>
            <w:r>
              <w:rPr>
                <w:rFonts w:eastAsia="SimSun"/>
                <w:kern w:val="2"/>
                <w:lang w:val="fr-CH" w:eastAsia="ja-JP"/>
              </w:rPr>
              <w:t>à bord de véhicules suborbitaux</w:t>
            </w:r>
            <w:r w:rsidR="006C4E02">
              <w:rPr>
                <w:rFonts w:eastAsia="SimSun"/>
                <w:kern w:val="2"/>
                <w:lang w:val="fr-CH" w:eastAsia="ja-JP"/>
              </w:rPr>
              <w:t>.</w:t>
            </w:r>
          </w:p>
          <w:p w14:paraId="2E239E70" w14:textId="3BC0F9C0" w:rsidR="0065191E" w:rsidRPr="00A03E4C" w:rsidRDefault="00A03E4C" w:rsidP="00095EF6">
            <w:pPr>
              <w:rPr>
                <w:rFonts w:eastAsia="SimSun"/>
                <w:lang w:val="fr-CH" w:eastAsia="ja-JP"/>
              </w:rPr>
            </w:pPr>
            <w:r>
              <w:rPr>
                <w:rFonts w:eastAsia="SimSun"/>
                <w:lang w:val="fr-CH" w:eastAsia="zh-CN"/>
              </w:rPr>
              <w:t xml:space="preserve">Procéder à des études pour déterminer </w:t>
            </w:r>
            <w:r w:rsidRPr="00B8750F">
              <w:rPr>
                <w:rFonts w:eastAsia="SimSun"/>
                <w:lang w:val="fr-CH" w:eastAsia="zh-CN"/>
              </w:rPr>
              <w:t>les besoins en matière de spectre pour les communications entre les stations</w:t>
            </w:r>
            <w:r w:rsidRPr="00B8750F">
              <w:rPr>
                <w:iCs/>
                <w:lang w:val="fr-CH"/>
              </w:rPr>
              <w:t xml:space="preserve"> </w:t>
            </w:r>
            <w:r>
              <w:rPr>
                <w:iCs/>
                <w:lang w:val="fr-CH"/>
              </w:rPr>
              <w:t>placées à bord</w:t>
            </w:r>
            <w:r w:rsidR="00215480">
              <w:rPr>
                <w:iCs/>
                <w:lang w:val="fr-CH"/>
              </w:rPr>
              <w:t xml:space="preserve"> </w:t>
            </w:r>
            <w:r>
              <w:rPr>
                <w:iCs/>
                <w:lang w:val="fr-CH"/>
              </w:rPr>
              <w:t xml:space="preserve">de véhicules </w:t>
            </w:r>
            <w:r>
              <w:rPr>
                <w:lang w:val="fr-CH"/>
              </w:rPr>
              <w:t>suborbitaux et les stations de Terre ainsi que les stations spatiales assurant,</w:t>
            </w:r>
            <w:r w:rsidR="00215480">
              <w:rPr>
                <w:lang w:val="fr-CH"/>
              </w:rPr>
              <w:t xml:space="preserve"> </w:t>
            </w:r>
            <w:r>
              <w:rPr>
                <w:lang w:val="fr-CH"/>
              </w:rPr>
              <w:t>notamment,</w:t>
            </w:r>
            <w:r w:rsidR="00215480">
              <w:rPr>
                <w:lang w:val="fr-CH"/>
              </w:rPr>
              <w:t xml:space="preserve"> </w:t>
            </w:r>
            <w:r>
              <w:rPr>
                <w:lang w:val="fr-CH"/>
              </w:rPr>
              <w:t xml:space="preserve">des fonctions de communication vocale/de données, de navigation, de surveillance, de télémesure, poursuite et télécommande </w:t>
            </w:r>
            <w:r w:rsidRPr="00B8750F">
              <w:rPr>
                <w:rFonts w:eastAsia="MS PMincho"/>
                <w:lang w:val="fr-CH" w:eastAsia="ja-JP"/>
              </w:rPr>
              <w:t xml:space="preserve">(TT&amp;C) </w:t>
            </w:r>
            <w:r>
              <w:rPr>
                <w:lang w:val="fr-CH"/>
              </w:rPr>
              <w:t xml:space="preserve">et de sécurité </w:t>
            </w:r>
            <w:r>
              <w:rPr>
                <w:color w:val="000000"/>
              </w:rPr>
              <w:t>des personnes et des biens,</w:t>
            </w:r>
            <w:r>
              <w:rPr>
                <w:lang w:val="fr-CH"/>
              </w:rPr>
              <w:t xml:space="preserve"> </w:t>
            </w:r>
            <w:r>
              <w:rPr>
                <w:rFonts w:eastAsia="SimSun"/>
                <w:lang w:val="fr-CH" w:eastAsia="ja-JP"/>
              </w:rPr>
              <w:t>etc</w:t>
            </w:r>
            <w:r w:rsidR="00F2642A">
              <w:rPr>
                <w:rFonts w:eastAsia="SimSun"/>
                <w:lang w:val="fr-CH" w:eastAsia="ja-JP"/>
              </w:rPr>
              <w:t>.</w:t>
            </w:r>
          </w:p>
          <w:p w14:paraId="278205FB" w14:textId="4F57607C" w:rsidR="0065191E" w:rsidRPr="00A03E4C" w:rsidRDefault="00A03E4C" w:rsidP="00095EF6">
            <w:pPr>
              <w:rPr>
                <w:rFonts w:eastAsia="SimSun"/>
                <w:lang w:val="fr-CH" w:eastAsia="ja-JP"/>
              </w:rPr>
            </w:pPr>
            <w:r w:rsidRPr="00A03E4C">
              <w:rPr>
                <w:rFonts w:eastAsia="SimSun"/>
                <w:lang w:val="fr-CH" w:eastAsia="ja-JP"/>
              </w:rPr>
              <w:t>Procéder à des études pour établir une classification des services de radiocommunication concerné</w:t>
            </w:r>
            <w:r w:rsidR="00095EF6">
              <w:rPr>
                <w:rFonts w:eastAsia="SimSun"/>
                <w:lang w:val="fr-CH" w:eastAsia="ja-JP"/>
              </w:rPr>
              <w:t>s</w:t>
            </w:r>
            <w:r w:rsidRPr="00A03E4C">
              <w:rPr>
                <w:rFonts w:eastAsia="SimSun"/>
                <w:lang w:val="fr-CH" w:eastAsia="ja-JP"/>
              </w:rPr>
              <w:t xml:space="preserve"> </w:t>
            </w:r>
            <w:r>
              <w:rPr>
                <w:rFonts w:eastAsia="SimSun"/>
                <w:lang w:val="fr-CH" w:eastAsia="ja-JP"/>
              </w:rPr>
              <w:t>et identifier des bandes de fréquences pour les stations</w:t>
            </w:r>
            <w:r>
              <w:rPr>
                <w:iCs/>
                <w:lang w:val="fr-CH"/>
              </w:rPr>
              <w:t xml:space="preserve"> placées à bord</w:t>
            </w:r>
            <w:r w:rsidR="00215480">
              <w:rPr>
                <w:iCs/>
                <w:lang w:val="fr-CH"/>
              </w:rPr>
              <w:t xml:space="preserve"> </w:t>
            </w:r>
            <w:r>
              <w:rPr>
                <w:iCs/>
                <w:lang w:val="fr-CH"/>
              </w:rPr>
              <w:t xml:space="preserve">de véhicules </w:t>
            </w:r>
            <w:r>
              <w:rPr>
                <w:lang w:val="fr-CH"/>
              </w:rPr>
              <w:t>suborbitaux</w:t>
            </w:r>
            <w:r w:rsidR="006C4E02">
              <w:rPr>
                <w:rFonts w:eastAsia="SimSun"/>
                <w:lang w:val="fr-CH" w:eastAsia="ja-JP"/>
              </w:rPr>
              <w:t>.</w:t>
            </w:r>
          </w:p>
          <w:p w14:paraId="422C391D" w14:textId="612A7605" w:rsidR="0065191E" w:rsidRPr="00A03E4C" w:rsidRDefault="00095EF6" w:rsidP="00095EF6">
            <w:pPr>
              <w:spacing w:after="120"/>
              <w:rPr>
                <w:rFonts w:eastAsia="SimSun"/>
                <w:i/>
                <w:lang w:val="fr-CH" w:eastAsia="ko-KR"/>
              </w:rPr>
            </w:pPr>
            <w:r>
              <w:rPr>
                <w:rFonts w:eastAsia="SimSun"/>
                <w:lang w:val="fr-CH" w:eastAsia="zh-CN"/>
              </w:rPr>
              <w:t>M</w:t>
            </w:r>
            <w:r w:rsidR="00A03E4C" w:rsidRPr="00B8750F">
              <w:rPr>
                <w:rFonts w:eastAsia="SimSun"/>
                <w:lang w:val="fr-CH" w:eastAsia="zh-CN"/>
              </w:rPr>
              <w:t>ener</w:t>
            </w:r>
            <w:r w:rsidR="00A03E4C" w:rsidRPr="00B8750F">
              <w:rPr>
                <w:rFonts w:eastAsia="SimSun" w:hint="eastAsia"/>
                <w:lang w:val="fr-CH" w:eastAsia="zh-CN"/>
              </w:rPr>
              <w:t xml:space="preserve"> </w:t>
            </w:r>
            <w:r w:rsidR="00A03E4C" w:rsidRPr="00B8750F">
              <w:rPr>
                <w:color w:val="000000"/>
                <w:lang w:val="fr-CH"/>
              </w:rPr>
              <w:t xml:space="preserve">des études de partage et de compatibilité </w:t>
            </w:r>
            <w:r w:rsidR="00A03E4C">
              <w:rPr>
                <w:color w:val="000000"/>
                <w:lang w:val="fr-CH"/>
              </w:rPr>
              <w:t>pour</w:t>
            </w:r>
            <w:r w:rsidR="00A03E4C" w:rsidRPr="00B8750F">
              <w:rPr>
                <w:color w:val="000000"/>
                <w:lang w:val="fr-CH"/>
              </w:rPr>
              <w:t xml:space="preserve"> éviter</w:t>
            </w:r>
            <w:r w:rsidR="00A03E4C">
              <w:rPr>
                <w:color w:val="000000"/>
                <w:lang w:val="fr-CH"/>
              </w:rPr>
              <w:t xml:space="preserve"> que des brouillages préjudiciables soient causés entre les services de radiocommunication eu</w:t>
            </w:r>
            <w:r w:rsidR="00215480">
              <w:rPr>
                <w:color w:val="000000"/>
                <w:lang w:val="fr-CH"/>
              </w:rPr>
              <w:t xml:space="preserve"> </w:t>
            </w:r>
            <w:r w:rsidR="00A03E4C">
              <w:rPr>
                <w:color w:val="000000"/>
                <w:lang w:val="fr-CH"/>
              </w:rPr>
              <w:t>égard aux scénarios d</w:t>
            </w:r>
            <w:r w:rsidR="00215480">
              <w:rPr>
                <w:color w:val="000000"/>
                <w:lang w:val="fr-CH"/>
              </w:rPr>
              <w:t>'</w:t>
            </w:r>
            <w:r w:rsidR="00A03E4C">
              <w:rPr>
                <w:color w:val="000000"/>
                <w:lang w:val="fr-CH"/>
              </w:rPr>
              <w:t>application des vols</w:t>
            </w:r>
            <w:r w:rsidR="00A03E4C" w:rsidRPr="00B8750F">
              <w:rPr>
                <w:lang w:val="fr-CH"/>
              </w:rPr>
              <w:t xml:space="preserve"> </w:t>
            </w:r>
            <w:r w:rsidR="00A03E4C">
              <w:rPr>
                <w:lang w:val="fr-CH"/>
              </w:rPr>
              <w:t>suborbitaux</w:t>
            </w:r>
            <w:r w:rsidR="003674A0">
              <w:rPr>
                <w:color w:val="000000"/>
                <w:lang w:val="fr-CH"/>
              </w:rPr>
              <w:t>.</w:t>
            </w:r>
          </w:p>
        </w:tc>
      </w:tr>
      <w:tr w:rsidR="0065191E" w:rsidRPr="0065191E" w14:paraId="22A79219" w14:textId="77777777" w:rsidTr="009A3BC4">
        <w:tc>
          <w:tcPr>
            <w:tcW w:w="9317" w:type="dxa"/>
            <w:gridSpan w:val="2"/>
          </w:tcPr>
          <w:p w14:paraId="01B80D2F" w14:textId="77777777" w:rsidR="00F712A7" w:rsidRPr="00215480" w:rsidRDefault="00F712A7" w:rsidP="003674A0">
            <w:pPr>
              <w:pStyle w:val="Headingb"/>
              <w:keepNext w:val="0"/>
              <w:rPr>
                <w:color w:val="000000"/>
                <w:lang w:val="fr-CH"/>
              </w:rPr>
            </w:pPr>
            <w:r w:rsidRPr="003674A0">
              <w:rPr>
                <w:rFonts w:eastAsia="MS Gothic"/>
                <w:i/>
                <w:iCs/>
                <w:lang w:val="fr-CH"/>
              </w:rPr>
              <w:t>Contexte/motif:</w:t>
            </w:r>
          </w:p>
          <w:p w14:paraId="4DEEFB5E" w14:textId="2A0CF17F" w:rsidR="0065191E" w:rsidRPr="0072541F" w:rsidRDefault="00A03E4C" w:rsidP="00095EF6">
            <w:pPr>
              <w:rPr>
                <w:rFonts w:eastAsia="MS PMincho"/>
                <w:lang w:val="fr-CH" w:eastAsia="ja-JP"/>
              </w:rPr>
            </w:pPr>
            <w:r w:rsidRPr="00A03E4C">
              <w:rPr>
                <w:rFonts w:eastAsia="MS PMincho" w:hint="eastAsia"/>
                <w:lang w:val="fr-CH" w:eastAsia="ja-JP"/>
              </w:rPr>
              <w:t>É</w:t>
            </w:r>
            <w:r w:rsidRPr="00A03E4C">
              <w:rPr>
                <w:rFonts w:eastAsia="MS PMincho"/>
                <w:lang w:val="fr-CH" w:eastAsia="ja-JP"/>
              </w:rPr>
              <w:t>tant donné que les techniques de lancement sont de plus en plus évoluées et que le taux de réussite</w:t>
            </w:r>
            <w:r w:rsidR="00215480">
              <w:rPr>
                <w:rFonts w:eastAsia="MS PMincho"/>
                <w:lang w:val="fr-CH" w:eastAsia="ja-JP"/>
              </w:rPr>
              <w:t xml:space="preserve"> </w:t>
            </w:r>
            <w:r w:rsidRPr="00A03E4C">
              <w:rPr>
                <w:rFonts w:eastAsia="MS PMincho"/>
                <w:lang w:val="fr-CH" w:eastAsia="ja-JP"/>
              </w:rPr>
              <w:t>des essais d</w:t>
            </w:r>
            <w:r w:rsidR="00215480">
              <w:rPr>
                <w:rFonts w:eastAsia="MS PMincho"/>
                <w:lang w:val="fr-CH" w:eastAsia="ja-JP"/>
              </w:rPr>
              <w:t>'</w:t>
            </w:r>
            <w:r w:rsidRPr="00A03E4C">
              <w:rPr>
                <w:rFonts w:eastAsia="MS PMincho"/>
                <w:lang w:val="fr-CH" w:eastAsia="ja-JP"/>
              </w:rPr>
              <w:t>engins réutilisables en vue de vols commerciaux s</w:t>
            </w:r>
            <w:r w:rsidR="00215480">
              <w:rPr>
                <w:rFonts w:eastAsia="MS PMincho"/>
                <w:lang w:val="fr-CH" w:eastAsia="ja-JP"/>
              </w:rPr>
              <w:t>'</w:t>
            </w:r>
            <w:r w:rsidRPr="00A03E4C">
              <w:rPr>
                <w:rFonts w:eastAsia="MS PMincho"/>
                <w:lang w:val="fr-CH" w:eastAsia="ja-JP"/>
              </w:rPr>
              <w:t>est sensiblement amélioré, les perspectives d</w:t>
            </w:r>
            <w:r w:rsidR="00215480">
              <w:rPr>
                <w:rFonts w:eastAsia="MS PMincho"/>
                <w:lang w:val="fr-CH" w:eastAsia="ja-JP"/>
              </w:rPr>
              <w:t>'</w:t>
            </w:r>
            <w:r w:rsidRPr="00A03E4C">
              <w:rPr>
                <w:rFonts w:eastAsia="MS PMincho"/>
                <w:lang w:val="fr-CH" w:eastAsia="ja-JP"/>
              </w:rPr>
              <w:t xml:space="preserve">utilisation des vols suborbitaux </w:t>
            </w:r>
            <w:r>
              <w:rPr>
                <w:rFonts w:eastAsia="MS PMincho"/>
                <w:lang w:val="fr-CH" w:eastAsia="ja-JP"/>
              </w:rPr>
              <w:t xml:space="preserve">sont de plus en plus nombreuses. </w:t>
            </w:r>
            <w:r w:rsidRPr="00A03E4C">
              <w:rPr>
                <w:rFonts w:eastAsia="MS PMincho"/>
                <w:lang w:val="fr-CH" w:eastAsia="ja-JP"/>
              </w:rPr>
              <w:t>Cependant, de nombreux aspects de cette question doivent encore être examinés, par exemple la définition, la ligne de démarcation entre l</w:t>
            </w:r>
            <w:r w:rsidR="00215480">
              <w:rPr>
                <w:rFonts w:eastAsia="MS PMincho"/>
                <w:lang w:val="fr-CH" w:eastAsia="ja-JP"/>
              </w:rPr>
              <w:t>'</w:t>
            </w:r>
            <w:r w:rsidRPr="00A03E4C">
              <w:rPr>
                <w:rFonts w:eastAsia="MS PMincho"/>
                <w:lang w:val="fr-CH" w:eastAsia="ja-JP"/>
              </w:rPr>
              <w:t xml:space="preserve">atmosphère </w:t>
            </w:r>
            <w:r w:rsidR="00095EF6">
              <w:rPr>
                <w:rFonts w:eastAsia="MS PMincho"/>
                <w:lang w:val="fr-CH" w:eastAsia="ja-JP"/>
              </w:rPr>
              <w:t>et l</w:t>
            </w:r>
            <w:r w:rsidR="00215480">
              <w:rPr>
                <w:rFonts w:eastAsia="MS PMincho"/>
                <w:lang w:val="fr-CH" w:eastAsia="ja-JP"/>
              </w:rPr>
              <w:t>'</w:t>
            </w:r>
            <w:r w:rsidRPr="00A03E4C">
              <w:rPr>
                <w:rFonts w:eastAsia="MS PMincho"/>
                <w:lang w:val="fr-CH" w:eastAsia="ja-JP"/>
              </w:rPr>
              <w:t>espace, le mode de vol,</w:t>
            </w:r>
            <w:r>
              <w:rPr>
                <w:rFonts w:eastAsia="MS PMincho"/>
                <w:lang w:val="fr-CH" w:eastAsia="ja-JP"/>
              </w:rPr>
              <w:t xml:space="preserve"> le suivi et la commande,</w:t>
            </w:r>
            <w:r w:rsidRPr="00A03E4C">
              <w:rPr>
                <w:rFonts w:eastAsia="MS PMincho"/>
                <w:lang w:val="fr-CH" w:eastAsia="ja-JP"/>
              </w:rPr>
              <w:t xml:space="preserve"> </w:t>
            </w:r>
            <w:r w:rsidR="0072541F">
              <w:rPr>
                <w:rFonts w:eastAsia="MS PMincho"/>
                <w:lang w:val="fr-CH" w:eastAsia="ja-JP"/>
              </w:rPr>
              <w:t xml:space="preserve">les assurances de sécurité, etc. </w:t>
            </w:r>
            <w:r w:rsidR="0072541F" w:rsidRPr="0072541F">
              <w:rPr>
                <w:rFonts w:eastAsia="MS PMincho"/>
                <w:lang w:val="fr-CH" w:eastAsia="ja-JP"/>
              </w:rPr>
              <w:t>Les radiocommunications jouent un rôle crucial durant chaque phase importante d</w:t>
            </w:r>
            <w:r w:rsidR="00215480">
              <w:rPr>
                <w:rFonts w:eastAsia="MS PMincho"/>
                <w:lang w:val="fr-CH" w:eastAsia="ja-JP"/>
              </w:rPr>
              <w:t>'</w:t>
            </w:r>
            <w:r w:rsidR="0072541F" w:rsidRPr="0072541F">
              <w:rPr>
                <w:rFonts w:eastAsia="MS PMincho"/>
                <w:lang w:val="fr-CH" w:eastAsia="ja-JP"/>
              </w:rPr>
              <w:t>un vol</w:t>
            </w:r>
            <w:r w:rsidR="00215480">
              <w:rPr>
                <w:rFonts w:eastAsia="MS PMincho"/>
                <w:lang w:val="fr-CH" w:eastAsia="ja-JP"/>
              </w:rPr>
              <w:t xml:space="preserve"> </w:t>
            </w:r>
            <w:r w:rsidR="0065191E" w:rsidRPr="0072541F">
              <w:rPr>
                <w:rFonts w:eastAsia="MS PMincho"/>
                <w:lang w:val="fr-CH" w:eastAsia="ja-JP"/>
              </w:rPr>
              <w:t>suborbital</w:t>
            </w:r>
            <w:r w:rsidR="003674A0">
              <w:rPr>
                <w:rFonts w:eastAsia="MS PMincho"/>
                <w:lang w:val="fr-CH" w:eastAsia="ja-JP"/>
              </w:rPr>
              <w:t>.</w:t>
            </w:r>
          </w:p>
          <w:p w14:paraId="642E1B2A" w14:textId="4084B3DB" w:rsidR="0065191E" w:rsidRPr="0072541F" w:rsidRDefault="0072541F" w:rsidP="00095EF6">
            <w:pPr>
              <w:rPr>
                <w:rFonts w:eastAsia="SimSun"/>
                <w:lang w:val="fr-CH" w:eastAsia="zh-CN"/>
              </w:rPr>
            </w:pPr>
            <w:r w:rsidRPr="0072541F">
              <w:rPr>
                <w:rFonts w:eastAsia="MS PMincho"/>
                <w:lang w:val="fr-CH" w:eastAsia="ja-JP"/>
              </w:rPr>
              <w:t>L</w:t>
            </w:r>
            <w:r w:rsidR="00215480">
              <w:rPr>
                <w:rFonts w:eastAsia="MS PMincho"/>
                <w:lang w:val="fr-CH" w:eastAsia="ja-JP"/>
              </w:rPr>
              <w:t>'</w:t>
            </w:r>
            <w:r w:rsidR="00F620B7" w:rsidRPr="0072541F">
              <w:rPr>
                <w:rFonts w:eastAsia="MS PMincho"/>
                <w:lang w:val="fr-CH" w:eastAsia="ja-JP"/>
              </w:rPr>
              <w:t>UIT</w:t>
            </w:r>
            <w:r w:rsidR="0065191E" w:rsidRPr="0072541F">
              <w:rPr>
                <w:rFonts w:eastAsia="MS PMincho"/>
                <w:lang w:val="fr-CH" w:eastAsia="ja-JP"/>
              </w:rPr>
              <w:t xml:space="preserve">-R </w:t>
            </w:r>
            <w:r>
              <w:rPr>
                <w:rFonts w:eastAsia="MS PMincho"/>
                <w:lang w:val="fr-CH" w:eastAsia="ja-JP"/>
              </w:rPr>
              <w:t xml:space="preserve">a </w:t>
            </w:r>
            <w:r w:rsidRPr="0072541F">
              <w:rPr>
                <w:rFonts w:eastAsia="MS PMincho"/>
                <w:lang w:val="fr-CH" w:eastAsia="ja-JP"/>
              </w:rPr>
              <w:t>demand</w:t>
            </w:r>
            <w:r>
              <w:rPr>
                <w:rFonts w:eastAsia="MS PMincho"/>
                <w:lang w:val="fr-CH" w:eastAsia="ja-JP"/>
              </w:rPr>
              <w:t>é</w:t>
            </w:r>
            <w:r w:rsidRPr="0072541F">
              <w:rPr>
                <w:rFonts w:eastAsia="MS PMincho"/>
                <w:lang w:val="fr-CH" w:eastAsia="ja-JP"/>
              </w:rPr>
              <w:t xml:space="preserve"> que </w:t>
            </w:r>
            <w:r>
              <w:rPr>
                <w:rFonts w:eastAsia="MS PMincho"/>
                <w:lang w:val="fr-CH" w:eastAsia="ja-JP"/>
              </w:rPr>
              <w:t>d</w:t>
            </w:r>
            <w:r w:rsidRPr="0072541F">
              <w:rPr>
                <w:rFonts w:eastAsia="MS PMincho"/>
                <w:lang w:val="fr-CH" w:eastAsia="ja-JP"/>
              </w:rPr>
              <w:t>es études soient effectuées pour répondre aux besoins des applications de radiocommunication destinée</w:t>
            </w:r>
            <w:r>
              <w:rPr>
                <w:rFonts w:eastAsia="MS PMincho"/>
                <w:lang w:val="fr-CH" w:eastAsia="ja-JP"/>
              </w:rPr>
              <w:t>s</w:t>
            </w:r>
            <w:r w:rsidRPr="0072541F">
              <w:rPr>
                <w:rFonts w:eastAsia="MS PMincho"/>
                <w:lang w:val="fr-CH" w:eastAsia="ja-JP"/>
              </w:rPr>
              <w:t xml:space="preserve"> aux stations placées à bord de véhicules </w:t>
            </w:r>
            <w:r w:rsidRPr="00A03E4C">
              <w:rPr>
                <w:rFonts w:eastAsia="MS PMincho"/>
                <w:lang w:val="fr-CH" w:eastAsia="ja-JP"/>
              </w:rPr>
              <w:t>suborbitaux</w:t>
            </w:r>
            <w:r>
              <w:rPr>
                <w:rFonts w:eastAsia="MS PMincho"/>
                <w:lang w:val="fr-CH" w:eastAsia="ja-JP"/>
              </w:rPr>
              <w:t xml:space="preserve">, conformément à la Résolution </w:t>
            </w:r>
            <w:r w:rsidR="0065191E" w:rsidRPr="0072541F">
              <w:rPr>
                <w:rFonts w:eastAsia="MS PMincho"/>
                <w:b/>
                <w:bCs/>
                <w:lang w:val="fr-CH" w:eastAsia="ja-JP"/>
              </w:rPr>
              <w:t>763</w:t>
            </w:r>
            <w:r w:rsidR="0065191E" w:rsidRPr="0072541F">
              <w:rPr>
                <w:rFonts w:eastAsia="MS PMincho"/>
                <w:lang w:val="fr-CH" w:eastAsia="ja-JP"/>
              </w:rPr>
              <w:t xml:space="preserve"> (</w:t>
            </w:r>
            <w:r w:rsidR="00F620B7" w:rsidRPr="0072541F">
              <w:rPr>
                <w:rFonts w:eastAsia="MS PMincho"/>
                <w:b/>
                <w:bCs/>
                <w:lang w:val="fr-CH" w:eastAsia="ja-JP"/>
              </w:rPr>
              <w:t>CMR</w:t>
            </w:r>
            <w:r w:rsidR="0065191E" w:rsidRPr="0072541F">
              <w:rPr>
                <w:rFonts w:eastAsia="MS PMincho"/>
                <w:b/>
                <w:bCs/>
                <w:lang w:val="fr-CH" w:eastAsia="ja-JP"/>
              </w:rPr>
              <w:t>-15</w:t>
            </w:r>
            <w:r w:rsidR="0065191E" w:rsidRPr="0072541F">
              <w:rPr>
                <w:rFonts w:eastAsia="MS PMincho"/>
                <w:lang w:val="fr-CH" w:eastAsia="ja-JP"/>
              </w:rPr>
              <w:t>)</w:t>
            </w:r>
            <w:r>
              <w:rPr>
                <w:rFonts w:eastAsia="MS PMincho"/>
                <w:lang w:val="fr-CH" w:eastAsia="ja-JP"/>
              </w:rPr>
              <w:t xml:space="preserve"> (question </w:t>
            </w:r>
            <w:r w:rsidR="0065191E" w:rsidRPr="0072541F">
              <w:rPr>
                <w:rFonts w:eastAsia="MS PMincho"/>
                <w:lang w:val="fr-CH" w:eastAsia="ja-JP"/>
              </w:rPr>
              <w:t>9.1.4</w:t>
            </w:r>
            <w:r>
              <w:rPr>
                <w:rFonts w:eastAsia="MS PMincho"/>
                <w:lang w:val="fr-CH" w:eastAsia="ja-JP"/>
              </w:rPr>
              <w:t>)</w:t>
            </w:r>
            <w:r w:rsidR="003674A0">
              <w:rPr>
                <w:rFonts w:eastAsia="MS PMincho"/>
                <w:lang w:val="fr-CH" w:eastAsia="ja-JP"/>
              </w:rPr>
              <w:t>.</w:t>
            </w:r>
          </w:p>
          <w:p w14:paraId="57D5082D" w14:textId="5A7C95C9" w:rsidR="0065191E" w:rsidRPr="004D6ED7" w:rsidRDefault="0072541F" w:rsidP="00095EF6">
            <w:pPr>
              <w:rPr>
                <w:rFonts w:eastAsia="MS Mincho"/>
                <w:lang w:val="fr-CH" w:eastAsia="ja-JP"/>
              </w:rPr>
            </w:pPr>
            <w:r>
              <w:rPr>
                <w:rFonts w:eastAsia="MS PMincho"/>
                <w:lang w:val="fr-CH" w:eastAsia="ja-JP"/>
              </w:rPr>
              <w:t>Il ressort des études de l</w:t>
            </w:r>
            <w:r w:rsidR="00215480">
              <w:rPr>
                <w:rFonts w:eastAsia="MS PMincho"/>
                <w:lang w:val="fr-CH" w:eastAsia="ja-JP"/>
              </w:rPr>
              <w:t>'</w:t>
            </w:r>
            <w:r>
              <w:rPr>
                <w:rFonts w:eastAsia="MS PMincho"/>
                <w:lang w:val="fr-CH" w:eastAsia="ja-JP"/>
              </w:rPr>
              <w:t>UIT-R qu</w:t>
            </w:r>
            <w:r w:rsidR="00215480">
              <w:rPr>
                <w:rFonts w:eastAsia="MS PMincho"/>
                <w:lang w:val="fr-CH" w:eastAsia="ja-JP"/>
              </w:rPr>
              <w:t>'</w:t>
            </w:r>
            <w:r>
              <w:rPr>
                <w:rFonts w:eastAsia="MS PMincho"/>
                <w:lang w:val="fr-CH" w:eastAsia="ja-JP"/>
              </w:rPr>
              <w:t xml:space="preserve">il </w:t>
            </w:r>
            <w:r w:rsidR="008B18FE" w:rsidRPr="008B18FE">
              <w:rPr>
                <w:rFonts w:eastAsia="MS PMincho"/>
                <w:lang w:val="fr-CH" w:eastAsia="ja-JP"/>
              </w:rPr>
              <w:t>pourrait être nécessaire d</w:t>
            </w:r>
            <w:r w:rsidR="00215480">
              <w:rPr>
                <w:rFonts w:eastAsia="MS PMincho"/>
                <w:lang w:val="fr-CH" w:eastAsia="ja-JP"/>
              </w:rPr>
              <w:t>'</w:t>
            </w:r>
            <w:r w:rsidR="008B18FE" w:rsidRPr="008B18FE">
              <w:rPr>
                <w:rFonts w:eastAsia="MS PMincho"/>
                <w:lang w:val="fr-CH" w:eastAsia="ja-JP"/>
              </w:rPr>
              <w:t>aborder d</w:t>
            </w:r>
            <w:r w:rsidR="00215480">
              <w:rPr>
                <w:rFonts w:eastAsia="MS PMincho"/>
                <w:lang w:val="fr-CH" w:eastAsia="ja-JP"/>
              </w:rPr>
              <w:t>'</w:t>
            </w:r>
            <w:r w:rsidR="008B18FE" w:rsidRPr="008B18FE">
              <w:rPr>
                <w:rFonts w:eastAsia="MS PMincho"/>
                <w:lang w:val="fr-CH" w:eastAsia="ja-JP"/>
              </w:rPr>
              <w:t>autres questions d</w:t>
            </w:r>
            <w:r w:rsidR="00215480">
              <w:rPr>
                <w:rFonts w:eastAsia="MS PMincho"/>
                <w:lang w:val="fr-CH" w:eastAsia="ja-JP"/>
              </w:rPr>
              <w:t>'</w:t>
            </w:r>
            <w:r w:rsidR="008B18FE" w:rsidRPr="008B18FE">
              <w:rPr>
                <w:rFonts w:eastAsia="MS PMincho"/>
                <w:lang w:val="fr-CH" w:eastAsia="ja-JP"/>
              </w:rPr>
              <w:t>ordre opérationnel, technique et réglementaire, ce qui nécessite</w:t>
            </w:r>
            <w:r>
              <w:rPr>
                <w:rFonts w:eastAsia="MS PMincho"/>
                <w:lang w:val="fr-CH" w:eastAsia="ja-JP"/>
              </w:rPr>
              <w:t>ra</w:t>
            </w:r>
            <w:r w:rsidR="008B18FE" w:rsidRPr="008B18FE">
              <w:rPr>
                <w:rFonts w:eastAsia="MS PMincho"/>
                <w:lang w:val="fr-CH" w:eastAsia="ja-JP"/>
              </w:rPr>
              <w:t xml:space="preserve"> de poursuivre les études</w:t>
            </w:r>
            <w:r>
              <w:rPr>
                <w:rFonts w:eastAsia="MS PMincho"/>
                <w:lang w:val="fr-CH" w:eastAsia="ja-JP"/>
              </w:rPr>
              <w:t>,</w:t>
            </w:r>
            <w:r w:rsidR="008B18FE" w:rsidRPr="008B18FE">
              <w:rPr>
                <w:rFonts w:eastAsia="MS PMincho"/>
                <w:lang w:val="fr-CH" w:eastAsia="ja-JP"/>
              </w:rPr>
              <w:t xml:space="preserve"> sur le statut des stations placées à bord de véhicules suborbitaux et le type d</w:t>
            </w:r>
            <w:r w:rsidR="00215480">
              <w:rPr>
                <w:rFonts w:eastAsia="MS PMincho"/>
                <w:lang w:val="fr-CH" w:eastAsia="ja-JP"/>
              </w:rPr>
              <w:t>'</w:t>
            </w:r>
            <w:r w:rsidR="008B18FE" w:rsidRPr="008B18FE">
              <w:rPr>
                <w:rFonts w:eastAsia="MS PMincho"/>
                <w:lang w:val="fr-CH" w:eastAsia="ja-JP"/>
              </w:rPr>
              <w:t>applications, au moyen du mécanisme approprié, ainsi que sur les risques de brouillage à prendre en</w:t>
            </w:r>
            <w:r>
              <w:rPr>
                <w:rFonts w:eastAsia="MS PMincho"/>
                <w:lang w:val="fr-CH" w:eastAsia="ja-JP"/>
              </w:rPr>
              <w:t xml:space="preserve"> considération en ce qui concerne les </w:t>
            </w:r>
            <w:r w:rsidR="008B18FE" w:rsidRPr="008B18FE">
              <w:rPr>
                <w:rFonts w:eastAsia="MS PMincho"/>
                <w:lang w:eastAsia="ja-JP"/>
              </w:rPr>
              <w:t xml:space="preserve">systèmes de </w:t>
            </w:r>
            <w:r w:rsidR="003E3975">
              <w:rPr>
                <w:rFonts w:eastAsia="MS PMincho"/>
                <w:lang w:eastAsia="ja-JP"/>
              </w:rPr>
              <w:t>radio</w:t>
            </w:r>
            <w:r w:rsidR="008B18FE" w:rsidRPr="008B18FE">
              <w:rPr>
                <w:rFonts w:eastAsia="MS PMincho"/>
                <w:lang w:eastAsia="ja-JP"/>
              </w:rPr>
              <w:t>communication</w:t>
            </w:r>
            <w:r>
              <w:rPr>
                <w:rFonts w:eastAsia="MS PMincho"/>
                <w:lang w:eastAsia="ja-JP"/>
              </w:rPr>
              <w:t xml:space="preserve"> fonctionnant </w:t>
            </w:r>
            <w:r w:rsidR="008B18FE" w:rsidRPr="008B18FE">
              <w:rPr>
                <w:rFonts w:eastAsia="MS PMincho"/>
                <w:lang w:eastAsia="ja-JP"/>
              </w:rPr>
              <w:t>à bord d</w:t>
            </w:r>
            <w:r w:rsidR="00215480">
              <w:rPr>
                <w:rFonts w:eastAsia="MS PMincho"/>
                <w:lang w:eastAsia="ja-JP"/>
              </w:rPr>
              <w:t>'</w:t>
            </w:r>
            <w:r w:rsidR="008B18FE" w:rsidRPr="008B18FE">
              <w:rPr>
                <w:rFonts w:eastAsia="MS PMincho"/>
                <w:lang w:eastAsia="ja-JP"/>
              </w:rPr>
              <w:t>un véhicule suborbital</w:t>
            </w:r>
            <w:r w:rsidR="008B18FE" w:rsidRPr="008B18FE">
              <w:rPr>
                <w:rFonts w:eastAsia="MS PMincho"/>
                <w:lang w:val="fr-CH" w:eastAsia="ja-JP"/>
              </w:rPr>
              <w:t>.</w:t>
            </w:r>
          </w:p>
        </w:tc>
      </w:tr>
      <w:tr w:rsidR="0065191E" w:rsidRPr="0065191E" w14:paraId="5B671CFF" w14:textId="77777777" w:rsidTr="009A3BC4">
        <w:tc>
          <w:tcPr>
            <w:tcW w:w="9317" w:type="dxa"/>
            <w:gridSpan w:val="2"/>
          </w:tcPr>
          <w:p w14:paraId="4D49E399" w14:textId="77777777" w:rsidR="00F712A7" w:rsidRDefault="00F712A7" w:rsidP="003674A0">
            <w:pPr>
              <w:pStyle w:val="Headingb"/>
              <w:keepNext w:val="0"/>
              <w:rPr>
                <w:color w:val="000000"/>
              </w:rPr>
            </w:pPr>
            <w:r w:rsidRPr="003674A0">
              <w:rPr>
                <w:rFonts w:eastAsia="MS Gothic"/>
                <w:i/>
                <w:iCs/>
                <w:lang w:val="fr-CH"/>
              </w:rPr>
              <w:t>Services de radiocommunication concernés:</w:t>
            </w:r>
          </w:p>
          <w:p w14:paraId="3C887E6E" w14:textId="661D58ED" w:rsidR="0065191E" w:rsidRPr="004D6ED7" w:rsidRDefault="00903222" w:rsidP="00903222">
            <w:pPr>
              <w:spacing w:after="120"/>
              <w:rPr>
                <w:rFonts w:eastAsia="SimSun"/>
                <w:kern w:val="2"/>
                <w:lang w:eastAsia="ko-KR"/>
              </w:rPr>
            </w:pPr>
            <w:r>
              <w:rPr>
                <w:rFonts w:eastAsia="SimSun"/>
                <w:iCs/>
                <w:lang w:eastAsia="zh-CN"/>
              </w:rPr>
              <w:t>S</w:t>
            </w:r>
            <w:r w:rsidR="0072541F">
              <w:rPr>
                <w:rFonts w:eastAsia="SimSun"/>
                <w:iCs/>
                <w:lang w:eastAsia="zh-CN"/>
              </w:rPr>
              <w:t>ervice d</w:t>
            </w:r>
            <w:r w:rsidR="00215480">
              <w:rPr>
                <w:rFonts w:eastAsia="SimSun"/>
                <w:iCs/>
                <w:lang w:eastAsia="zh-CN"/>
              </w:rPr>
              <w:t>'</w:t>
            </w:r>
            <w:r w:rsidR="0072541F">
              <w:rPr>
                <w:rFonts w:eastAsia="SimSun"/>
                <w:iCs/>
                <w:lang w:eastAsia="zh-CN"/>
              </w:rPr>
              <w:t>exploitation spatiale, service de recherche spatiale, service</w:t>
            </w:r>
            <w:r w:rsidR="00215480">
              <w:rPr>
                <w:rFonts w:eastAsia="SimSun"/>
                <w:iCs/>
                <w:lang w:eastAsia="zh-CN"/>
              </w:rPr>
              <w:t xml:space="preserve"> </w:t>
            </w:r>
            <w:r w:rsidR="0072541F">
              <w:rPr>
                <w:rFonts w:eastAsia="SimSun"/>
                <w:iCs/>
                <w:lang w:eastAsia="zh-CN"/>
              </w:rPr>
              <w:t>mobile</w:t>
            </w:r>
            <w:r w:rsidR="00215480">
              <w:rPr>
                <w:rFonts w:eastAsia="SimSun"/>
                <w:iCs/>
                <w:lang w:eastAsia="zh-CN"/>
              </w:rPr>
              <w:t xml:space="preserve"> </w:t>
            </w:r>
            <w:r w:rsidR="0072541F">
              <w:rPr>
                <w:rFonts w:eastAsia="SimSun"/>
                <w:iCs/>
                <w:lang w:eastAsia="zh-CN"/>
              </w:rPr>
              <w:t>par satellite, service intersatellites, service</w:t>
            </w:r>
            <w:r w:rsidR="00215480">
              <w:rPr>
                <w:rFonts w:eastAsia="SimSun"/>
                <w:iCs/>
                <w:lang w:eastAsia="zh-CN"/>
              </w:rPr>
              <w:t xml:space="preserve"> </w:t>
            </w:r>
            <w:r w:rsidR="0072541F">
              <w:rPr>
                <w:rFonts w:eastAsia="SimSun"/>
                <w:iCs/>
                <w:lang w:eastAsia="zh-CN"/>
              </w:rPr>
              <w:t>mobile</w:t>
            </w:r>
            <w:r w:rsidR="00215480">
              <w:rPr>
                <w:rFonts w:eastAsia="SimSun"/>
                <w:iCs/>
                <w:lang w:eastAsia="zh-CN"/>
              </w:rPr>
              <w:t xml:space="preserve"> </w:t>
            </w:r>
            <w:r w:rsidR="0072541F">
              <w:rPr>
                <w:rFonts w:eastAsia="SimSun"/>
                <w:iCs/>
                <w:lang w:eastAsia="zh-CN"/>
              </w:rPr>
              <w:t>aéronautique, service</w:t>
            </w:r>
            <w:r w:rsidR="00215480">
              <w:rPr>
                <w:rFonts w:eastAsia="SimSun"/>
                <w:iCs/>
                <w:lang w:eastAsia="zh-CN"/>
              </w:rPr>
              <w:t xml:space="preserve"> </w:t>
            </w:r>
            <w:r w:rsidR="0072541F">
              <w:rPr>
                <w:rFonts w:eastAsia="SimSun"/>
                <w:iCs/>
                <w:lang w:eastAsia="zh-CN"/>
              </w:rPr>
              <w:t>mobile</w:t>
            </w:r>
            <w:r w:rsidR="00215480">
              <w:rPr>
                <w:rFonts w:eastAsia="SimSun"/>
                <w:iCs/>
                <w:lang w:eastAsia="zh-CN"/>
              </w:rPr>
              <w:t xml:space="preserve"> </w:t>
            </w:r>
            <w:r w:rsidR="0072541F">
              <w:rPr>
                <w:rFonts w:eastAsia="SimSun"/>
                <w:iCs/>
                <w:lang w:eastAsia="zh-CN"/>
              </w:rPr>
              <w:t>aéronautique</w:t>
            </w:r>
            <w:r w:rsidR="00215480">
              <w:rPr>
                <w:rFonts w:eastAsia="SimSun"/>
                <w:iCs/>
                <w:lang w:eastAsia="zh-CN"/>
              </w:rPr>
              <w:t xml:space="preserve"> </w:t>
            </w:r>
            <w:r w:rsidR="0072541F">
              <w:rPr>
                <w:rFonts w:eastAsia="SimSun"/>
                <w:iCs/>
                <w:lang w:eastAsia="zh-CN"/>
              </w:rPr>
              <w:t>par satellite, service de radionavigation par satellite</w:t>
            </w:r>
            <w:r w:rsidR="006C4E02">
              <w:rPr>
                <w:rFonts w:eastAsia="SimSun"/>
                <w:iCs/>
                <w:lang w:eastAsia="zh-CN"/>
              </w:rPr>
              <w:t>.</w:t>
            </w:r>
          </w:p>
        </w:tc>
      </w:tr>
      <w:tr w:rsidR="0065191E" w:rsidRPr="0072541F" w14:paraId="3DDEF1F7" w14:textId="77777777" w:rsidTr="009A3BC4">
        <w:trPr>
          <w:trHeight w:val="941"/>
        </w:trPr>
        <w:tc>
          <w:tcPr>
            <w:tcW w:w="9317" w:type="dxa"/>
            <w:gridSpan w:val="2"/>
          </w:tcPr>
          <w:p w14:paraId="1DD05714" w14:textId="38C6D626" w:rsidR="0065191E" w:rsidRPr="00F712A7" w:rsidRDefault="00F712A7" w:rsidP="00095EF6">
            <w:pPr>
              <w:pStyle w:val="Headingb"/>
              <w:keepNext w:val="0"/>
              <w:rPr>
                <w:rFonts w:eastAsia="MS Gothic"/>
                <w:i/>
                <w:iCs/>
                <w:lang w:val="fr-CH"/>
              </w:rPr>
            </w:pPr>
            <w:r w:rsidRPr="00903222">
              <w:rPr>
                <w:rFonts w:eastAsia="MS Gothic"/>
                <w:i/>
                <w:iCs/>
                <w:lang w:val="fr-CH"/>
              </w:rPr>
              <w:lastRenderedPageBreak/>
              <w:t>Indication des difficultés éventuelles:</w:t>
            </w:r>
          </w:p>
          <w:p w14:paraId="197589C6" w14:textId="6CEBB920" w:rsidR="0072541F" w:rsidRPr="00A03E4C" w:rsidRDefault="0072541F" w:rsidP="00095EF6">
            <w:pPr>
              <w:rPr>
                <w:rFonts w:eastAsia="SimSun"/>
                <w:lang w:val="fr-CH" w:eastAsia="ja-JP"/>
              </w:rPr>
            </w:pPr>
            <w:r w:rsidRPr="00A03E4C">
              <w:rPr>
                <w:rFonts w:eastAsia="SimSun"/>
                <w:lang w:val="fr-CH" w:eastAsia="ja-JP"/>
              </w:rPr>
              <w:t>Défini</w:t>
            </w:r>
            <w:r>
              <w:rPr>
                <w:rFonts w:eastAsia="SimSun"/>
                <w:lang w:val="fr-CH" w:eastAsia="ja-JP"/>
              </w:rPr>
              <w:t>tion du</w:t>
            </w:r>
            <w:r w:rsidRPr="00A03E4C">
              <w:rPr>
                <w:rFonts w:eastAsia="SimSun"/>
                <w:lang w:val="fr-CH" w:eastAsia="ja-JP"/>
              </w:rPr>
              <w:t xml:space="preserve"> statut d</w:t>
            </w:r>
            <w:r w:rsidR="00215480">
              <w:rPr>
                <w:rFonts w:eastAsia="SimSun"/>
                <w:lang w:val="fr-CH" w:eastAsia="ja-JP"/>
              </w:rPr>
              <w:t>'</w:t>
            </w:r>
            <w:r>
              <w:rPr>
                <w:rFonts w:eastAsia="SimSun"/>
                <w:lang w:val="fr-CH" w:eastAsia="ja-JP"/>
              </w:rPr>
              <w:t xml:space="preserve">une </w:t>
            </w:r>
            <w:r>
              <w:rPr>
                <w:rFonts w:eastAsia="SimSun"/>
                <w:kern w:val="2"/>
                <w:lang w:val="fr-CH" w:eastAsia="ja-JP"/>
              </w:rPr>
              <w:t>station placée</w:t>
            </w:r>
            <w:r w:rsidR="00215480">
              <w:rPr>
                <w:rFonts w:eastAsia="SimSun"/>
                <w:kern w:val="2"/>
                <w:lang w:val="fr-CH" w:eastAsia="ja-JP"/>
              </w:rPr>
              <w:t xml:space="preserve"> </w:t>
            </w:r>
            <w:r>
              <w:rPr>
                <w:rFonts w:eastAsia="SimSun"/>
                <w:kern w:val="2"/>
                <w:lang w:val="fr-CH" w:eastAsia="ja-JP"/>
              </w:rPr>
              <w:t>à bord de véhicules suborbitaux</w:t>
            </w:r>
            <w:r w:rsidR="00903222">
              <w:rPr>
                <w:rFonts w:eastAsia="SimSun"/>
                <w:kern w:val="2"/>
                <w:lang w:val="fr-CH" w:eastAsia="ja-JP"/>
              </w:rPr>
              <w:t>.</w:t>
            </w:r>
          </w:p>
          <w:p w14:paraId="67A4F1D9" w14:textId="1CC27F2D" w:rsidR="0065191E" w:rsidRPr="0072541F" w:rsidRDefault="00F2642A" w:rsidP="00095EF6">
            <w:pPr>
              <w:spacing w:after="120"/>
              <w:rPr>
                <w:rFonts w:eastAsia="SimSun"/>
                <w:bCs/>
                <w:i/>
                <w:iCs/>
                <w:kern w:val="2"/>
                <w:lang w:val="fr-CH" w:eastAsia="zh-CN"/>
              </w:rPr>
            </w:pPr>
            <w:r>
              <w:rPr>
                <w:color w:val="000000"/>
                <w:lang w:val="fr-CH"/>
              </w:rPr>
              <w:t>É</w:t>
            </w:r>
            <w:r w:rsidRPr="0072541F">
              <w:rPr>
                <w:color w:val="000000"/>
                <w:lang w:val="fr-CH"/>
              </w:rPr>
              <w:t>tudes</w:t>
            </w:r>
            <w:r w:rsidR="0072541F" w:rsidRPr="0072541F">
              <w:rPr>
                <w:color w:val="000000"/>
                <w:lang w:val="fr-CH"/>
              </w:rPr>
              <w:t xml:space="preserve"> de partage et de compatibilité avec les services existants</w:t>
            </w:r>
            <w:r w:rsidR="00215480">
              <w:rPr>
                <w:color w:val="000000"/>
                <w:lang w:val="fr-CH"/>
              </w:rPr>
              <w:t xml:space="preserve"> </w:t>
            </w:r>
            <w:r w:rsidR="0072541F" w:rsidRPr="0072541F">
              <w:rPr>
                <w:color w:val="000000"/>
                <w:lang w:val="fr-CH"/>
              </w:rPr>
              <w:t>eu</w:t>
            </w:r>
            <w:r w:rsidR="00215480">
              <w:rPr>
                <w:color w:val="000000"/>
                <w:lang w:val="fr-CH"/>
              </w:rPr>
              <w:t xml:space="preserve"> </w:t>
            </w:r>
            <w:r w:rsidR="0072541F" w:rsidRPr="0072541F">
              <w:rPr>
                <w:color w:val="000000"/>
                <w:lang w:val="fr-CH"/>
              </w:rPr>
              <w:t>égard aux scénarios d</w:t>
            </w:r>
            <w:r w:rsidR="00215480">
              <w:rPr>
                <w:color w:val="000000"/>
                <w:lang w:val="fr-CH"/>
              </w:rPr>
              <w:t>'</w:t>
            </w:r>
            <w:r w:rsidR="0072541F" w:rsidRPr="0072541F">
              <w:rPr>
                <w:color w:val="000000"/>
                <w:lang w:val="fr-CH"/>
              </w:rPr>
              <w:t>application des vols</w:t>
            </w:r>
            <w:r w:rsidR="0072541F" w:rsidRPr="0072541F">
              <w:rPr>
                <w:lang w:val="fr-CH"/>
              </w:rPr>
              <w:t xml:space="preserve"> suborbitaux</w:t>
            </w:r>
            <w:r w:rsidR="00903222">
              <w:rPr>
                <w:color w:val="000000"/>
                <w:lang w:val="fr-CH"/>
              </w:rPr>
              <w:t>.</w:t>
            </w:r>
          </w:p>
        </w:tc>
      </w:tr>
      <w:tr w:rsidR="0065191E" w:rsidRPr="00A40C9A" w14:paraId="177486FF" w14:textId="77777777" w:rsidTr="009A3BC4">
        <w:tc>
          <w:tcPr>
            <w:tcW w:w="9317" w:type="dxa"/>
            <w:gridSpan w:val="2"/>
          </w:tcPr>
          <w:p w14:paraId="2CF56C4B" w14:textId="0EDE28D7" w:rsidR="0065191E" w:rsidRPr="00F712A7" w:rsidRDefault="00F712A7" w:rsidP="00095EF6">
            <w:pPr>
              <w:pStyle w:val="Headingb"/>
              <w:keepNext w:val="0"/>
              <w:rPr>
                <w:rFonts w:eastAsia="MS Gothic"/>
                <w:i/>
                <w:iCs/>
                <w:lang w:val="fr-CH" w:eastAsia="ja-JP"/>
              </w:rPr>
            </w:pPr>
            <w:r w:rsidRPr="00903222">
              <w:rPr>
                <w:rFonts w:eastAsia="MS Gothic"/>
                <w:i/>
                <w:iCs/>
                <w:lang w:val="fr-CH"/>
              </w:rPr>
              <w:t>Études précédentes ou en cours sur la question:</w:t>
            </w:r>
          </w:p>
          <w:p w14:paraId="5E4851BC" w14:textId="5C07F702" w:rsidR="0065191E" w:rsidRPr="00A40C9A" w:rsidRDefault="0072541F" w:rsidP="00095EF6">
            <w:pPr>
              <w:spacing w:beforeLines="50" w:afterLines="50" w:after="120"/>
              <w:rPr>
                <w:rFonts w:eastAsia="MS PMincho"/>
                <w:kern w:val="2"/>
                <w:lang w:eastAsia="ja-JP"/>
              </w:rPr>
            </w:pPr>
            <w:r w:rsidRPr="0072541F">
              <w:rPr>
                <w:rFonts w:eastAsia="MS PMincho"/>
                <w:kern w:val="2"/>
                <w:lang w:val="fr-CH" w:eastAsia="ja-JP"/>
              </w:rPr>
              <w:t xml:space="preserve">Le </w:t>
            </w:r>
            <w:r w:rsidRPr="0072541F">
              <w:rPr>
                <w:rFonts w:eastAsia="MS PMincho" w:hint="eastAsia"/>
                <w:kern w:val="2"/>
                <w:lang w:val="fr-CH" w:eastAsia="ja-JP"/>
              </w:rPr>
              <w:t>GT</w:t>
            </w:r>
            <w:r w:rsidR="0065191E" w:rsidRPr="0072541F">
              <w:rPr>
                <w:rFonts w:eastAsia="MS PMincho" w:hint="eastAsia"/>
                <w:kern w:val="2"/>
                <w:lang w:val="fr-CH" w:eastAsia="ja-JP"/>
              </w:rPr>
              <w:t xml:space="preserve"> 5B</w:t>
            </w:r>
            <w:r w:rsidRPr="0072541F">
              <w:rPr>
                <w:rFonts w:eastAsia="MS PMincho"/>
                <w:kern w:val="2"/>
                <w:lang w:val="fr-CH" w:eastAsia="ja-JP"/>
              </w:rPr>
              <w:t xml:space="preserve"> de l</w:t>
            </w:r>
            <w:r w:rsidR="00215480">
              <w:rPr>
                <w:rFonts w:eastAsia="MS PMincho"/>
                <w:kern w:val="2"/>
                <w:lang w:val="fr-CH" w:eastAsia="ja-JP"/>
              </w:rPr>
              <w:t>'</w:t>
            </w:r>
            <w:r w:rsidRPr="0072541F">
              <w:rPr>
                <w:rFonts w:eastAsia="MS PMincho" w:hint="eastAsia"/>
                <w:kern w:val="2"/>
                <w:lang w:val="fr-CH" w:eastAsia="ja-JP"/>
              </w:rPr>
              <w:t xml:space="preserve"> UIT-R</w:t>
            </w:r>
            <w:r w:rsidR="0065191E" w:rsidRPr="0072541F">
              <w:rPr>
                <w:rFonts w:eastAsia="MS PMincho"/>
                <w:kern w:val="2"/>
                <w:lang w:val="fr-CH" w:eastAsia="ja-JP"/>
              </w:rPr>
              <w:t xml:space="preserve">, </w:t>
            </w:r>
            <w:r w:rsidRPr="0072541F">
              <w:rPr>
                <w:rFonts w:eastAsia="MS PMincho"/>
                <w:kern w:val="2"/>
                <w:lang w:val="fr-CH" w:eastAsia="ja-JP"/>
              </w:rPr>
              <w:t>en sa qualité de groupe responsable de la question</w:t>
            </w:r>
            <w:r>
              <w:rPr>
                <w:rFonts w:eastAsia="MS PMincho"/>
                <w:kern w:val="2"/>
                <w:lang w:val="fr-CH" w:eastAsia="ja-JP"/>
              </w:rPr>
              <w:t xml:space="preserve"> </w:t>
            </w:r>
            <w:r w:rsidRPr="0072541F">
              <w:rPr>
                <w:rFonts w:eastAsia="MS PMincho"/>
                <w:kern w:val="2"/>
                <w:lang w:val="fr-CH" w:eastAsia="ja-JP"/>
              </w:rPr>
              <w:t>9.1.</w:t>
            </w:r>
            <w:r w:rsidRPr="0072541F">
              <w:rPr>
                <w:rFonts w:eastAsia="MS PMincho" w:hint="eastAsia"/>
                <w:kern w:val="2"/>
                <w:lang w:val="fr-CH" w:eastAsia="ja-JP"/>
              </w:rPr>
              <w:t>4</w:t>
            </w:r>
            <w:r w:rsidRPr="0072541F">
              <w:rPr>
                <w:rFonts w:eastAsia="MS PMincho"/>
                <w:kern w:val="2"/>
                <w:lang w:val="fr-CH" w:eastAsia="ja-JP"/>
              </w:rPr>
              <w:t xml:space="preserve">, </w:t>
            </w:r>
            <w:r w:rsidR="003E3975">
              <w:rPr>
                <w:rFonts w:eastAsia="MS PMincho"/>
                <w:kern w:val="2"/>
                <w:lang w:val="fr-CH" w:eastAsia="ja-JP"/>
              </w:rPr>
              <w:t>a</w:t>
            </w:r>
            <w:r w:rsidRPr="0072541F">
              <w:rPr>
                <w:rFonts w:eastAsia="MS PMincho"/>
                <w:kern w:val="2"/>
                <w:lang w:val="fr-CH" w:eastAsia="ja-JP"/>
              </w:rPr>
              <w:t xml:space="preserve"> men</w:t>
            </w:r>
            <w:r>
              <w:rPr>
                <w:rFonts w:eastAsia="MS PMincho"/>
                <w:kern w:val="2"/>
                <w:lang w:val="fr-CH" w:eastAsia="ja-JP"/>
              </w:rPr>
              <w:t>é</w:t>
            </w:r>
            <w:r w:rsidRPr="0072541F">
              <w:rPr>
                <w:rFonts w:eastAsia="MS PMincho"/>
                <w:kern w:val="2"/>
                <w:lang w:val="fr-CH" w:eastAsia="ja-JP"/>
              </w:rPr>
              <w:t xml:space="preserve"> des études sur les questions relatives </w:t>
            </w:r>
            <w:r>
              <w:rPr>
                <w:rFonts w:eastAsia="MS PMincho"/>
                <w:kern w:val="2"/>
                <w:lang w:val="fr-CH" w:eastAsia="ja-JP"/>
              </w:rPr>
              <w:t>aux vols spatiaux suborbitaux, aux véhicules suborbitaux et aux stations placées à bord de véhicules</w:t>
            </w:r>
            <w:r w:rsidR="00215480">
              <w:rPr>
                <w:rFonts w:eastAsia="MS PMincho"/>
                <w:kern w:val="2"/>
                <w:lang w:val="fr-CH" w:eastAsia="ja-JP"/>
              </w:rPr>
              <w:t xml:space="preserve"> </w:t>
            </w:r>
            <w:r>
              <w:rPr>
                <w:rFonts w:eastAsia="MS PMincho"/>
                <w:kern w:val="2"/>
                <w:lang w:val="fr-CH" w:eastAsia="ja-JP"/>
              </w:rPr>
              <w:t>suborbitaux, etc.</w:t>
            </w:r>
            <w:r w:rsidR="004E3E63">
              <w:rPr>
                <w:rFonts w:eastAsia="MS PMincho"/>
                <w:kern w:val="2"/>
                <w:lang w:val="fr-CH" w:eastAsia="ja-JP"/>
              </w:rPr>
              <w:t>,</w:t>
            </w:r>
            <w:r w:rsidR="00215480">
              <w:rPr>
                <w:rFonts w:eastAsia="MS PMincho"/>
                <w:kern w:val="2"/>
                <w:lang w:val="fr-CH" w:eastAsia="ja-JP"/>
              </w:rPr>
              <w:t xml:space="preserve"> </w:t>
            </w:r>
            <w:r w:rsidRPr="0072541F">
              <w:rPr>
                <w:rFonts w:eastAsia="MS PMincho"/>
                <w:kern w:val="2"/>
                <w:lang w:val="fr-CH" w:eastAsia="ja-JP"/>
              </w:rPr>
              <w:t>et a élaboré un projet de nouveau rapport UIT-R M.[</w:t>
            </w:r>
            <w:r w:rsidRPr="0072541F">
              <w:rPr>
                <w:rFonts w:eastAsia="MS PMincho"/>
                <w:caps/>
                <w:kern w:val="2"/>
                <w:lang w:val="fr-CH" w:eastAsia="ja-JP"/>
              </w:rPr>
              <w:t>Suborbital Vehicles</w:t>
            </w:r>
            <w:r w:rsidRPr="0072541F">
              <w:rPr>
                <w:rFonts w:eastAsia="MS PMincho"/>
                <w:kern w:val="2"/>
                <w:lang w:val="fr-CH" w:eastAsia="ja-JP"/>
              </w:rPr>
              <w:t>], intitulé</w:t>
            </w:r>
            <w:r w:rsidR="00215480">
              <w:rPr>
                <w:rFonts w:eastAsia="MS PMincho"/>
                <w:kern w:val="2"/>
                <w:lang w:val="fr-CH" w:eastAsia="ja-JP"/>
              </w:rPr>
              <w:t xml:space="preserve"> </w:t>
            </w:r>
            <w:r w:rsidR="00215480" w:rsidRPr="00215480">
              <w:t>«</w:t>
            </w:r>
            <w:r w:rsidR="0065191E" w:rsidRPr="0072541F">
              <w:rPr>
                <w:rFonts w:eastAsia="MS PMincho"/>
                <w:kern w:val="2"/>
                <w:lang w:val="fr-CH" w:eastAsia="ja-JP"/>
              </w:rPr>
              <w:t xml:space="preserve">Radiocommunications </w:t>
            </w:r>
            <w:r>
              <w:rPr>
                <w:rFonts w:eastAsia="MS PMincho"/>
                <w:kern w:val="2"/>
                <w:lang w:val="fr-CH" w:eastAsia="ja-JP"/>
              </w:rPr>
              <w:t>pour les véhicules suborbitaux</w:t>
            </w:r>
            <w:r w:rsidR="00215480">
              <w:rPr>
                <w:rFonts w:eastAsia="MS PMincho"/>
                <w:kern w:val="2"/>
                <w:lang w:val="fr-CH" w:eastAsia="ja-JP"/>
              </w:rPr>
              <w:t>»</w:t>
            </w:r>
            <w:r w:rsidR="0065191E" w:rsidRPr="0072541F">
              <w:rPr>
                <w:rFonts w:eastAsia="MS PMincho"/>
                <w:kern w:val="2"/>
                <w:lang w:val="fr-CH" w:eastAsia="ja-JP"/>
              </w:rPr>
              <w:t xml:space="preserve">, </w:t>
            </w:r>
            <w:r>
              <w:rPr>
                <w:rFonts w:eastAsia="MS PMincho"/>
                <w:kern w:val="2"/>
                <w:lang w:val="fr-CH" w:eastAsia="ja-JP"/>
              </w:rPr>
              <w:t>qui a été soumis à la réunion de septembre 2019 de la</w:t>
            </w:r>
            <w:r w:rsidR="00215480">
              <w:rPr>
                <w:rFonts w:eastAsia="MS PMincho"/>
                <w:kern w:val="2"/>
                <w:lang w:val="fr-CH" w:eastAsia="ja-JP"/>
              </w:rPr>
              <w:t xml:space="preserve"> </w:t>
            </w:r>
            <w:r w:rsidRPr="0072541F">
              <w:rPr>
                <w:rFonts w:eastAsia="MS PMincho"/>
                <w:kern w:val="2"/>
                <w:lang w:val="fr-CH" w:eastAsia="ja-JP"/>
              </w:rPr>
              <w:t>CE</w:t>
            </w:r>
            <w:r w:rsidR="0065191E" w:rsidRPr="0072541F">
              <w:rPr>
                <w:rFonts w:eastAsia="MS PMincho"/>
                <w:kern w:val="2"/>
                <w:lang w:val="fr-CH" w:eastAsia="ja-JP"/>
              </w:rPr>
              <w:t xml:space="preserve"> 5</w:t>
            </w:r>
            <w:r>
              <w:rPr>
                <w:rFonts w:eastAsia="MS PMincho"/>
                <w:kern w:val="2"/>
                <w:lang w:val="fr-CH" w:eastAsia="ja-JP"/>
              </w:rPr>
              <w:t>.</w:t>
            </w:r>
            <w:r w:rsidR="00215480">
              <w:rPr>
                <w:rFonts w:eastAsia="MS PMincho"/>
                <w:kern w:val="2"/>
                <w:lang w:val="fr-CH" w:eastAsia="ja-JP"/>
              </w:rPr>
              <w:t xml:space="preserve"> </w:t>
            </w:r>
            <w:r w:rsidR="003E3975">
              <w:rPr>
                <w:rFonts w:eastAsia="MS PMincho"/>
                <w:kern w:val="2"/>
                <w:lang w:val="fr-CH" w:eastAsia="ja-JP"/>
              </w:rPr>
              <w:t>C</w:t>
            </w:r>
            <w:r w:rsidRPr="0072541F">
              <w:rPr>
                <w:rFonts w:eastAsia="MS PMincho"/>
                <w:kern w:val="2"/>
                <w:lang w:val="fr-CH" w:eastAsia="ja-JP"/>
              </w:rPr>
              <w:t>e rapport présente différentes définitions relatives aux véhicules suborbitaux ainsi qu</w:t>
            </w:r>
            <w:r w:rsidR="00215480">
              <w:rPr>
                <w:rFonts w:eastAsia="MS PMincho"/>
                <w:kern w:val="2"/>
                <w:lang w:val="fr-CH" w:eastAsia="ja-JP"/>
              </w:rPr>
              <w:t>'</w:t>
            </w:r>
            <w:r w:rsidRPr="0072541F">
              <w:rPr>
                <w:rFonts w:eastAsia="MS PMincho"/>
                <w:kern w:val="2"/>
                <w:lang w:val="fr-CH" w:eastAsia="ja-JP"/>
              </w:rPr>
              <w:t xml:space="preserve">une </w:t>
            </w:r>
            <w:r w:rsidR="004E3E63">
              <w:rPr>
                <w:rFonts w:eastAsia="MS PMincho"/>
                <w:kern w:val="2"/>
                <w:lang w:val="fr-CH" w:eastAsia="ja-JP"/>
              </w:rPr>
              <w:t xml:space="preserve">description </w:t>
            </w:r>
            <w:r w:rsidRPr="0072541F">
              <w:rPr>
                <w:rFonts w:eastAsia="MS PMincho"/>
                <w:kern w:val="2"/>
                <w:lang w:val="fr-CH" w:eastAsia="ja-JP"/>
              </w:rPr>
              <w:t>d</w:t>
            </w:r>
            <w:r w:rsidR="00215480">
              <w:rPr>
                <w:rFonts w:eastAsia="MS PMincho"/>
                <w:kern w:val="2"/>
                <w:lang w:val="fr-CH" w:eastAsia="ja-JP"/>
              </w:rPr>
              <w:t>'</w:t>
            </w:r>
            <w:r w:rsidRPr="0072541F">
              <w:rPr>
                <w:rFonts w:eastAsia="MS PMincho"/>
                <w:kern w:val="2"/>
                <w:lang w:val="fr-CH" w:eastAsia="ja-JP"/>
              </w:rPr>
              <w:t>un vol suborbital</w:t>
            </w:r>
            <w:r>
              <w:rPr>
                <w:rFonts w:eastAsia="MS PMincho"/>
                <w:kern w:val="2"/>
                <w:lang w:val="fr-CH" w:eastAsia="ja-JP"/>
              </w:rPr>
              <w:t xml:space="preserve"> et traite du développement prévu, dans le cadre duquel il faudra peut-être que les stations </w:t>
            </w:r>
            <w:r w:rsidR="003E3975">
              <w:rPr>
                <w:rFonts w:eastAsia="MS PMincho"/>
                <w:kern w:val="2"/>
                <w:lang w:val="fr-CH" w:eastAsia="ja-JP"/>
              </w:rPr>
              <w:t xml:space="preserve">de </w:t>
            </w:r>
            <w:r>
              <w:rPr>
                <w:rFonts w:eastAsia="MS PMincho"/>
                <w:kern w:val="2"/>
                <w:lang w:val="fr-CH" w:eastAsia="ja-JP"/>
              </w:rPr>
              <w:t>radio</w:t>
            </w:r>
            <w:r w:rsidR="003E3975">
              <w:rPr>
                <w:rFonts w:eastAsia="MS PMincho"/>
                <w:kern w:val="2"/>
                <w:lang w:val="fr-CH" w:eastAsia="ja-JP"/>
              </w:rPr>
              <w:t xml:space="preserve">communication </w:t>
            </w:r>
            <w:r>
              <w:rPr>
                <w:rFonts w:eastAsia="MS PMincho"/>
                <w:kern w:val="2"/>
                <w:lang w:val="fr-CH" w:eastAsia="ja-JP"/>
              </w:rPr>
              <w:t xml:space="preserve">placées à bord de véhicules </w:t>
            </w:r>
            <w:r w:rsidRPr="0072541F">
              <w:rPr>
                <w:rFonts w:eastAsia="MS PMincho"/>
                <w:kern w:val="2"/>
                <w:lang w:val="fr-CH" w:eastAsia="ja-JP"/>
              </w:rPr>
              <w:t xml:space="preserve">suborbitaux </w:t>
            </w:r>
            <w:r>
              <w:rPr>
                <w:rFonts w:eastAsia="MS PMincho"/>
                <w:kern w:val="2"/>
                <w:lang w:val="fr-CH" w:eastAsia="ja-JP"/>
              </w:rPr>
              <w:t>utilisent des fréquences attribuées aux radiocommunications spatiales et aux radiocommunications de Terre pour</w:t>
            </w:r>
            <w:r w:rsidR="00A40C9A">
              <w:rPr>
                <w:lang w:val="fr-CH"/>
              </w:rPr>
              <w:t xml:space="preserve"> les communications vocales/de données, la navigation, la surveillance, la télémesure, poursuite et télécommande </w:t>
            </w:r>
            <w:r w:rsidR="00A40C9A" w:rsidRPr="00B8750F">
              <w:rPr>
                <w:rFonts w:eastAsia="MS PMincho"/>
                <w:lang w:val="fr-CH" w:eastAsia="ja-JP"/>
              </w:rPr>
              <w:t xml:space="preserve">(TT&amp;C) </w:t>
            </w:r>
            <w:r w:rsidR="00A40C9A">
              <w:rPr>
                <w:lang w:val="fr-CH"/>
              </w:rPr>
              <w:t xml:space="preserve">et la sécurité </w:t>
            </w:r>
            <w:r w:rsidR="00A40C9A">
              <w:rPr>
                <w:color w:val="000000"/>
              </w:rPr>
              <w:t xml:space="preserve">des personnes et des biens. On trouve également dans ce rapport une analyse du décalage </w:t>
            </w:r>
            <w:r w:rsidR="00A40C9A" w:rsidRPr="00A40C9A">
              <w:rPr>
                <w:rFonts w:eastAsia="MS PMincho"/>
                <w:kern w:val="2"/>
                <w:lang w:eastAsia="ja-JP"/>
              </w:rPr>
              <w:t xml:space="preserve">Doppler </w:t>
            </w:r>
            <w:r w:rsidR="00A40C9A">
              <w:rPr>
                <w:rFonts w:eastAsia="MS PMincho"/>
                <w:kern w:val="2"/>
                <w:lang w:eastAsia="ja-JP"/>
              </w:rPr>
              <w:t xml:space="preserve">et </w:t>
            </w:r>
            <w:r w:rsidR="00A40C9A">
              <w:rPr>
                <w:color w:val="000000"/>
              </w:rPr>
              <w:t xml:space="preserve">du bilan de liaison pour les systèmes aéronautiques actuels </w:t>
            </w:r>
            <w:r w:rsidR="003E3975">
              <w:rPr>
                <w:color w:val="000000"/>
              </w:rPr>
              <w:t>susceptibles d</w:t>
            </w:r>
            <w:r w:rsidR="00215480">
              <w:rPr>
                <w:color w:val="000000"/>
              </w:rPr>
              <w:t>'</w:t>
            </w:r>
            <w:r w:rsidR="00A40C9A">
              <w:rPr>
                <w:color w:val="000000"/>
              </w:rPr>
              <w:t xml:space="preserve">être utilisés à bord </w:t>
            </w:r>
            <w:r w:rsidR="00A40C9A">
              <w:rPr>
                <w:rFonts w:eastAsia="MS PMincho"/>
                <w:kern w:val="2"/>
                <w:lang w:val="fr-CH" w:eastAsia="ja-JP"/>
              </w:rPr>
              <w:t xml:space="preserve">de véhicules </w:t>
            </w:r>
            <w:r w:rsidR="00A40C9A" w:rsidRPr="0072541F">
              <w:rPr>
                <w:rFonts w:eastAsia="MS PMincho"/>
                <w:kern w:val="2"/>
                <w:lang w:val="fr-CH" w:eastAsia="ja-JP"/>
              </w:rPr>
              <w:t>suborbitaux</w:t>
            </w:r>
            <w:r w:rsidR="00A40C9A">
              <w:rPr>
                <w:rFonts w:eastAsia="MS PMincho"/>
                <w:kern w:val="2"/>
                <w:lang w:val="fr-CH" w:eastAsia="ja-JP"/>
              </w:rPr>
              <w:t>, et pendant les phases d</w:t>
            </w:r>
            <w:r w:rsidR="00215480">
              <w:rPr>
                <w:rFonts w:eastAsia="MS PMincho"/>
                <w:kern w:val="2"/>
                <w:lang w:val="fr-CH" w:eastAsia="ja-JP"/>
              </w:rPr>
              <w:t>'</w:t>
            </w:r>
            <w:r w:rsidR="00A40C9A">
              <w:rPr>
                <w:rFonts w:eastAsia="MS PMincho"/>
                <w:kern w:val="2"/>
                <w:lang w:val="fr-CH" w:eastAsia="ja-JP"/>
              </w:rPr>
              <w:t xml:space="preserve">un vol </w:t>
            </w:r>
            <w:r w:rsidR="00A40C9A" w:rsidRPr="0072541F">
              <w:rPr>
                <w:rFonts w:eastAsia="MS PMincho"/>
                <w:kern w:val="2"/>
                <w:lang w:val="fr-CH" w:eastAsia="ja-JP"/>
              </w:rPr>
              <w:t>suborbita</w:t>
            </w:r>
            <w:r w:rsidR="00A40C9A">
              <w:rPr>
                <w:rFonts w:eastAsia="MS PMincho"/>
                <w:kern w:val="2"/>
                <w:lang w:val="fr-CH" w:eastAsia="ja-JP"/>
              </w:rPr>
              <w:t>l</w:t>
            </w:r>
            <w:r w:rsidR="003E3975">
              <w:rPr>
                <w:rFonts w:eastAsia="MS PMincho"/>
                <w:kern w:val="2"/>
                <w:lang w:val="fr-CH" w:eastAsia="ja-JP"/>
              </w:rPr>
              <w:t>,</w:t>
            </w:r>
            <w:r w:rsidR="00A40C9A">
              <w:rPr>
                <w:rFonts w:eastAsia="MS PMincho"/>
                <w:kern w:val="2"/>
                <w:lang w:val="fr-CH" w:eastAsia="ja-JP"/>
              </w:rPr>
              <w:t xml:space="preserve"> ainsi que </w:t>
            </w:r>
            <w:r w:rsidR="004E3E63">
              <w:rPr>
                <w:rFonts w:eastAsia="MS PMincho"/>
                <w:kern w:val="2"/>
                <w:lang w:val="fr-CH" w:eastAsia="ja-JP"/>
              </w:rPr>
              <w:t>l</w:t>
            </w:r>
            <w:r w:rsidR="00A40C9A">
              <w:rPr>
                <w:rFonts w:eastAsia="MS PMincho"/>
                <w:kern w:val="2"/>
                <w:lang w:val="fr-CH" w:eastAsia="ja-JP"/>
              </w:rPr>
              <w:t xml:space="preserve">es bandes de fréquences pour les </w:t>
            </w:r>
            <w:r w:rsidR="003E3975">
              <w:rPr>
                <w:rFonts w:eastAsia="MS PMincho"/>
                <w:kern w:val="2"/>
                <w:lang w:val="fr-CH" w:eastAsia="ja-JP"/>
              </w:rPr>
              <w:t>radiocommunications</w:t>
            </w:r>
            <w:r w:rsidR="004E3E63">
              <w:rPr>
                <w:rFonts w:eastAsia="MS PMincho"/>
                <w:kern w:val="2"/>
                <w:lang w:val="fr-CH" w:eastAsia="ja-JP"/>
              </w:rPr>
              <w:t xml:space="preserve"> à retenir</w:t>
            </w:r>
            <w:r w:rsidR="00E90519">
              <w:rPr>
                <w:rFonts w:eastAsia="MS PMincho"/>
                <w:kern w:val="2"/>
                <w:lang w:val="fr-CH" w:eastAsia="ja-JP"/>
              </w:rPr>
              <w:t>,</w:t>
            </w:r>
            <w:r w:rsidR="003E3975">
              <w:rPr>
                <w:rFonts w:eastAsia="MS PMincho"/>
                <w:kern w:val="2"/>
                <w:lang w:val="fr-CH" w:eastAsia="ja-JP"/>
              </w:rPr>
              <w:t xml:space="preserve"> </w:t>
            </w:r>
            <w:r w:rsidR="00A40C9A">
              <w:rPr>
                <w:rFonts w:eastAsia="MS PMincho"/>
                <w:kern w:val="2"/>
                <w:lang w:val="fr-CH" w:eastAsia="ja-JP"/>
              </w:rPr>
              <w:t>etc</w:t>
            </w:r>
            <w:r w:rsidR="003E3975">
              <w:rPr>
                <w:rFonts w:eastAsia="MS PMincho"/>
                <w:kern w:val="2"/>
                <w:lang w:val="fr-CH" w:eastAsia="ja-JP"/>
              </w:rPr>
              <w:t>.</w:t>
            </w:r>
          </w:p>
        </w:tc>
      </w:tr>
      <w:tr w:rsidR="0065191E" w:rsidRPr="0065191E" w14:paraId="0BED3645" w14:textId="77777777" w:rsidTr="009A3BC4">
        <w:tc>
          <w:tcPr>
            <w:tcW w:w="4205" w:type="dxa"/>
          </w:tcPr>
          <w:p w14:paraId="6C6B951D" w14:textId="41B4AEFC" w:rsidR="0065191E" w:rsidRPr="00F712A7" w:rsidRDefault="00F712A7" w:rsidP="00095EF6">
            <w:pPr>
              <w:pStyle w:val="Headingb"/>
              <w:keepNext w:val="0"/>
              <w:rPr>
                <w:rFonts w:eastAsia="MS Gothic"/>
                <w:i/>
                <w:iCs/>
                <w:lang w:val="fr-CH" w:eastAsia="ja-JP"/>
              </w:rPr>
            </w:pPr>
            <w:r w:rsidRPr="00903222">
              <w:rPr>
                <w:rFonts w:eastAsia="MS Gothic"/>
                <w:i/>
                <w:iCs/>
                <w:lang w:val="fr-CH"/>
              </w:rPr>
              <w:t>Études devant être réalisées par:</w:t>
            </w:r>
          </w:p>
          <w:p w14:paraId="76446761" w14:textId="55B05F6A" w:rsidR="0065191E" w:rsidRPr="00A40C9A" w:rsidRDefault="003E3975" w:rsidP="00095EF6">
            <w:pPr>
              <w:spacing w:beforeLines="50" w:afterLines="50" w:after="120"/>
              <w:rPr>
                <w:rFonts w:eastAsia="SimSun"/>
                <w:bCs/>
                <w:iCs/>
                <w:kern w:val="2"/>
                <w:lang w:val="fr-CH" w:eastAsia="ko-KR"/>
              </w:rPr>
            </w:pPr>
            <w:r>
              <w:rPr>
                <w:rFonts w:eastAsia="MS Mincho"/>
                <w:color w:val="000000"/>
                <w:lang w:val="fr-CH"/>
              </w:rPr>
              <w:t>G</w:t>
            </w:r>
            <w:r w:rsidR="00A40C9A" w:rsidRPr="00A40C9A">
              <w:rPr>
                <w:rFonts w:eastAsia="MS Mincho"/>
                <w:color w:val="000000"/>
                <w:lang w:val="fr-CH"/>
              </w:rPr>
              <w:t>roupe de travail 5B de l</w:t>
            </w:r>
            <w:r w:rsidR="00215480">
              <w:rPr>
                <w:rFonts w:eastAsia="MS Mincho"/>
                <w:color w:val="000000"/>
                <w:lang w:val="fr-CH"/>
              </w:rPr>
              <w:t>'</w:t>
            </w:r>
            <w:r w:rsidR="00A40C9A" w:rsidRPr="00A40C9A">
              <w:rPr>
                <w:rFonts w:eastAsia="MS Mincho"/>
                <w:color w:val="000000"/>
                <w:lang w:val="fr-CH"/>
              </w:rPr>
              <w:t>UIT</w:t>
            </w:r>
            <w:r w:rsidR="00A40C9A">
              <w:rPr>
                <w:rFonts w:eastAsia="MS Mincho"/>
                <w:color w:val="000000"/>
                <w:lang w:val="fr-CH"/>
              </w:rPr>
              <w:t>-R</w:t>
            </w:r>
            <w:r w:rsidR="00215480">
              <w:rPr>
                <w:rFonts w:eastAsia="MS Mincho"/>
                <w:color w:val="000000"/>
                <w:lang w:val="fr-CH"/>
              </w:rPr>
              <w:t xml:space="preserve"> </w:t>
            </w:r>
          </w:p>
        </w:tc>
        <w:tc>
          <w:tcPr>
            <w:tcW w:w="5112" w:type="dxa"/>
          </w:tcPr>
          <w:p w14:paraId="393ED92B" w14:textId="2E77922F" w:rsidR="0065191E" w:rsidRPr="004D6ED7" w:rsidRDefault="00F712A7" w:rsidP="00095EF6">
            <w:pPr>
              <w:pStyle w:val="Headingb"/>
              <w:keepNext w:val="0"/>
              <w:rPr>
                <w:rFonts w:eastAsia="MS Gothic"/>
                <w:i/>
                <w:iCs/>
                <w:lang w:val="fr-CH" w:eastAsia="ja-JP"/>
              </w:rPr>
            </w:pPr>
            <w:r w:rsidRPr="00903222">
              <w:rPr>
                <w:rFonts w:eastAsia="MS Gothic"/>
                <w:i/>
                <w:iCs/>
                <w:lang w:val="fr-CH"/>
              </w:rPr>
              <w:t>avec la participation de</w:t>
            </w:r>
            <w:r>
              <w:rPr>
                <w:rFonts w:eastAsia="MS Gothic"/>
                <w:i/>
                <w:iCs/>
                <w:lang w:val="fr-CH"/>
              </w:rPr>
              <w:t xml:space="preserve"> </w:t>
            </w:r>
          </w:p>
          <w:p w14:paraId="3B1E13DF" w14:textId="0A0A0780" w:rsidR="0065191E" w:rsidRPr="004D6ED7" w:rsidRDefault="008B18FE" w:rsidP="00095EF6">
            <w:pPr>
              <w:spacing w:after="120"/>
              <w:rPr>
                <w:rFonts w:eastAsia="MS Gothic"/>
                <w:kern w:val="2"/>
                <w:lang w:val="fr-CH" w:eastAsia="ja-JP"/>
              </w:rPr>
            </w:pPr>
            <w:r w:rsidRPr="008B18FE">
              <w:rPr>
                <w:lang w:val="fr-CH"/>
              </w:rPr>
              <w:t>Comité des utilisations pacifiques de l</w:t>
            </w:r>
            <w:r w:rsidR="00215480">
              <w:rPr>
                <w:lang w:val="fr-CH"/>
              </w:rPr>
              <w:t>'</w:t>
            </w:r>
            <w:r w:rsidRPr="008B18FE">
              <w:rPr>
                <w:lang w:val="fr-CH"/>
              </w:rPr>
              <w:t>espace extra</w:t>
            </w:r>
            <w:r w:rsidRPr="008B18FE">
              <w:rPr>
                <w:lang w:val="fr-CH"/>
              </w:rPr>
              <w:noBreakHyphen/>
              <w:t>atmosphérique des Nations Unies (COPUOS) et Organisation de l</w:t>
            </w:r>
            <w:r w:rsidR="00215480">
              <w:rPr>
                <w:lang w:val="fr-CH"/>
              </w:rPr>
              <w:t>'</w:t>
            </w:r>
            <w:r w:rsidRPr="008B18FE">
              <w:rPr>
                <w:lang w:val="fr-CH"/>
              </w:rPr>
              <w:t xml:space="preserve">aviation civile internationale (OACI) </w:t>
            </w:r>
            <w:r w:rsidR="00A40C9A">
              <w:rPr>
                <w:lang w:val="fr-CH"/>
              </w:rPr>
              <w:t>et</w:t>
            </w:r>
            <w:r w:rsidRPr="008B18FE">
              <w:rPr>
                <w:lang w:val="fr-CH"/>
              </w:rPr>
              <w:t xml:space="preserve"> autres organisations internationales et régionales concernées.</w:t>
            </w:r>
          </w:p>
        </w:tc>
      </w:tr>
      <w:tr w:rsidR="0065191E" w:rsidRPr="0065191E" w14:paraId="032EF30C" w14:textId="77777777" w:rsidTr="009A3BC4">
        <w:tc>
          <w:tcPr>
            <w:tcW w:w="9317" w:type="dxa"/>
            <w:gridSpan w:val="2"/>
          </w:tcPr>
          <w:p w14:paraId="2647A9E5" w14:textId="0EB6B07C" w:rsidR="0065191E" w:rsidRPr="00F712A7" w:rsidRDefault="00F712A7" w:rsidP="00095EF6">
            <w:pPr>
              <w:pStyle w:val="Headingb"/>
              <w:keepNext w:val="0"/>
              <w:rPr>
                <w:rFonts w:eastAsia="MS Gothic"/>
                <w:i/>
                <w:iCs/>
                <w:lang w:val="fr-CH" w:eastAsia="ja-JP"/>
              </w:rPr>
            </w:pPr>
            <w:r w:rsidRPr="00B55FD9">
              <w:rPr>
                <w:rFonts w:eastAsia="MS Gothic"/>
                <w:i/>
                <w:iCs/>
                <w:lang w:val="fr-CH"/>
              </w:rPr>
              <w:t>Commissions d</w:t>
            </w:r>
            <w:r w:rsidR="00215480">
              <w:rPr>
                <w:rFonts w:eastAsia="MS Gothic"/>
                <w:i/>
                <w:iCs/>
                <w:lang w:val="fr-CH"/>
              </w:rPr>
              <w:t>'</w:t>
            </w:r>
            <w:r w:rsidRPr="00B55FD9">
              <w:rPr>
                <w:rFonts w:eastAsia="MS Gothic"/>
                <w:i/>
                <w:iCs/>
                <w:lang w:val="fr-CH"/>
              </w:rPr>
              <w:t>études de l</w:t>
            </w:r>
            <w:r w:rsidR="00215480">
              <w:rPr>
                <w:rFonts w:eastAsia="MS Gothic"/>
                <w:i/>
                <w:iCs/>
                <w:lang w:val="fr-CH"/>
              </w:rPr>
              <w:t>'</w:t>
            </w:r>
            <w:r w:rsidRPr="00B55FD9">
              <w:rPr>
                <w:rFonts w:eastAsia="MS Gothic"/>
                <w:i/>
                <w:iCs/>
                <w:lang w:val="fr-CH"/>
              </w:rPr>
              <w:t>UIT-R concernées:</w:t>
            </w:r>
          </w:p>
          <w:p w14:paraId="264D6BD8" w14:textId="4872B718" w:rsidR="0065191E" w:rsidRPr="0065191E" w:rsidRDefault="0072541F" w:rsidP="00095EF6">
            <w:pPr>
              <w:spacing w:beforeLines="50" w:afterLines="50" w:after="120"/>
              <w:rPr>
                <w:rFonts w:eastAsia="Malgun Gothic"/>
                <w:kern w:val="2"/>
                <w:lang w:val="en-GB" w:eastAsia="ko-KR"/>
              </w:rPr>
            </w:pPr>
            <w:r>
              <w:rPr>
                <w:rFonts w:eastAsia="MS Mincho"/>
                <w:iCs/>
                <w:color w:val="000000"/>
                <w:lang w:val="en-GB"/>
              </w:rPr>
              <w:t>CE</w:t>
            </w:r>
            <w:r w:rsidR="0065191E" w:rsidRPr="0065191E">
              <w:rPr>
                <w:rFonts w:eastAsia="SimSun" w:hint="eastAsia"/>
                <w:iCs/>
                <w:color w:val="000000"/>
                <w:lang w:val="en-GB" w:eastAsia="zh-CN"/>
              </w:rPr>
              <w:t xml:space="preserve">4, </w:t>
            </w:r>
            <w:r>
              <w:rPr>
                <w:rFonts w:eastAsia="SimSun" w:hint="eastAsia"/>
                <w:iCs/>
                <w:color w:val="000000"/>
                <w:lang w:val="en-GB" w:eastAsia="zh-CN"/>
              </w:rPr>
              <w:t>CE</w:t>
            </w:r>
            <w:r w:rsidR="0065191E" w:rsidRPr="0065191E">
              <w:rPr>
                <w:rFonts w:eastAsia="MS Mincho"/>
                <w:iCs/>
                <w:color w:val="000000"/>
                <w:lang w:val="en-GB"/>
              </w:rPr>
              <w:t>5</w:t>
            </w:r>
            <w:r w:rsidR="0065191E" w:rsidRPr="0065191E">
              <w:rPr>
                <w:rFonts w:eastAsia="SimSun" w:hint="eastAsia"/>
                <w:iCs/>
                <w:color w:val="000000"/>
                <w:lang w:val="en-GB" w:eastAsia="zh-CN"/>
              </w:rPr>
              <w:t xml:space="preserve">, </w:t>
            </w:r>
            <w:r>
              <w:rPr>
                <w:rFonts w:eastAsia="SimSun" w:hint="eastAsia"/>
                <w:iCs/>
                <w:color w:val="000000"/>
                <w:lang w:val="en-GB" w:eastAsia="zh-CN"/>
              </w:rPr>
              <w:t>CE</w:t>
            </w:r>
            <w:r w:rsidR="0065191E" w:rsidRPr="0065191E">
              <w:rPr>
                <w:rFonts w:eastAsia="SimSun" w:hint="eastAsia"/>
                <w:iCs/>
                <w:color w:val="000000"/>
                <w:lang w:val="en-GB" w:eastAsia="zh-CN"/>
              </w:rPr>
              <w:t>7</w:t>
            </w:r>
          </w:p>
        </w:tc>
      </w:tr>
      <w:tr w:rsidR="0065191E" w:rsidRPr="00F712A7" w14:paraId="5E23DD01" w14:textId="77777777" w:rsidTr="009A3BC4">
        <w:trPr>
          <w:trHeight w:val="1087"/>
        </w:trPr>
        <w:tc>
          <w:tcPr>
            <w:tcW w:w="9317" w:type="dxa"/>
            <w:gridSpan w:val="2"/>
          </w:tcPr>
          <w:p w14:paraId="3B2EC1F7" w14:textId="5ABE999F" w:rsidR="0065191E" w:rsidRPr="00F712A7" w:rsidRDefault="00F712A7" w:rsidP="00095EF6">
            <w:pPr>
              <w:pStyle w:val="Headingb"/>
              <w:keepNext w:val="0"/>
              <w:rPr>
                <w:rFonts w:eastAsia="MS Gothic"/>
                <w:i/>
                <w:iCs/>
                <w:lang w:val="fr-CH" w:eastAsia="ja-JP"/>
              </w:rPr>
            </w:pPr>
            <w:r w:rsidRPr="00B55FD9">
              <w:rPr>
                <w:rFonts w:eastAsia="MS Gothic"/>
                <w:i/>
                <w:iCs/>
                <w:lang w:val="fr-CH"/>
              </w:rPr>
              <w:t>Répercussions au niveau des ressources de l</w:t>
            </w:r>
            <w:r w:rsidR="00215480">
              <w:rPr>
                <w:rFonts w:eastAsia="MS Gothic"/>
                <w:i/>
                <w:iCs/>
                <w:lang w:val="fr-CH"/>
              </w:rPr>
              <w:t>'</w:t>
            </w:r>
            <w:r w:rsidRPr="00B55FD9">
              <w:rPr>
                <w:rFonts w:eastAsia="MS Gothic"/>
                <w:i/>
                <w:iCs/>
                <w:lang w:val="fr-CH"/>
              </w:rPr>
              <w:t>UIT, y compris incidences financières (voir le numéro 126 de la Convention):</w:t>
            </w:r>
          </w:p>
          <w:p w14:paraId="0BD3F9D3" w14:textId="77777777" w:rsidR="0065191E" w:rsidRPr="00F712A7" w:rsidRDefault="0065191E" w:rsidP="00095EF6">
            <w:pPr>
              <w:rPr>
                <w:rFonts w:eastAsia="SimSun"/>
                <w:kern w:val="2"/>
                <w:lang w:val="fr-CH" w:eastAsia="zh-CN"/>
              </w:rPr>
            </w:pPr>
          </w:p>
        </w:tc>
      </w:tr>
      <w:tr w:rsidR="0065191E" w:rsidRPr="004D6ED7" w14:paraId="18C9DB3D" w14:textId="77777777" w:rsidTr="009A3BC4">
        <w:trPr>
          <w:trHeight w:val="612"/>
        </w:trPr>
        <w:tc>
          <w:tcPr>
            <w:tcW w:w="4205" w:type="dxa"/>
          </w:tcPr>
          <w:p w14:paraId="20E268E6" w14:textId="5621A678" w:rsidR="0065191E" w:rsidRPr="00E864D5" w:rsidRDefault="00F712A7" w:rsidP="00095EF6">
            <w:pPr>
              <w:pStyle w:val="Headingb"/>
              <w:keepNext w:val="0"/>
              <w:rPr>
                <w:rFonts w:eastAsia="MS Gothic"/>
                <w:i/>
                <w:iCs/>
                <w:lang w:val="en-GB" w:eastAsia="ja-JP"/>
              </w:rPr>
            </w:pPr>
            <w:r w:rsidRPr="00B55FD9">
              <w:rPr>
                <w:rFonts w:eastAsia="MS Gothic"/>
                <w:i/>
                <w:iCs/>
                <w:lang w:val="fr-CH"/>
              </w:rPr>
              <w:t>Proposition régionale commune:</w:t>
            </w:r>
            <w:r>
              <w:rPr>
                <w:rFonts w:eastAsia="MS Gothic"/>
                <w:i/>
                <w:iCs/>
                <w:lang w:val="en-GB"/>
              </w:rPr>
              <w:t xml:space="preserve"> </w:t>
            </w:r>
          </w:p>
          <w:p w14:paraId="28DF0ADC" w14:textId="26DAA34D" w:rsidR="0065191E" w:rsidRPr="0065191E" w:rsidRDefault="0065191E" w:rsidP="00095EF6">
            <w:pPr>
              <w:spacing w:beforeLines="50" w:afterLines="50" w:after="120"/>
              <w:rPr>
                <w:rFonts w:eastAsia="SimSun"/>
                <w:kern w:val="2"/>
                <w:lang w:val="en-GB" w:eastAsia="ko-KR"/>
              </w:rPr>
            </w:pPr>
            <w:r w:rsidRPr="0065191E">
              <w:rPr>
                <w:rFonts w:eastAsia="MS Gothic"/>
                <w:bCs/>
                <w:iCs/>
                <w:kern w:val="2"/>
                <w:lang w:val="en-GB" w:eastAsia="ja-JP"/>
              </w:rPr>
              <w:t>[</w:t>
            </w:r>
            <w:r w:rsidR="00F712A7">
              <w:rPr>
                <w:color w:val="000000"/>
              </w:rPr>
              <w:t>Oui</w:t>
            </w:r>
            <w:r w:rsidRPr="0065191E">
              <w:rPr>
                <w:rFonts w:eastAsia="SimSun"/>
                <w:bCs/>
                <w:iCs/>
                <w:kern w:val="2"/>
                <w:lang w:val="en-GB" w:eastAsia="ko-KR"/>
              </w:rPr>
              <w:t>]</w:t>
            </w:r>
          </w:p>
        </w:tc>
        <w:tc>
          <w:tcPr>
            <w:tcW w:w="5112" w:type="dxa"/>
          </w:tcPr>
          <w:p w14:paraId="0FB06275" w14:textId="23ED86F6" w:rsidR="0065191E" w:rsidRPr="00F712A7" w:rsidRDefault="00F712A7" w:rsidP="00095EF6">
            <w:pPr>
              <w:spacing w:beforeLines="50" w:afterLines="50" w:after="120"/>
              <w:rPr>
                <w:rFonts w:eastAsia="SimSun"/>
                <w:kern w:val="2"/>
                <w:lang w:val="fr-CH" w:eastAsia="ko-KR"/>
              </w:rPr>
            </w:pPr>
            <w:r w:rsidRPr="00B55FD9">
              <w:rPr>
                <w:rFonts w:eastAsia="MS Gothic"/>
                <w:b/>
                <w:i/>
                <w:iCs/>
                <w:lang w:val="fr-CH"/>
              </w:rPr>
              <w:t>Proposition soumise par plusieurs pays:</w:t>
            </w:r>
            <w:r w:rsidR="00B55FD9">
              <w:rPr>
                <w:rFonts w:eastAsia="MS Gothic"/>
                <w:b/>
                <w:i/>
                <w:iCs/>
                <w:lang w:val="fr-CH"/>
              </w:rPr>
              <w:t xml:space="preserve"> </w:t>
            </w:r>
            <w:r w:rsidR="0065191E" w:rsidRPr="00F712A7">
              <w:rPr>
                <w:rFonts w:eastAsia="SimSun"/>
                <w:bCs/>
                <w:iCs/>
                <w:kern w:val="2"/>
                <w:lang w:val="fr-CH" w:eastAsia="ko-KR"/>
              </w:rPr>
              <w:t>[No</w:t>
            </w:r>
            <w:r w:rsidRPr="00F712A7">
              <w:rPr>
                <w:rFonts w:eastAsia="SimSun"/>
                <w:bCs/>
                <w:iCs/>
                <w:kern w:val="2"/>
                <w:lang w:val="fr-CH" w:eastAsia="ko-KR"/>
              </w:rPr>
              <w:t>n</w:t>
            </w:r>
            <w:r w:rsidR="0065191E" w:rsidRPr="00F712A7">
              <w:rPr>
                <w:rFonts w:eastAsia="SimSun"/>
                <w:bCs/>
                <w:iCs/>
                <w:kern w:val="2"/>
                <w:lang w:val="fr-CH" w:eastAsia="ko-KR"/>
              </w:rPr>
              <w:t>]</w:t>
            </w:r>
          </w:p>
          <w:p w14:paraId="7CBDCF62" w14:textId="5ACD2741" w:rsidR="0065191E" w:rsidRPr="0065191E" w:rsidRDefault="00F712A7" w:rsidP="00B55FD9">
            <w:pPr>
              <w:spacing w:beforeLines="50" w:afterLines="50" w:after="120"/>
              <w:rPr>
                <w:rFonts w:eastAsia="Malgun Gothic"/>
                <w:kern w:val="2"/>
                <w:lang w:val="en-GB" w:eastAsia="ko-KR"/>
              </w:rPr>
            </w:pPr>
            <w:r w:rsidRPr="00B55FD9">
              <w:rPr>
                <w:rFonts w:eastAsia="MS Gothic"/>
                <w:b/>
                <w:i/>
                <w:iCs/>
                <w:lang w:val="fr-CH"/>
              </w:rPr>
              <w:t>Nombre de pays:</w:t>
            </w:r>
          </w:p>
        </w:tc>
      </w:tr>
      <w:tr w:rsidR="0065191E" w:rsidRPr="0065191E" w14:paraId="14B9AF67" w14:textId="77777777" w:rsidTr="009A3BC4">
        <w:trPr>
          <w:trHeight w:val="70"/>
        </w:trPr>
        <w:tc>
          <w:tcPr>
            <w:tcW w:w="9317" w:type="dxa"/>
            <w:gridSpan w:val="2"/>
          </w:tcPr>
          <w:p w14:paraId="12EC77B9" w14:textId="116038A0" w:rsidR="0065191E" w:rsidRPr="00E864D5" w:rsidRDefault="00F712A7" w:rsidP="00095EF6">
            <w:pPr>
              <w:pStyle w:val="Headingb"/>
              <w:keepNext w:val="0"/>
              <w:rPr>
                <w:rFonts w:eastAsia="SimSun"/>
                <w:i/>
                <w:iCs/>
                <w:lang w:val="en-GB" w:eastAsia="ko-KR"/>
              </w:rPr>
            </w:pPr>
            <w:r w:rsidRPr="00B55FD9">
              <w:rPr>
                <w:rFonts w:eastAsia="MS Gothic"/>
                <w:i/>
                <w:iCs/>
                <w:lang w:val="fr-CH"/>
              </w:rPr>
              <w:t>Observations</w:t>
            </w:r>
          </w:p>
        </w:tc>
      </w:tr>
    </w:tbl>
    <w:p w14:paraId="1E0E2419" w14:textId="77777777" w:rsidR="008B18FE" w:rsidRDefault="008B18FE" w:rsidP="00095EF6"/>
    <w:p w14:paraId="1F8B8F8D" w14:textId="77777777" w:rsidR="008B18FE" w:rsidRDefault="008B18FE" w:rsidP="00095EF6">
      <w:pPr>
        <w:jc w:val="center"/>
      </w:pPr>
      <w:r>
        <w:t>______________</w:t>
      </w:r>
    </w:p>
    <w:sectPr w:rsidR="008B18FE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7C88A" w14:textId="77777777" w:rsidR="0070076C" w:rsidRDefault="0070076C">
      <w:r>
        <w:separator/>
      </w:r>
    </w:p>
  </w:endnote>
  <w:endnote w:type="continuationSeparator" w:id="0">
    <w:p w14:paraId="02F9744D" w14:textId="77777777" w:rsidR="0070076C" w:rsidRDefault="007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41EC7" w14:textId="059F8AE9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D0CB5">
      <w:rPr>
        <w:noProof/>
        <w:lang w:val="en-US"/>
      </w:rPr>
      <w:t>P:\FRA\ITU-R\CONF-R\CMR19\000\024ADD24ADD07F.docx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D0CB5">
      <w:rPr>
        <w:noProof/>
      </w:rPr>
      <w:t>14.10.19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D0CB5">
      <w:rPr>
        <w:noProof/>
      </w:rPr>
      <w:t>14.10.19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97152" w14:textId="35B7F9C8" w:rsidR="00936D25" w:rsidRDefault="00936D25" w:rsidP="007B2C34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D0CB5">
      <w:rPr>
        <w:lang w:val="en-US"/>
      </w:rPr>
      <w:t>P:\FRA\ITU-R\CONF-R\CMR19\000\024ADD24ADD07F.docx</w:t>
    </w:r>
    <w:r>
      <w:fldChar w:fldCharType="end"/>
    </w:r>
    <w:r w:rsidR="00E609ED" w:rsidRPr="004D6ED7">
      <w:rPr>
        <w:lang w:val="en-US"/>
      </w:rPr>
      <w:t xml:space="preserve"> (461085)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5263A" w14:textId="18674FBF" w:rsidR="00936D25" w:rsidRDefault="005E0EFE" w:rsidP="005E0EFE">
    <w:pPr>
      <w:pStyle w:val="Footer"/>
      <w:rPr>
        <w:lang w:val="en-US"/>
      </w:rPr>
    </w:pPr>
    <w:r>
      <w:fldChar w:fldCharType="begin"/>
    </w:r>
    <w:r w:rsidRPr="005E0EFE">
      <w:rPr>
        <w:lang w:val="en-GB"/>
      </w:rPr>
      <w:instrText xml:space="preserve"> FILENAME \p  \* MERGEFORMAT </w:instrText>
    </w:r>
    <w:r>
      <w:fldChar w:fldCharType="separate"/>
    </w:r>
    <w:r w:rsidR="00BD0CB5">
      <w:rPr>
        <w:lang w:val="en-GB"/>
      </w:rPr>
      <w:t>P:\FRA\ITU-R\CONF-R\CMR19\000\024ADD24ADD07F.docx</w:t>
    </w:r>
    <w:r>
      <w:fldChar w:fldCharType="end"/>
    </w:r>
    <w:r w:rsidR="00E609ED" w:rsidRPr="004D6ED7">
      <w:rPr>
        <w:lang w:val="en-US"/>
      </w:rPr>
      <w:t xml:space="preserve"> (461085)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60B56" w14:textId="77777777" w:rsidR="0070076C" w:rsidRDefault="0070076C">
      <w:r>
        <w:rPr>
          <w:b/>
        </w:rPr>
        <w:t>_______________</w:t>
      </w:r>
    </w:p>
  </w:footnote>
  <w:footnote w:type="continuationSeparator" w:id="0">
    <w:p w14:paraId="618A65A1" w14:textId="77777777" w:rsidR="0070076C" w:rsidRDefault="0070076C">
      <w:r>
        <w:continuationSeparator/>
      </w:r>
    </w:p>
  </w:footnote>
  <w:footnote w:id="1">
    <w:p w14:paraId="66D36E2A" w14:textId="23089C37" w:rsidR="00701CCC" w:rsidRPr="00043BEF" w:rsidRDefault="00701CCC" w:rsidP="00701CCC">
      <w:pPr>
        <w:pStyle w:val="FootnoteText"/>
        <w:rPr>
          <w:lang w:val="fr-CH"/>
        </w:rPr>
      </w:pPr>
      <w:r w:rsidRPr="00043BEF">
        <w:rPr>
          <w:rStyle w:val="FootnoteReference"/>
          <w:lang w:val="fr-CH"/>
        </w:rPr>
        <w:t>*</w:t>
      </w:r>
      <w:r w:rsidRPr="00043BEF">
        <w:rPr>
          <w:lang w:val="fr-CH"/>
        </w:rPr>
        <w:t xml:space="preserve"> </w:t>
      </w:r>
      <w:r w:rsidRPr="00043BEF">
        <w:rPr>
          <w:u w:val="single"/>
          <w:lang w:val="fr-CH"/>
        </w:rPr>
        <w:t xml:space="preserve">Note </w:t>
      </w:r>
      <w:r w:rsidR="00043BEF" w:rsidRPr="00043BEF">
        <w:rPr>
          <w:u w:val="single"/>
          <w:lang w:val="fr-CH"/>
        </w:rPr>
        <w:t>du</w:t>
      </w:r>
      <w:r w:rsidRPr="00043BEF">
        <w:rPr>
          <w:u w:val="single"/>
          <w:lang w:val="fr-CH"/>
        </w:rPr>
        <w:t xml:space="preserve"> </w:t>
      </w:r>
      <w:r w:rsidR="004E3E63">
        <w:rPr>
          <w:u w:val="single"/>
          <w:lang w:val="fr-CH"/>
        </w:rPr>
        <w:t>S</w:t>
      </w:r>
      <w:r w:rsidRPr="00043BEF">
        <w:rPr>
          <w:u w:val="single"/>
          <w:lang w:val="fr-CH"/>
        </w:rPr>
        <w:t>ecr</w:t>
      </w:r>
      <w:r w:rsidR="00043BEF" w:rsidRPr="00043BEF">
        <w:rPr>
          <w:u w:val="single"/>
          <w:lang w:val="fr-CH"/>
        </w:rPr>
        <w:t>é</w:t>
      </w:r>
      <w:r w:rsidRPr="00043BEF">
        <w:rPr>
          <w:u w:val="single"/>
          <w:lang w:val="fr-CH"/>
        </w:rPr>
        <w:t>tariat</w:t>
      </w:r>
      <w:r w:rsidRPr="00043BEF">
        <w:rPr>
          <w:lang w:val="fr-CH"/>
        </w:rPr>
        <w:t xml:space="preserve">: </w:t>
      </w:r>
      <w:r w:rsidR="00043BEF" w:rsidRPr="00043BEF">
        <w:rPr>
          <w:lang w:val="fr-CH"/>
        </w:rPr>
        <w:t xml:space="preserve">Ce rapport UIT-R </w:t>
      </w:r>
      <w:r w:rsidR="00043BEF">
        <w:rPr>
          <w:lang w:val="fr-CH"/>
        </w:rPr>
        <w:t>a été approuvé et devrait être publié sous la cote</w:t>
      </w:r>
      <w:r w:rsidR="00043BEF" w:rsidRPr="00043BEF">
        <w:rPr>
          <w:lang w:val="fr-CH"/>
        </w:rPr>
        <w:t xml:space="preserve"> UIT-R</w:t>
      </w:r>
      <w:r w:rsidR="00043BEF">
        <w:rPr>
          <w:lang w:val="fr-CH"/>
        </w:rPr>
        <w:t xml:space="preserve"> </w:t>
      </w:r>
      <w:r w:rsidRPr="00043BEF">
        <w:rPr>
          <w:lang w:val="fr-CH"/>
        </w:rPr>
        <w:t>M.2477-0.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5329A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B2C34">
      <w:rPr>
        <w:noProof/>
      </w:rPr>
      <w:t>2</w:t>
    </w:r>
    <w:r>
      <w:fldChar w:fldCharType="end"/>
    </w:r>
  </w:p>
  <w:p w14:paraId="0332FF10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24(Add.24)(Add.7)-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501162E0"/>
    <w:multiLevelType w:val="hybridMultilevel"/>
    <w:tmpl w:val="D568A664"/>
    <w:lvl w:ilvl="0" w:tplc="BBBCB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8E0ECFA-44D0-43C2-AF06-B6E07B4DDE48}"/>
    <w:docVar w:name="dgnword-eventsink" w:val="2822037839008"/>
  </w:docVars>
  <w:rsids>
    <w:rsidRoot w:val="00BB1D82"/>
    <w:rsid w:val="00007EC7"/>
    <w:rsid w:val="00010B43"/>
    <w:rsid w:val="00016648"/>
    <w:rsid w:val="0002626E"/>
    <w:rsid w:val="0003522F"/>
    <w:rsid w:val="00043BEF"/>
    <w:rsid w:val="00063A1F"/>
    <w:rsid w:val="00080E2C"/>
    <w:rsid w:val="00081366"/>
    <w:rsid w:val="000863B3"/>
    <w:rsid w:val="00095EF6"/>
    <w:rsid w:val="000A4755"/>
    <w:rsid w:val="000A55AE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A11F6"/>
    <w:rsid w:val="001F17E8"/>
    <w:rsid w:val="00204306"/>
    <w:rsid w:val="00215480"/>
    <w:rsid w:val="00232FD2"/>
    <w:rsid w:val="0026554E"/>
    <w:rsid w:val="002A4622"/>
    <w:rsid w:val="002A6F8F"/>
    <w:rsid w:val="002B17E5"/>
    <w:rsid w:val="002C0EBF"/>
    <w:rsid w:val="002C28A4"/>
    <w:rsid w:val="002C5BF7"/>
    <w:rsid w:val="002D7E0A"/>
    <w:rsid w:val="002F1A83"/>
    <w:rsid w:val="00315AFE"/>
    <w:rsid w:val="00336E5D"/>
    <w:rsid w:val="003606A6"/>
    <w:rsid w:val="0036650C"/>
    <w:rsid w:val="003674A0"/>
    <w:rsid w:val="00393ACD"/>
    <w:rsid w:val="003A583E"/>
    <w:rsid w:val="003E112B"/>
    <w:rsid w:val="003E1D1C"/>
    <w:rsid w:val="003E3975"/>
    <w:rsid w:val="003E7B05"/>
    <w:rsid w:val="003F3719"/>
    <w:rsid w:val="003F6F2D"/>
    <w:rsid w:val="00466211"/>
    <w:rsid w:val="00483196"/>
    <w:rsid w:val="004834A9"/>
    <w:rsid w:val="004D01FC"/>
    <w:rsid w:val="004D6ED7"/>
    <w:rsid w:val="004E28C3"/>
    <w:rsid w:val="004E3E63"/>
    <w:rsid w:val="004F1F8E"/>
    <w:rsid w:val="0050508C"/>
    <w:rsid w:val="00512A32"/>
    <w:rsid w:val="00517B83"/>
    <w:rsid w:val="00523414"/>
    <w:rsid w:val="005343DA"/>
    <w:rsid w:val="0055612B"/>
    <w:rsid w:val="00560874"/>
    <w:rsid w:val="00586CF2"/>
    <w:rsid w:val="005A7C75"/>
    <w:rsid w:val="005C3768"/>
    <w:rsid w:val="005C6C3F"/>
    <w:rsid w:val="005E0EFE"/>
    <w:rsid w:val="00613635"/>
    <w:rsid w:val="0062093D"/>
    <w:rsid w:val="00637ECF"/>
    <w:rsid w:val="00647B59"/>
    <w:rsid w:val="0065191E"/>
    <w:rsid w:val="00690C7B"/>
    <w:rsid w:val="006A4B45"/>
    <w:rsid w:val="006C4E02"/>
    <w:rsid w:val="006D4724"/>
    <w:rsid w:val="006F5FA2"/>
    <w:rsid w:val="0070076C"/>
    <w:rsid w:val="00701BAE"/>
    <w:rsid w:val="00701CCC"/>
    <w:rsid w:val="00721F04"/>
    <w:rsid w:val="00722E5E"/>
    <w:rsid w:val="0072541F"/>
    <w:rsid w:val="00730E95"/>
    <w:rsid w:val="007426B9"/>
    <w:rsid w:val="00762CB8"/>
    <w:rsid w:val="00764342"/>
    <w:rsid w:val="00764512"/>
    <w:rsid w:val="00774362"/>
    <w:rsid w:val="00786598"/>
    <w:rsid w:val="00790C74"/>
    <w:rsid w:val="00792A57"/>
    <w:rsid w:val="007A04E8"/>
    <w:rsid w:val="007A57D3"/>
    <w:rsid w:val="007B2C34"/>
    <w:rsid w:val="00811916"/>
    <w:rsid w:val="00830086"/>
    <w:rsid w:val="00851625"/>
    <w:rsid w:val="00863C0A"/>
    <w:rsid w:val="008A3120"/>
    <w:rsid w:val="008A4B97"/>
    <w:rsid w:val="008B18FE"/>
    <w:rsid w:val="008C5B8E"/>
    <w:rsid w:val="008C5DD5"/>
    <w:rsid w:val="008D41BE"/>
    <w:rsid w:val="008D58D3"/>
    <w:rsid w:val="008E3BC9"/>
    <w:rsid w:val="00903222"/>
    <w:rsid w:val="00913732"/>
    <w:rsid w:val="00923064"/>
    <w:rsid w:val="00930FFD"/>
    <w:rsid w:val="00936D25"/>
    <w:rsid w:val="00941EA5"/>
    <w:rsid w:val="00964700"/>
    <w:rsid w:val="00966C16"/>
    <w:rsid w:val="00984300"/>
    <w:rsid w:val="0098732F"/>
    <w:rsid w:val="009A045F"/>
    <w:rsid w:val="009A6A2B"/>
    <w:rsid w:val="009C7E7C"/>
    <w:rsid w:val="00A00473"/>
    <w:rsid w:val="00A03C9B"/>
    <w:rsid w:val="00A03E4C"/>
    <w:rsid w:val="00A12835"/>
    <w:rsid w:val="00A37105"/>
    <w:rsid w:val="00A40C9A"/>
    <w:rsid w:val="00A606C3"/>
    <w:rsid w:val="00A82125"/>
    <w:rsid w:val="00A83B09"/>
    <w:rsid w:val="00A84541"/>
    <w:rsid w:val="00AE36A0"/>
    <w:rsid w:val="00B00294"/>
    <w:rsid w:val="00B3749C"/>
    <w:rsid w:val="00B55FD9"/>
    <w:rsid w:val="00B64FD0"/>
    <w:rsid w:val="00B8750F"/>
    <w:rsid w:val="00BA5BD0"/>
    <w:rsid w:val="00BB1D82"/>
    <w:rsid w:val="00BD0CB5"/>
    <w:rsid w:val="00BD51C5"/>
    <w:rsid w:val="00BF26E7"/>
    <w:rsid w:val="00C36EC5"/>
    <w:rsid w:val="00C53FCA"/>
    <w:rsid w:val="00C76BAF"/>
    <w:rsid w:val="00C814B9"/>
    <w:rsid w:val="00CD516F"/>
    <w:rsid w:val="00CD6118"/>
    <w:rsid w:val="00D119A7"/>
    <w:rsid w:val="00D25FBA"/>
    <w:rsid w:val="00D32B28"/>
    <w:rsid w:val="00D42954"/>
    <w:rsid w:val="00D620D5"/>
    <w:rsid w:val="00D66EAC"/>
    <w:rsid w:val="00D730DF"/>
    <w:rsid w:val="00D772F0"/>
    <w:rsid w:val="00D77BDC"/>
    <w:rsid w:val="00D9263B"/>
    <w:rsid w:val="00DC079D"/>
    <w:rsid w:val="00DC402B"/>
    <w:rsid w:val="00DC7236"/>
    <w:rsid w:val="00DD3684"/>
    <w:rsid w:val="00DE0932"/>
    <w:rsid w:val="00DF327C"/>
    <w:rsid w:val="00E03A27"/>
    <w:rsid w:val="00E049F1"/>
    <w:rsid w:val="00E37A25"/>
    <w:rsid w:val="00E537FF"/>
    <w:rsid w:val="00E609ED"/>
    <w:rsid w:val="00E6539B"/>
    <w:rsid w:val="00E70A31"/>
    <w:rsid w:val="00E723A7"/>
    <w:rsid w:val="00E864D5"/>
    <w:rsid w:val="00E90519"/>
    <w:rsid w:val="00EA3F38"/>
    <w:rsid w:val="00EA5AB6"/>
    <w:rsid w:val="00EC7615"/>
    <w:rsid w:val="00ED16AA"/>
    <w:rsid w:val="00ED6B8D"/>
    <w:rsid w:val="00EE3D7B"/>
    <w:rsid w:val="00EF662E"/>
    <w:rsid w:val="00F03C97"/>
    <w:rsid w:val="00F10064"/>
    <w:rsid w:val="00F148F1"/>
    <w:rsid w:val="00F2642A"/>
    <w:rsid w:val="00F4782D"/>
    <w:rsid w:val="00F620B7"/>
    <w:rsid w:val="00F711A7"/>
    <w:rsid w:val="00F712A7"/>
    <w:rsid w:val="00FA3BBF"/>
    <w:rsid w:val="00FC41F8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00CA239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qFormat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Style 3,Appel note de bas de p + 11 pt,Italic,Footnote,Appel note de bas de p1,R,Appel note de bas de p2"/>
    <w:qFormat/>
    <w:rPr>
      <w:position w:val="6"/>
      <w:sz w:val="18"/>
    </w:rPr>
  </w:style>
  <w:style w:type="paragraph" w:styleId="FootnoteText">
    <w:name w:val="footnote text"/>
    <w:aliases w:val="footnote text,ALTS FOOTNOTE,Footnote Text Char Char1,Footnote Text Char4 Char Char,Footnote Text Char1 Char1 Char1 Char,Footnote Text Char Char1 Char1 Char Char,Footnote Text Char1 Char1 Char1 Char Char Char1,DNV-FT,DNV,Footnote Text Char1"/>
    <w:basedOn w:val="Normal"/>
    <w:link w:val="FootnoteTextChar"/>
    <w:qFormat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link w:val="RestitleChar"/>
    <w:qFormat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character" w:customStyle="1" w:styleId="RestitleChar">
    <w:name w:val="Res_title Char"/>
    <w:link w:val="Restitle"/>
    <w:qFormat/>
    <w:rsid w:val="00CD6118"/>
    <w:rPr>
      <w:rFonts w:ascii="Times New Roman Bold" w:hAnsi="Times New Roman Bold"/>
      <w:b/>
      <w:sz w:val="28"/>
      <w:lang w:val="fr-FR" w:eastAsia="en-US"/>
    </w:rPr>
  </w:style>
  <w:style w:type="character" w:customStyle="1" w:styleId="FootnoteTextChar">
    <w:name w:val="Footnote Text Char"/>
    <w:aliases w:val="footnote text Char,ALTS FOOTNOTE Char,Footnote Text Char Char1 Char,Footnote Text Char4 Char Char Char,Footnote Text Char1 Char1 Char1 Char Char,Footnote Text Char Char1 Char1 Char Char Char,DNV-FT Char,DNV Char"/>
    <w:basedOn w:val="DefaultParagraphFont"/>
    <w:link w:val="FootnoteText"/>
    <w:qFormat/>
    <w:locked/>
    <w:rsid w:val="00762CB8"/>
    <w:rPr>
      <w:rFonts w:ascii="Times New Roman" w:hAnsi="Times New Roman"/>
      <w:sz w:val="24"/>
      <w:lang w:val="fr-FR" w:eastAsia="en-US"/>
    </w:rPr>
  </w:style>
  <w:style w:type="character" w:customStyle="1" w:styleId="CallChar">
    <w:name w:val="Call Char"/>
    <w:basedOn w:val="DefaultParagraphFont"/>
    <w:link w:val="Call"/>
    <w:qFormat/>
    <w:rsid w:val="002F1A83"/>
    <w:rPr>
      <w:rFonts w:ascii="Times New Roman" w:hAnsi="Times New Roman"/>
      <w:i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R16-WRC19-C-0024!A24-A7!MSW-F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6C2DA3-43BB-4E0B-9DEC-559A3C96F0C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996b2e75-67fd-4955-a3b0-5ab9934cb50b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E0B1C50-D8F6-4AD6-AA27-13706FC2A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050AF4-E230-47C0-9674-8F4FB9A6AC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1655</Words>
  <Characters>9940</Characters>
  <Application>Microsoft Office Word</Application>
  <DocSecurity>0</DocSecurity>
  <Lines>191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R16-WRC19-C-0024!A24-A7!MSW-F</vt:lpstr>
    </vt:vector>
  </TitlesOfParts>
  <Manager>Secrétariat général - Pool</Manager>
  <Company>Union internationale des télécommunications (UIT)</Company>
  <LinksUpToDate>false</LinksUpToDate>
  <CharactersWithSpaces>11522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R16-WRC19-C-0024!A24-A7!MSW-F</dc:title>
  <dc:subject>Conférence mondiale des radiocommunications - 2019</dc:subject>
  <dc:creator>Documents Proposals Manager (DPM)</dc:creator>
  <cp:keywords>DPM_v2019.9.25.1_prod</cp:keywords>
  <dc:description/>
  <cp:lastModifiedBy>French1</cp:lastModifiedBy>
  <cp:revision>22</cp:revision>
  <cp:lastPrinted>2019-10-14T07:37:00Z</cp:lastPrinted>
  <dcterms:created xsi:type="dcterms:W3CDTF">2019-10-01T14:12:00Z</dcterms:created>
  <dcterms:modified xsi:type="dcterms:W3CDTF">2019-10-14T07:38:00Z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