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87C2D" w14:paraId="3B473F82" w14:textId="77777777">
        <w:trPr>
          <w:cantSplit/>
        </w:trPr>
        <w:tc>
          <w:tcPr>
            <w:tcW w:w="6911" w:type="dxa"/>
          </w:tcPr>
          <w:p w14:paraId="5457E1F1" w14:textId="77777777" w:rsidR="00A066F1" w:rsidRPr="00E87C2D" w:rsidRDefault="00241FA2" w:rsidP="00116C7A">
            <w:pPr>
              <w:spacing w:before="400" w:after="48" w:line="240" w:lineRule="atLeast"/>
              <w:rPr>
                <w:rFonts w:ascii="Verdana" w:hAnsi="Verdana"/>
                <w:position w:val="6"/>
              </w:rPr>
            </w:pPr>
            <w:r w:rsidRPr="00E87C2D">
              <w:rPr>
                <w:rFonts w:ascii="Verdana" w:hAnsi="Verdana" w:cs="Times"/>
                <w:b/>
                <w:position w:val="6"/>
                <w:sz w:val="22"/>
                <w:szCs w:val="22"/>
              </w:rPr>
              <w:t>World Radiocommunication Conference (WRC-1</w:t>
            </w:r>
            <w:r w:rsidR="000E463E" w:rsidRPr="00E87C2D">
              <w:rPr>
                <w:rFonts w:ascii="Verdana" w:hAnsi="Verdana" w:cs="Times"/>
                <w:b/>
                <w:position w:val="6"/>
                <w:sz w:val="22"/>
                <w:szCs w:val="22"/>
              </w:rPr>
              <w:t>9</w:t>
            </w:r>
            <w:r w:rsidRPr="00E87C2D">
              <w:rPr>
                <w:rFonts w:ascii="Verdana" w:hAnsi="Verdana" w:cs="Times"/>
                <w:b/>
                <w:position w:val="6"/>
                <w:sz w:val="22"/>
                <w:szCs w:val="22"/>
              </w:rPr>
              <w:t>)</w:t>
            </w:r>
            <w:r w:rsidRPr="00E87C2D">
              <w:rPr>
                <w:rFonts w:ascii="Verdana" w:hAnsi="Verdana" w:cs="Times"/>
                <w:b/>
                <w:position w:val="6"/>
                <w:sz w:val="26"/>
                <w:szCs w:val="26"/>
              </w:rPr>
              <w:br/>
            </w:r>
            <w:r w:rsidR="00116C7A" w:rsidRPr="00E87C2D">
              <w:rPr>
                <w:rFonts w:ascii="Verdana" w:hAnsi="Verdana"/>
                <w:b/>
                <w:bCs/>
                <w:position w:val="6"/>
                <w:sz w:val="18"/>
                <w:szCs w:val="18"/>
              </w:rPr>
              <w:t>Sharm el-Sheikh, Egypt</w:t>
            </w:r>
            <w:r w:rsidRPr="00E87C2D">
              <w:rPr>
                <w:rFonts w:ascii="Verdana" w:hAnsi="Verdana"/>
                <w:b/>
                <w:bCs/>
                <w:position w:val="6"/>
                <w:sz w:val="18"/>
                <w:szCs w:val="18"/>
              </w:rPr>
              <w:t xml:space="preserve">, </w:t>
            </w:r>
            <w:r w:rsidR="000E463E" w:rsidRPr="00E87C2D">
              <w:rPr>
                <w:rFonts w:ascii="Verdana" w:hAnsi="Verdana"/>
                <w:b/>
                <w:bCs/>
                <w:position w:val="6"/>
                <w:sz w:val="18"/>
                <w:szCs w:val="18"/>
              </w:rPr>
              <w:t xml:space="preserve">28 October </w:t>
            </w:r>
            <w:r w:rsidRPr="00E87C2D">
              <w:rPr>
                <w:rFonts w:ascii="Verdana" w:hAnsi="Verdana"/>
                <w:b/>
                <w:bCs/>
                <w:position w:val="6"/>
                <w:sz w:val="18"/>
                <w:szCs w:val="18"/>
              </w:rPr>
              <w:t>–</w:t>
            </w:r>
            <w:r w:rsidR="000E463E" w:rsidRPr="00E87C2D">
              <w:rPr>
                <w:rFonts w:ascii="Verdana" w:hAnsi="Verdana"/>
                <w:b/>
                <w:bCs/>
                <w:position w:val="6"/>
                <w:sz w:val="18"/>
                <w:szCs w:val="18"/>
              </w:rPr>
              <w:t xml:space="preserve"> </w:t>
            </w:r>
            <w:r w:rsidRPr="00E87C2D">
              <w:rPr>
                <w:rFonts w:ascii="Verdana" w:hAnsi="Verdana"/>
                <w:b/>
                <w:bCs/>
                <w:position w:val="6"/>
                <w:sz w:val="18"/>
                <w:szCs w:val="18"/>
              </w:rPr>
              <w:t>2</w:t>
            </w:r>
            <w:r w:rsidR="000E463E" w:rsidRPr="00E87C2D">
              <w:rPr>
                <w:rFonts w:ascii="Verdana" w:hAnsi="Verdana"/>
                <w:b/>
                <w:bCs/>
                <w:position w:val="6"/>
                <w:sz w:val="18"/>
                <w:szCs w:val="18"/>
              </w:rPr>
              <w:t>2</w:t>
            </w:r>
            <w:r w:rsidRPr="00E87C2D">
              <w:rPr>
                <w:rFonts w:ascii="Verdana" w:hAnsi="Verdana"/>
                <w:b/>
                <w:bCs/>
                <w:position w:val="6"/>
                <w:sz w:val="18"/>
                <w:szCs w:val="18"/>
              </w:rPr>
              <w:t xml:space="preserve"> November 201</w:t>
            </w:r>
            <w:r w:rsidR="000E463E" w:rsidRPr="00E87C2D">
              <w:rPr>
                <w:rFonts w:ascii="Verdana" w:hAnsi="Verdana"/>
                <w:b/>
                <w:bCs/>
                <w:position w:val="6"/>
                <w:sz w:val="18"/>
                <w:szCs w:val="18"/>
              </w:rPr>
              <w:t>9</w:t>
            </w:r>
          </w:p>
        </w:tc>
        <w:tc>
          <w:tcPr>
            <w:tcW w:w="3120" w:type="dxa"/>
          </w:tcPr>
          <w:p w14:paraId="4A83BF1B" w14:textId="77777777" w:rsidR="00A066F1" w:rsidRPr="00E87C2D" w:rsidRDefault="005F04D8" w:rsidP="003B2284">
            <w:pPr>
              <w:spacing w:before="0" w:line="240" w:lineRule="atLeast"/>
              <w:jc w:val="right"/>
            </w:pPr>
            <w:bookmarkStart w:id="0" w:name="ditulogo"/>
            <w:bookmarkEnd w:id="0"/>
            <w:r w:rsidRPr="00E87C2D">
              <w:rPr>
                <w:noProof/>
                <w:lang w:eastAsia="zh-CN"/>
              </w:rPr>
              <w:drawing>
                <wp:inline distT="0" distB="0" distL="0" distR="0" wp14:anchorId="3B25C79B" wp14:editId="336767B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87C2D" w14:paraId="45C71E1B" w14:textId="77777777">
        <w:trPr>
          <w:cantSplit/>
        </w:trPr>
        <w:tc>
          <w:tcPr>
            <w:tcW w:w="6911" w:type="dxa"/>
            <w:tcBorders>
              <w:bottom w:val="single" w:sz="12" w:space="0" w:color="auto"/>
            </w:tcBorders>
          </w:tcPr>
          <w:p w14:paraId="375C29C1" w14:textId="77777777" w:rsidR="00A066F1" w:rsidRPr="00E87C2D"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65BAAE8C" w14:textId="77777777" w:rsidR="00A066F1" w:rsidRPr="00E87C2D" w:rsidRDefault="00A066F1" w:rsidP="00A066F1">
            <w:pPr>
              <w:spacing w:before="0" w:line="240" w:lineRule="atLeast"/>
              <w:rPr>
                <w:rFonts w:ascii="Verdana" w:hAnsi="Verdana"/>
                <w:szCs w:val="24"/>
              </w:rPr>
            </w:pPr>
          </w:p>
        </w:tc>
      </w:tr>
      <w:tr w:rsidR="00A066F1" w:rsidRPr="00E87C2D" w14:paraId="3F2A6D9E" w14:textId="77777777">
        <w:trPr>
          <w:cantSplit/>
        </w:trPr>
        <w:tc>
          <w:tcPr>
            <w:tcW w:w="6911" w:type="dxa"/>
            <w:tcBorders>
              <w:top w:val="single" w:sz="12" w:space="0" w:color="auto"/>
            </w:tcBorders>
          </w:tcPr>
          <w:p w14:paraId="02DAC535" w14:textId="77777777" w:rsidR="00A066F1" w:rsidRPr="00E87C2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DCC3C1A" w14:textId="77777777" w:rsidR="00A066F1" w:rsidRPr="00E87C2D" w:rsidRDefault="00A066F1" w:rsidP="00A066F1">
            <w:pPr>
              <w:spacing w:before="0" w:line="240" w:lineRule="atLeast"/>
              <w:rPr>
                <w:rFonts w:ascii="Verdana" w:hAnsi="Verdana"/>
                <w:sz w:val="20"/>
              </w:rPr>
            </w:pPr>
          </w:p>
        </w:tc>
      </w:tr>
      <w:tr w:rsidR="00A066F1" w:rsidRPr="00E87C2D" w14:paraId="2C62E82A" w14:textId="77777777">
        <w:trPr>
          <w:cantSplit/>
          <w:trHeight w:val="23"/>
        </w:trPr>
        <w:tc>
          <w:tcPr>
            <w:tcW w:w="6911" w:type="dxa"/>
            <w:shd w:val="clear" w:color="auto" w:fill="auto"/>
          </w:tcPr>
          <w:p w14:paraId="59BC0B68" w14:textId="77777777" w:rsidR="00A066F1" w:rsidRPr="00E87C2D"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E87C2D">
              <w:rPr>
                <w:rFonts w:ascii="Verdana" w:hAnsi="Verdana"/>
                <w:sz w:val="20"/>
                <w:szCs w:val="20"/>
              </w:rPr>
              <w:t>PLENARY MEETING</w:t>
            </w:r>
          </w:p>
        </w:tc>
        <w:tc>
          <w:tcPr>
            <w:tcW w:w="3120" w:type="dxa"/>
          </w:tcPr>
          <w:p w14:paraId="1E0E79C9" w14:textId="77777777" w:rsidR="00A066F1" w:rsidRPr="00E87C2D" w:rsidRDefault="00E55816" w:rsidP="00AA666F">
            <w:pPr>
              <w:tabs>
                <w:tab w:val="left" w:pos="851"/>
              </w:tabs>
              <w:spacing w:before="0" w:line="240" w:lineRule="atLeast"/>
              <w:rPr>
                <w:rFonts w:ascii="Verdana" w:hAnsi="Verdana"/>
                <w:sz w:val="20"/>
              </w:rPr>
            </w:pPr>
            <w:r w:rsidRPr="00E87C2D">
              <w:rPr>
                <w:rFonts w:ascii="Verdana" w:hAnsi="Verdana"/>
                <w:b/>
                <w:sz w:val="20"/>
              </w:rPr>
              <w:t>Addendum 7 to</w:t>
            </w:r>
            <w:r w:rsidRPr="00E87C2D">
              <w:rPr>
                <w:rFonts w:ascii="Verdana" w:hAnsi="Verdana"/>
                <w:b/>
                <w:sz w:val="20"/>
              </w:rPr>
              <w:br/>
              <w:t>Document 24(Add.24)</w:t>
            </w:r>
            <w:r w:rsidR="00A066F1" w:rsidRPr="00E87C2D">
              <w:rPr>
                <w:rFonts w:ascii="Verdana" w:hAnsi="Verdana"/>
                <w:b/>
                <w:sz w:val="20"/>
              </w:rPr>
              <w:t>-</w:t>
            </w:r>
            <w:r w:rsidR="005E10C9" w:rsidRPr="00E87C2D">
              <w:rPr>
                <w:rFonts w:ascii="Verdana" w:hAnsi="Verdana"/>
                <w:b/>
                <w:sz w:val="20"/>
              </w:rPr>
              <w:t>E</w:t>
            </w:r>
          </w:p>
        </w:tc>
      </w:tr>
      <w:tr w:rsidR="00A066F1" w:rsidRPr="00E87C2D" w14:paraId="5F9BF17C" w14:textId="77777777">
        <w:trPr>
          <w:cantSplit/>
          <w:trHeight w:val="23"/>
        </w:trPr>
        <w:tc>
          <w:tcPr>
            <w:tcW w:w="6911" w:type="dxa"/>
            <w:shd w:val="clear" w:color="auto" w:fill="auto"/>
          </w:tcPr>
          <w:p w14:paraId="69716C6C" w14:textId="77777777" w:rsidR="00A066F1" w:rsidRPr="00E87C2D"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F594AEB" w14:textId="77777777" w:rsidR="00A066F1" w:rsidRPr="00E87C2D" w:rsidRDefault="00420873" w:rsidP="00A066F1">
            <w:pPr>
              <w:tabs>
                <w:tab w:val="left" w:pos="993"/>
              </w:tabs>
              <w:spacing w:before="0"/>
              <w:rPr>
                <w:rFonts w:ascii="Verdana" w:hAnsi="Verdana"/>
                <w:sz w:val="20"/>
              </w:rPr>
            </w:pPr>
            <w:r w:rsidRPr="00E87C2D">
              <w:rPr>
                <w:rFonts w:ascii="Verdana" w:hAnsi="Verdana"/>
                <w:b/>
                <w:sz w:val="20"/>
              </w:rPr>
              <w:t>20 September 2019</w:t>
            </w:r>
          </w:p>
        </w:tc>
      </w:tr>
      <w:tr w:rsidR="00A066F1" w:rsidRPr="00E87C2D" w14:paraId="3BE1F724" w14:textId="77777777">
        <w:trPr>
          <w:cantSplit/>
          <w:trHeight w:val="23"/>
        </w:trPr>
        <w:tc>
          <w:tcPr>
            <w:tcW w:w="6911" w:type="dxa"/>
            <w:shd w:val="clear" w:color="auto" w:fill="auto"/>
          </w:tcPr>
          <w:p w14:paraId="7C8C1343" w14:textId="77777777" w:rsidR="00A066F1" w:rsidRPr="00E87C2D"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24CBDCCA" w14:textId="77777777" w:rsidR="00A066F1" w:rsidRPr="00E87C2D" w:rsidRDefault="00E55816" w:rsidP="00A066F1">
            <w:pPr>
              <w:tabs>
                <w:tab w:val="left" w:pos="993"/>
              </w:tabs>
              <w:spacing w:before="0"/>
              <w:rPr>
                <w:rFonts w:ascii="Verdana" w:hAnsi="Verdana"/>
                <w:b/>
                <w:sz w:val="20"/>
              </w:rPr>
            </w:pPr>
            <w:r w:rsidRPr="00E87C2D">
              <w:rPr>
                <w:rFonts w:ascii="Verdana" w:hAnsi="Verdana"/>
                <w:b/>
                <w:sz w:val="20"/>
              </w:rPr>
              <w:t>Original: English</w:t>
            </w:r>
          </w:p>
        </w:tc>
      </w:tr>
      <w:tr w:rsidR="00A066F1" w:rsidRPr="00E87C2D" w14:paraId="476896EE" w14:textId="77777777" w:rsidTr="00025864">
        <w:trPr>
          <w:cantSplit/>
          <w:trHeight w:val="23"/>
        </w:trPr>
        <w:tc>
          <w:tcPr>
            <w:tcW w:w="10031" w:type="dxa"/>
            <w:gridSpan w:val="2"/>
            <w:shd w:val="clear" w:color="auto" w:fill="auto"/>
          </w:tcPr>
          <w:p w14:paraId="66D2FE09" w14:textId="77777777" w:rsidR="00A066F1" w:rsidRPr="00E87C2D" w:rsidRDefault="00A066F1" w:rsidP="00A066F1">
            <w:pPr>
              <w:tabs>
                <w:tab w:val="left" w:pos="993"/>
              </w:tabs>
              <w:spacing w:before="0"/>
              <w:rPr>
                <w:rFonts w:ascii="Verdana" w:hAnsi="Verdana"/>
                <w:b/>
                <w:sz w:val="20"/>
              </w:rPr>
            </w:pPr>
          </w:p>
        </w:tc>
      </w:tr>
      <w:tr w:rsidR="00E55816" w:rsidRPr="00E87C2D" w14:paraId="61A1F057" w14:textId="77777777" w:rsidTr="00025864">
        <w:trPr>
          <w:cantSplit/>
          <w:trHeight w:val="23"/>
        </w:trPr>
        <w:tc>
          <w:tcPr>
            <w:tcW w:w="10031" w:type="dxa"/>
            <w:gridSpan w:val="2"/>
            <w:shd w:val="clear" w:color="auto" w:fill="auto"/>
          </w:tcPr>
          <w:p w14:paraId="12730560" w14:textId="77777777" w:rsidR="00E55816" w:rsidRPr="00E87C2D" w:rsidRDefault="00884D60" w:rsidP="00E55816">
            <w:pPr>
              <w:pStyle w:val="Source"/>
            </w:pPr>
            <w:r w:rsidRPr="00E87C2D">
              <w:t>Asia-Pacific Telecommunity Common Proposals</w:t>
            </w:r>
          </w:p>
        </w:tc>
      </w:tr>
      <w:tr w:rsidR="00E55816" w:rsidRPr="00E87C2D" w14:paraId="14E8476C" w14:textId="77777777" w:rsidTr="00025864">
        <w:trPr>
          <w:cantSplit/>
          <w:trHeight w:val="23"/>
        </w:trPr>
        <w:tc>
          <w:tcPr>
            <w:tcW w:w="10031" w:type="dxa"/>
            <w:gridSpan w:val="2"/>
            <w:shd w:val="clear" w:color="auto" w:fill="auto"/>
          </w:tcPr>
          <w:p w14:paraId="1C8E29DA" w14:textId="77777777" w:rsidR="00E55816" w:rsidRPr="00E87C2D" w:rsidRDefault="007D5320" w:rsidP="00E55816">
            <w:pPr>
              <w:pStyle w:val="Title1"/>
            </w:pPr>
            <w:r w:rsidRPr="00E87C2D">
              <w:t>Proposals for the work of the conference</w:t>
            </w:r>
          </w:p>
        </w:tc>
      </w:tr>
      <w:tr w:rsidR="00E55816" w:rsidRPr="00E87C2D" w14:paraId="1D3C5975" w14:textId="77777777" w:rsidTr="00025864">
        <w:trPr>
          <w:cantSplit/>
          <w:trHeight w:val="23"/>
        </w:trPr>
        <w:tc>
          <w:tcPr>
            <w:tcW w:w="10031" w:type="dxa"/>
            <w:gridSpan w:val="2"/>
            <w:shd w:val="clear" w:color="auto" w:fill="auto"/>
          </w:tcPr>
          <w:p w14:paraId="2E08A8B1" w14:textId="77777777" w:rsidR="00E55816" w:rsidRPr="00E87C2D" w:rsidRDefault="00E55816" w:rsidP="00E55816">
            <w:pPr>
              <w:pStyle w:val="Title2"/>
            </w:pPr>
          </w:p>
        </w:tc>
      </w:tr>
      <w:tr w:rsidR="00A538A6" w:rsidRPr="00E87C2D" w14:paraId="5C17D291" w14:textId="77777777" w:rsidTr="00025864">
        <w:trPr>
          <w:cantSplit/>
          <w:trHeight w:val="23"/>
        </w:trPr>
        <w:tc>
          <w:tcPr>
            <w:tcW w:w="10031" w:type="dxa"/>
            <w:gridSpan w:val="2"/>
            <w:shd w:val="clear" w:color="auto" w:fill="auto"/>
          </w:tcPr>
          <w:p w14:paraId="2F409819" w14:textId="77777777" w:rsidR="00A538A6" w:rsidRPr="00E87C2D" w:rsidRDefault="004B13CB" w:rsidP="004B13CB">
            <w:pPr>
              <w:pStyle w:val="Agendaitem"/>
              <w:rPr>
                <w:lang w:val="en-GB"/>
              </w:rPr>
            </w:pPr>
            <w:r w:rsidRPr="00E87C2D">
              <w:rPr>
                <w:lang w:val="en-GB"/>
              </w:rPr>
              <w:t>Agenda item 10</w:t>
            </w:r>
          </w:p>
        </w:tc>
      </w:tr>
    </w:tbl>
    <w:bookmarkEnd w:id="6"/>
    <w:bookmarkEnd w:id="7"/>
    <w:p w14:paraId="18F5FC90" w14:textId="77777777" w:rsidR="005118F7" w:rsidRPr="00E87C2D" w:rsidRDefault="0053574F" w:rsidP="00167FA6">
      <w:pPr>
        <w:overflowPunct/>
        <w:autoSpaceDE/>
        <w:autoSpaceDN/>
        <w:adjustRightInd/>
        <w:textAlignment w:val="auto"/>
      </w:pPr>
      <w:r w:rsidRPr="00E87C2D">
        <w:t>10</w:t>
      </w:r>
      <w:r w:rsidRPr="00E87C2D">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2FE6EBC4" w14:textId="77777777" w:rsidR="00E6308B" w:rsidRPr="00E87C2D" w:rsidRDefault="00E6308B" w:rsidP="00E6308B">
      <w:pPr>
        <w:pStyle w:val="Headingb"/>
        <w:rPr>
          <w:lang w:val="en-GB"/>
        </w:rPr>
      </w:pPr>
      <w:r w:rsidRPr="00E87C2D">
        <w:rPr>
          <w:lang w:val="en-GB"/>
        </w:rPr>
        <w:t>Introduction</w:t>
      </w:r>
    </w:p>
    <w:p w14:paraId="48EF94AC" w14:textId="77777777" w:rsidR="00E6308B" w:rsidRPr="00E87C2D" w:rsidRDefault="00E6308B" w:rsidP="00E6308B">
      <w:r w:rsidRPr="00E87C2D">
        <w:t>APT Members support the inclusion of the following item in the agenda of WRC-23:</w:t>
      </w:r>
    </w:p>
    <w:p w14:paraId="2A27557D" w14:textId="1A700A72" w:rsidR="00E6308B" w:rsidRPr="00E87C2D" w:rsidRDefault="00E87C2D" w:rsidP="00B020FC">
      <w:pPr>
        <w:pStyle w:val="enumlev1"/>
      </w:pPr>
      <w:r w:rsidRPr="00E87C2D">
        <w:t>–</w:t>
      </w:r>
      <w:r w:rsidR="00B020FC" w:rsidRPr="00E87C2D">
        <w:tab/>
      </w:r>
      <w:r w:rsidR="00E6308B" w:rsidRPr="00E87C2D">
        <w:t>to consider that further operational, technical and regulatory issues may need to be addressed, which require continuing studies, on the status of the station aboard suborbital vehicles and type of applications, and on the potential interference to be considered with regards to radiocommunication systems operating on suborbital vehicles.</w:t>
      </w:r>
    </w:p>
    <w:p w14:paraId="324AB2B1" w14:textId="77777777" w:rsidR="00187BD9" w:rsidRPr="00E87C2D" w:rsidRDefault="00187BD9" w:rsidP="00187BD9">
      <w:pPr>
        <w:tabs>
          <w:tab w:val="clear" w:pos="1134"/>
          <w:tab w:val="clear" w:pos="1871"/>
          <w:tab w:val="clear" w:pos="2268"/>
        </w:tabs>
        <w:overflowPunct/>
        <w:autoSpaceDE/>
        <w:autoSpaceDN/>
        <w:adjustRightInd/>
        <w:spacing w:before="0"/>
        <w:textAlignment w:val="auto"/>
      </w:pPr>
      <w:r w:rsidRPr="00E87C2D">
        <w:br w:type="page"/>
      </w:r>
    </w:p>
    <w:p w14:paraId="55F09857" w14:textId="77777777" w:rsidR="00886773" w:rsidRPr="00E87C2D" w:rsidRDefault="00886773" w:rsidP="00886773">
      <w:pPr>
        <w:pStyle w:val="Headingb"/>
        <w:rPr>
          <w:lang w:val="en-GB"/>
        </w:rPr>
      </w:pPr>
      <w:r w:rsidRPr="00E87C2D">
        <w:rPr>
          <w:lang w:val="en-GB"/>
        </w:rPr>
        <w:lastRenderedPageBreak/>
        <w:t>Proposals</w:t>
      </w:r>
    </w:p>
    <w:p w14:paraId="76B60112" w14:textId="6E96A800" w:rsidR="005B39AE" w:rsidRPr="00E87C2D" w:rsidRDefault="0053574F">
      <w:pPr>
        <w:pStyle w:val="Proposal"/>
      </w:pPr>
      <w:r w:rsidRPr="00E87C2D">
        <w:t>ADD</w:t>
      </w:r>
      <w:r w:rsidRPr="00E87C2D">
        <w:tab/>
        <w:t>ACP/24A24A7/1</w:t>
      </w:r>
    </w:p>
    <w:p w14:paraId="3F540866" w14:textId="77777777" w:rsidR="005B39AE" w:rsidRPr="00E87C2D" w:rsidRDefault="0053574F" w:rsidP="00B6441C">
      <w:pPr>
        <w:pStyle w:val="ResNo"/>
      </w:pPr>
      <w:r w:rsidRPr="00E87C2D">
        <w:t>Draft New Resolution [ACP-A10-WRC23]</w:t>
      </w:r>
      <w:r w:rsidR="00B6441C" w:rsidRPr="00E87C2D">
        <w:t xml:space="preserve"> (WRC-19)</w:t>
      </w:r>
    </w:p>
    <w:p w14:paraId="15D30A72" w14:textId="77777777" w:rsidR="00A037D7" w:rsidRPr="00E87C2D" w:rsidRDefault="00A037D7" w:rsidP="00A037D7">
      <w:pPr>
        <w:pStyle w:val="Restitle"/>
        <w:rPr>
          <w:lang w:eastAsia="zh-CN"/>
        </w:rPr>
      </w:pPr>
      <w:bookmarkStart w:id="8" w:name="_Toc319401926"/>
      <w:bookmarkStart w:id="9" w:name="_Toc450048857"/>
      <w:r w:rsidRPr="00E87C2D">
        <w:rPr>
          <w:lang w:eastAsia="zh-CN"/>
        </w:rPr>
        <w:t>Agenda for the 2023 World Radiocommunication Conference</w:t>
      </w:r>
      <w:bookmarkEnd w:id="8"/>
      <w:bookmarkEnd w:id="9"/>
    </w:p>
    <w:p w14:paraId="5C4485A3" w14:textId="77777777" w:rsidR="00A037D7" w:rsidRPr="00E87C2D" w:rsidRDefault="00A037D7" w:rsidP="00A037D7">
      <w:pPr>
        <w:pStyle w:val="Normalaftertitle"/>
        <w:rPr>
          <w:lang w:eastAsia="zh-CN"/>
        </w:rPr>
      </w:pPr>
      <w:r w:rsidRPr="00E87C2D">
        <w:rPr>
          <w:lang w:eastAsia="zh-CN"/>
        </w:rPr>
        <w:t>The World Radiocommunication Conference (Sharm el-Sheikh, 2019),</w:t>
      </w:r>
    </w:p>
    <w:p w14:paraId="4BC7B055" w14:textId="77777777" w:rsidR="00A037D7" w:rsidRPr="00E87C2D" w:rsidRDefault="00A037D7" w:rsidP="00A037D7">
      <w:pPr>
        <w:rPr>
          <w:lang w:eastAsia="zh-CN"/>
        </w:rPr>
      </w:pPr>
      <w:r w:rsidRPr="00E87C2D">
        <w:rPr>
          <w:lang w:eastAsia="zh-CN"/>
        </w:rPr>
        <w:t>…</w:t>
      </w:r>
    </w:p>
    <w:p w14:paraId="46C478DB" w14:textId="30C07DF8" w:rsidR="00A037D7" w:rsidRPr="00E87C2D" w:rsidRDefault="00A037D7" w:rsidP="00A037D7">
      <w:pPr>
        <w:rPr>
          <w:rFonts w:eastAsia="SimSun"/>
          <w:iCs/>
          <w:color w:val="000000"/>
          <w:lang w:eastAsia="zh-CN"/>
        </w:rPr>
      </w:pPr>
      <w:r w:rsidRPr="00E87C2D">
        <w:rPr>
          <w:rFonts w:eastAsia="BatangChe"/>
        </w:rPr>
        <w:t>1.x</w:t>
      </w:r>
      <w:r w:rsidRPr="00E87C2D">
        <w:rPr>
          <w:kern w:val="2"/>
          <w:lang w:eastAsia="ja-JP"/>
        </w:rPr>
        <w:tab/>
      </w:r>
      <w:r w:rsidRPr="00E87C2D">
        <w:rPr>
          <w:iCs/>
          <w:color w:val="000000"/>
        </w:rPr>
        <w:t xml:space="preserve">to consider that further operational, technical and regulatory issues may need to be addressed, which require continuing studies, on the status of the station aboard suborbital vehicles and type of applications, and on the potential interference to be considered with regards to radiocommunication systems operating on suborbital vehicles in accordance with Resolution </w:t>
      </w:r>
      <w:r w:rsidRPr="00E87C2D">
        <w:rPr>
          <w:b/>
          <w:iCs/>
          <w:color w:val="000000"/>
        </w:rPr>
        <w:t>[</w:t>
      </w:r>
      <w:r w:rsidRPr="00E87C2D">
        <w:rPr>
          <w:b/>
        </w:rPr>
        <w:t>ACP</w:t>
      </w:r>
      <w:r w:rsidR="00B020FC" w:rsidRPr="00E87C2D">
        <w:rPr>
          <w:b/>
        </w:rPr>
        <w:noBreakHyphen/>
      </w:r>
      <w:r w:rsidRPr="00E87C2D">
        <w:rPr>
          <w:b/>
        </w:rPr>
        <w:t>G10-SUBORBITAL VEHICLES</w:t>
      </w:r>
      <w:r w:rsidRPr="00E87C2D">
        <w:rPr>
          <w:b/>
          <w:iCs/>
          <w:color w:val="000000"/>
        </w:rPr>
        <w:t>]</w:t>
      </w:r>
      <w:r w:rsidR="00B6441C" w:rsidRPr="00E87C2D">
        <w:t xml:space="preserve"> </w:t>
      </w:r>
      <w:r w:rsidR="00B6441C" w:rsidRPr="00E87C2D">
        <w:rPr>
          <w:b/>
          <w:bCs/>
        </w:rPr>
        <w:t>(WRC-19)</w:t>
      </w:r>
      <w:r w:rsidRPr="00E87C2D">
        <w:rPr>
          <w:iCs/>
          <w:color w:val="000000"/>
        </w:rPr>
        <w:t>;</w:t>
      </w:r>
    </w:p>
    <w:p w14:paraId="7A5D4A70" w14:textId="77777777" w:rsidR="005B39AE" w:rsidRPr="00E87C2D" w:rsidRDefault="00A037D7" w:rsidP="00A037D7">
      <w:pPr>
        <w:tabs>
          <w:tab w:val="clear" w:pos="1134"/>
          <w:tab w:val="clear" w:pos="1871"/>
          <w:tab w:val="clear" w:pos="2268"/>
          <w:tab w:val="left" w:pos="660"/>
        </w:tabs>
        <w:overflowPunct/>
        <w:autoSpaceDE/>
        <w:autoSpaceDN/>
        <w:adjustRightInd/>
        <w:spacing w:before="0"/>
        <w:jc w:val="both"/>
        <w:textAlignment w:val="auto"/>
        <w:rPr>
          <w:rFonts w:eastAsia="SimSun"/>
          <w:szCs w:val="24"/>
          <w:lang w:eastAsia="zh-CN"/>
        </w:rPr>
      </w:pPr>
      <w:r w:rsidRPr="00E87C2D">
        <w:rPr>
          <w:rFonts w:eastAsia="SimSun"/>
          <w:iCs/>
          <w:color w:val="000000"/>
          <w:lang w:eastAsia="zh-CN"/>
        </w:rPr>
        <w:t>…</w:t>
      </w:r>
    </w:p>
    <w:p w14:paraId="67FDA591" w14:textId="40284ECA" w:rsidR="005B39AE" w:rsidRPr="00E87C2D" w:rsidRDefault="0053574F">
      <w:pPr>
        <w:pStyle w:val="Reasons"/>
      </w:pPr>
      <w:r w:rsidRPr="00E87C2D">
        <w:rPr>
          <w:b/>
        </w:rPr>
        <w:t>Reasons:</w:t>
      </w:r>
      <w:r w:rsidRPr="00E87C2D">
        <w:tab/>
      </w:r>
      <w:r w:rsidR="00A037D7" w:rsidRPr="00E87C2D">
        <w:t xml:space="preserve">Proposal for a new WRC-23 agenda item to continue the studies on suborbital vehicles previously being considered under WRC-19 </w:t>
      </w:r>
      <w:r w:rsidR="00B6441C" w:rsidRPr="00E87C2D">
        <w:t>a</w:t>
      </w:r>
      <w:r w:rsidR="00A037D7" w:rsidRPr="00E87C2D">
        <w:t>genda item 9.1, issue 9.1.4.</w:t>
      </w:r>
    </w:p>
    <w:p w14:paraId="08C5A7B0" w14:textId="77777777" w:rsidR="005B39AE" w:rsidRPr="00E87C2D" w:rsidRDefault="0053574F">
      <w:pPr>
        <w:pStyle w:val="Proposal"/>
      </w:pPr>
      <w:r w:rsidRPr="00E87C2D">
        <w:t>ADD</w:t>
      </w:r>
      <w:r w:rsidRPr="00E87C2D">
        <w:tab/>
        <w:t>ACP/24A24A7/2</w:t>
      </w:r>
    </w:p>
    <w:p w14:paraId="21BEAFA8" w14:textId="77777777" w:rsidR="005B39AE" w:rsidRPr="00E87C2D" w:rsidRDefault="0053574F">
      <w:pPr>
        <w:pStyle w:val="ResNo"/>
      </w:pPr>
      <w:r w:rsidRPr="00E87C2D">
        <w:t>Draft New Resolution [ACP-G10-SUBORBITAL VEHICLES]</w:t>
      </w:r>
      <w:r w:rsidR="00B6441C" w:rsidRPr="00E87C2D">
        <w:t xml:space="preserve"> (WRC-19)</w:t>
      </w:r>
    </w:p>
    <w:p w14:paraId="2B6573A9" w14:textId="77777777" w:rsidR="005B39AE" w:rsidRPr="00E87C2D" w:rsidRDefault="00A037D7" w:rsidP="00A037D7">
      <w:pPr>
        <w:pStyle w:val="Restitle"/>
      </w:pPr>
      <w:bookmarkStart w:id="10" w:name="_Hlk12221551"/>
      <w:r w:rsidRPr="00E87C2D">
        <w:rPr>
          <w:rFonts w:eastAsiaTheme="minorEastAsia"/>
        </w:rPr>
        <w:t>Consideration of regulatory provisions and possible frequency bands for the stations on board suborbital vehicles</w:t>
      </w:r>
      <w:bookmarkEnd w:id="10"/>
    </w:p>
    <w:p w14:paraId="6E12D3A3" w14:textId="77777777" w:rsidR="00A037D7" w:rsidRPr="00E87C2D" w:rsidRDefault="00A037D7" w:rsidP="00886773">
      <w:pPr>
        <w:pStyle w:val="Normalaftertitle"/>
        <w:rPr>
          <w:lang w:eastAsia="nl-NL"/>
        </w:rPr>
      </w:pPr>
      <w:bookmarkStart w:id="11" w:name="_GoBack"/>
      <w:bookmarkEnd w:id="11"/>
      <w:r w:rsidRPr="00E87C2D">
        <w:rPr>
          <w:lang w:eastAsia="nl-NL"/>
        </w:rPr>
        <w:t>The World Radiocommunication Conference (Sharm el-Sheikh, 2019),</w:t>
      </w:r>
    </w:p>
    <w:p w14:paraId="634E0BB9" w14:textId="77777777" w:rsidR="00A037D7" w:rsidRPr="00E87C2D" w:rsidRDefault="00A037D7" w:rsidP="0053574F">
      <w:pPr>
        <w:pStyle w:val="Call"/>
        <w:rPr>
          <w:lang w:eastAsia="nl-NL"/>
        </w:rPr>
      </w:pPr>
      <w:r w:rsidRPr="00E87C2D">
        <w:rPr>
          <w:lang w:eastAsia="nl-NL"/>
        </w:rPr>
        <w:t>considering</w:t>
      </w:r>
    </w:p>
    <w:p w14:paraId="4424AD9F" w14:textId="29E6F474" w:rsidR="00A037D7" w:rsidRPr="00E87C2D" w:rsidRDefault="00A037D7" w:rsidP="0053574F">
      <w:pPr>
        <w:rPr>
          <w:rFonts w:eastAsia="BatangChe"/>
        </w:rPr>
      </w:pPr>
      <w:r w:rsidRPr="00E87C2D">
        <w:rPr>
          <w:rFonts w:eastAsia="BatangChe"/>
          <w:i/>
        </w:rPr>
        <w:t>a)</w:t>
      </w:r>
      <w:r w:rsidRPr="00E87C2D">
        <w:rPr>
          <w:rFonts w:eastAsia="BatangChe"/>
        </w:rPr>
        <w:tab/>
        <w:t>that 100 kilomet</w:t>
      </w:r>
      <w:r w:rsidR="00E87C2D" w:rsidRPr="00E87C2D">
        <w:rPr>
          <w:rFonts w:eastAsia="BatangChe"/>
        </w:rPr>
        <w:t>re</w:t>
      </w:r>
      <w:r w:rsidRPr="00E87C2D">
        <w:rPr>
          <w:rFonts w:eastAsia="BatangChe"/>
        </w:rPr>
        <w:t>s from the Earth’s surface could be considered as the boundary between the Earth’s atmosphere and space;</w:t>
      </w:r>
    </w:p>
    <w:p w14:paraId="4E257870" w14:textId="77777777" w:rsidR="00A037D7" w:rsidRPr="00E87C2D" w:rsidRDefault="00A037D7" w:rsidP="0053574F">
      <w:pPr>
        <w:rPr>
          <w:rFonts w:eastAsia="BatangChe"/>
        </w:rPr>
      </w:pPr>
      <w:r w:rsidRPr="00E87C2D">
        <w:rPr>
          <w:rFonts w:eastAsia="BatangChe"/>
          <w:i/>
        </w:rPr>
        <w:t>b)</w:t>
      </w:r>
      <w:r w:rsidRPr="00E87C2D">
        <w:rPr>
          <w:rFonts w:eastAsia="BatangChe"/>
        </w:rPr>
        <w:tab/>
        <w:t>that some vehicles, including aircraft, can fly at altitudes over 100 km and operate into suborbital trajectories;</w:t>
      </w:r>
    </w:p>
    <w:p w14:paraId="0E8A4C10" w14:textId="77777777" w:rsidR="00A037D7" w:rsidRPr="00E87C2D" w:rsidRDefault="00A037D7" w:rsidP="0053574F">
      <w:pPr>
        <w:rPr>
          <w:rFonts w:eastAsia="BatangChe"/>
        </w:rPr>
      </w:pPr>
      <w:r w:rsidRPr="00E87C2D">
        <w:rPr>
          <w:rFonts w:eastAsia="BatangChe"/>
          <w:i/>
        </w:rPr>
        <w:t>c)</w:t>
      </w:r>
      <w:r w:rsidRPr="00E87C2D">
        <w:rPr>
          <w:rFonts w:eastAsia="BatangChe"/>
        </w:rPr>
        <w:tab/>
        <w:t>that other vehicles may also operate at altitudes over 100 km and use non-orbital trajectories;</w:t>
      </w:r>
    </w:p>
    <w:p w14:paraId="6A94C073" w14:textId="77777777" w:rsidR="00A037D7" w:rsidRPr="00E87C2D" w:rsidRDefault="00A037D7" w:rsidP="0053574F">
      <w:pPr>
        <w:rPr>
          <w:rFonts w:eastAsia="BatangChe"/>
        </w:rPr>
      </w:pPr>
      <w:r w:rsidRPr="00E87C2D">
        <w:rPr>
          <w:rFonts w:eastAsia="SimSun"/>
          <w:i/>
          <w:lang w:eastAsia="zh-CN"/>
        </w:rPr>
        <w:t>d)</w:t>
      </w:r>
      <w:r w:rsidRPr="00E87C2D">
        <w:rPr>
          <w:rFonts w:eastAsia="SimSun"/>
          <w:lang w:eastAsia="zh-CN"/>
        </w:rPr>
        <w:tab/>
        <w:t>that suborbital</w:t>
      </w:r>
      <w:r w:rsidRPr="00E87C2D">
        <w:rPr>
          <w:rFonts w:eastAsia="BatangChe"/>
        </w:rPr>
        <w:t xml:space="preserve"> </w:t>
      </w:r>
      <w:r w:rsidRPr="00E87C2D">
        <w:rPr>
          <w:rFonts w:eastAsia="SimSun"/>
          <w:lang w:eastAsia="zh-CN"/>
        </w:rPr>
        <w:t>flight can be defined as t</w:t>
      </w:r>
      <w:r w:rsidRPr="00E87C2D">
        <w:rPr>
          <w:rFonts w:eastAsia="BatangChe"/>
        </w:rPr>
        <w:t>he intentional flight of a vehicle expected to reach the upper atmosphere with a portion of its flight path that may occur in space without completing a full orbit around the Earth before returning back to the surface of the Earth</w:t>
      </w:r>
      <w:r w:rsidRPr="00E87C2D">
        <w:rPr>
          <w:rFonts w:eastAsia="SimSun"/>
          <w:lang w:eastAsia="zh-CN"/>
        </w:rPr>
        <w:t>;</w:t>
      </w:r>
    </w:p>
    <w:p w14:paraId="67A7F648" w14:textId="77777777" w:rsidR="00A037D7" w:rsidRPr="00E87C2D" w:rsidRDefault="00A037D7" w:rsidP="0053574F">
      <w:pPr>
        <w:rPr>
          <w:rFonts w:eastAsia="BatangChe"/>
        </w:rPr>
      </w:pPr>
      <w:r w:rsidRPr="00E87C2D">
        <w:rPr>
          <w:rFonts w:eastAsia="BatangChe"/>
          <w:i/>
        </w:rPr>
        <w:t>e)</w:t>
      </w:r>
      <w:r w:rsidRPr="00E87C2D">
        <w:rPr>
          <w:rFonts w:eastAsia="BatangChe"/>
        </w:rPr>
        <w:tab/>
        <w:t xml:space="preserve">that </w:t>
      </w:r>
      <w:r w:rsidRPr="00E87C2D">
        <w:rPr>
          <w:rFonts w:eastAsia="SimSun"/>
          <w:lang w:eastAsia="zh-CN"/>
        </w:rPr>
        <w:t>suborbital</w:t>
      </w:r>
      <w:r w:rsidRPr="00E87C2D">
        <w:rPr>
          <w:rFonts w:eastAsia="BatangChe"/>
        </w:rPr>
        <w:t xml:space="preserve"> vehicles may perform various missions (e.g. deploying a space vehicle, conducting scientific research, or providing transportation) and then return to the Earth’s surface without completing a full orbit around the Earth;</w:t>
      </w:r>
    </w:p>
    <w:p w14:paraId="31A027AF" w14:textId="77777777" w:rsidR="00A037D7" w:rsidRPr="00E87C2D" w:rsidRDefault="00A037D7" w:rsidP="0053574F">
      <w:pPr>
        <w:rPr>
          <w:rFonts w:eastAsia="BatangChe"/>
        </w:rPr>
      </w:pPr>
      <w:r w:rsidRPr="00E87C2D">
        <w:rPr>
          <w:rFonts w:eastAsia="BatangChe"/>
          <w:i/>
        </w:rPr>
        <w:t>f)</w:t>
      </w:r>
      <w:r w:rsidRPr="00E87C2D">
        <w:rPr>
          <w:rFonts w:eastAsia="BatangChe"/>
        </w:rPr>
        <w:tab/>
        <w:t xml:space="preserve">that </w:t>
      </w:r>
      <w:r w:rsidRPr="00E87C2D">
        <w:rPr>
          <w:rFonts w:eastAsia="SimSun"/>
          <w:lang w:eastAsia="zh-CN"/>
        </w:rPr>
        <w:t>suborbital</w:t>
      </w:r>
      <w:r w:rsidRPr="00E87C2D">
        <w:rPr>
          <w:rFonts w:eastAsia="BatangChe"/>
        </w:rPr>
        <w:t xml:space="preserve"> vehicles </w:t>
      </w:r>
      <w:r w:rsidRPr="00E87C2D">
        <w:rPr>
          <w:rFonts w:eastAsia="SimSun"/>
          <w:lang w:eastAsia="zh-CN"/>
        </w:rPr>
        <w:t>should</w:t>
      </w:r>
      <w:r w:rsidRPr="00E87C2D">
        <w:rPr>
          <w:rFonts w:eastAsia="BatangChe"/>
        </w:rPr>
        <w:t xml:space="preserve"> safely share airspace with conventional aircraft during their transition to and from high altitude, including those from space;</w:t>
      </w:r>
    </w:p>
    <w:p w14:paraId="681F4441" w14:textId="77777777" w:rsidR="00A037D7" w:rsidRPr="00E87C2D" w:rsidRDefault="00A037D7" w:rsidP="0053574F">
      <w:pPr>
        <w:rPr>
          <w:rFonts w:eastAsia="BatangChe"/>
        </w:rPr>
      </w:pPr>
      <w:r w:rsidRPr="00E87C2D">
        <w:rPr>
          <w:rFonts w:eastAsia="BatangChe"/>
          <w:i/>
        </w:rPr>
        <w:lastRenderedPageBreak/>
        <w:t>g)</w:t>
      </w:r>
      <w:r w:rsidRPr="00E87C2D">
        <w:rPr>
          <w:rFonts w:eastAsia="BatangChe"/>
        </w:rPr>
        <w:tab/>
        <w:t>that stations on board suborbital vehicles may use frequencies allocated to space and terrestrial services for the purpose of telemetry, tracking and command (TT&amp;C), voice communications, navigation, surveillance, and safety of life and property,</w:t>
      </w:r>
    </w:p>
    <w:p w14:paraId="128A7018" w14:textId="77777777" w:rsidR="00A037D7" w:rsidRPr="00E87C2D" w:rsidRDefault="00A037D7" w:rsidP="0053574F">
      <w:pPr>
        <w:pStyle w:val="Call"/>
      </w:pPr>
      <w:r w:rsidRPr="00E87C2D">
        <w:t>recognizing</w:t>
      </w:r>
    </w:p>
    <w:p w14:paraId="63FB1392" w14:textId="77777777" w:rsidR="00A037D7" w:rsidRPr="00E87C2D" w:rsidRDefault="00A037D7" w:rsidP="0053574F">
      <w:pPr>
        <w:rPr>
          <w:rFonts w:eastAsia="BatangChe"/>
        </w:rPr>
      </w:pPr>
      <w:r w:rsidRPr="00E87C2D">
        <w:rPr>
          <w:rFonts w:eastAsia="BatangChe"/>
          <w:i/>
        </w:rPr>
        <w:t>a)</w:t>
      </w:r>
      <w:r w:rsidRPr="00E87C2D">
        <w:rPr>
          <w:rFonts w:eastAsia="BatangChe"/>
        </w:rPr>
        <w:tab/>
        <w:t>that there is no internationally agreed legal demarcation between the Earth’s atmosphere and the space domain;</w:t>
      </w:r>
    </w:p>
    <w:p w14:paraId="322AB37D" w14:textId="77777777" w:rsidR="00A037D7" w:rsidRPr="00E87C2D" w:rsidRDefault="00A037D7" w:rsidP="0053574F">
      <w:pPr>
        <w:rPr>
          <w:rFonts w:eastAsia="BatangChe"/>
        </w:rPr>
      </w:pPr>
      <w:r w:rsidRPr="00E87C2D">
        <w:rPr>
          <w:rFonts w:eastAsia="BatangChe"/>
          <w:i/>
        </w:rPr>
        <w:t>b)</w:t>
      </w:r>
      <w:r w:rsidRPr="00E87C2D">
        <w:rPr>
          <w:rFonts w:eastAsia="BatangChe"/>
        </w:rPr>
        <w:tab/>
        <w:t>that the current regulatory provisions for terrestrial and space services may not be adequate for international recognition of the use of relevant frequency assignments by stations on board suborbital vehicles,</w:t>
      </w:r>
    </w:p>
    <w:p w14:paraId="2B348805" w14:textId="77777777" w:rsidR="00A037D7" w:rsidRPr="00E87C2D" w:rsidRDefault="00A037D7" w:rsidP="0053574F">
      <w:pPr>
        <w:pStyle w:val="Call"/>
        <w:rPr>
          <w:rFonts w:eastAsiaTheme="minorEastAsia"/>
        </w:rPr>
      </w:pPr>
      <w:r w:rsidRPr="00E87C2D">
        <w:rPr>
          <w:rFonts w:eastAsiaTheme="minorEastAsia"/>
        </w:rPr>
        <w:t>noting</w:t>
      </w:r>
    </w:p>
    <w:p w14:paraId="1952F7D8" w14:textId="77777777" w:rsidR="00A037D7" w:rsidRPr="00E87C2D" w:rsidRDefault="00A037D7" w:rsidP="0053574F">
      <w:pPr>
        <w:rPr>
          <w:rFonts w:eastAsiaTheme="minorEastAsia"/>
        </w:rPr>
      </w:pPr>
      <w:r w:rsidRPr="00E87C2D">
        <w:rPr>
          <w:rFonts w:eastAsiaTheme="minorEastAsia"/>
          <w:i/>
        </w:rPr>
        <w:t>a)</w:t>
      </w:r>
      <w:r w:rsidRPr="00E87C2D">
        <w:rPr>
          <w:rFonts w:eastAsiaTheme="minorEastAsia"/>
        </w:rPr>
        <w:tab/>
        <w:t>Report ITU-R M.[SUBORBITAL VEHICLES]</w:t>
      </w:r>
      <w:r w:rsidR="004A2D50" w:rsidRPr="00E87C2D">
        <w:rPr>
          <w:rStyle w:val="FootnoteReference"/>
          <w:rFonts w:eastAsiaTheme="minorEastAsia"/>
        </w:rPr>
        <w:footnoteReference w:customMarkFollows="1" w:id="1"/>
        <w:t>*</w:t>
      </w:r>
      <w:r w:rsidRPr="00E87C2D">
        <w:rPr>
          <w:rFonts w:eastAsiaTheme="minorEastAsia"/>
        </w:rPr>
        <w:t xml:space="preserve"> provides information on the current understanding of Radiocommunications for suborbital vehicles including a description of the flight trajectory, categories of suborbital vehicles, technical studies related to possible avionics systems used by suborbital vehicles, and service allocations of those systems;</w:t>
      </w:r>
    </w:p>
    <w:p w14:paraId="1EFACCA6" w14:textId="77777777" w:rsidR="00A037D7" w:rsidRPr="00E87C2D" w:rsidRDefault="00A037D7" w:rsidP="0053574F">
      <w:pPr>
        <w:rPr>
          <w:rFonts w:eastAsiaTheme="minorEastAsia"/>
        </w:rPr>
      </w:pPr>
      <w:r w:rsidRPr="00E87C2D">
        <w:rPr>
          <w:rFonts w:eastAsiaTheme="minorEastAsia"/>
          <w:i/>
        </w:rPr>
        <w:t>b)</w:t>
      </w:r>
      <w:r w:rsidRPr="00E87C2D">
        <w:rPr>
          <w:rFonts w:eastAsiaTheme="minorEastAsia"/>
        </w:rPr>
        <w:tab/>
        <w:t>that provisions of No.</w:t>
      </w:r>
      <w:r w:rsidRPr="00E87C2D">
        <w:rPr>
          <w:rFonts w:eastAsia="SimSun"/>
          <w:lang w:eastAsia="zh-CN"/>
        </w:rPr>
        <w:t xml:space="preserve"> </w:t>
      </w:r>
      <w:r w:rsidRPr="00E87C2D">
        <w:rPr>
          <w:rFonts w:eastAsiaTheme="minorEastAsia"/>
          <w:b/>
        </w:rPr>
        <w:t>4.10</w:t>
      </w:r>
      <w:r w:rsidRPr="00E87C2D">
        <w:rPr>
          <w:rFonts w:eastAsiaTheme="minorEastAsia"/>
        </w:rPr>
        <w:t xml:space="preserve"> may apply for certain aspects of these operations,</w:t>
      </w:r>
    </w:p>
    <w:p w14:paraId="1689B21B" w14:textId="77777777" w:rsidR="00A037D7" w:rsidRPr="00E87C2D" w:rsidRDefault="00A037D7" w:rsidP="0053574F">
      <w:pPr>
        <w:pStyle w:val="Call"/>
        <w:rPr>
          <w:rFonts w:eastAsiaTheme="minorEastAsia"/>
        </w:rPr>
      </w:pPr>
      <w:r w:rsidRPr="00E87C2D">
        <w:rPr>
          <w:rFonts w:eastAsiaTheme="minorEastAsia"/>
          <w:color w:val="000000"/>
        </w:rPr>
        <w:t xml:space="preserve">resolves to </w:t>
      </w:r>
      <w:r w:rsidRPr="00E87C2D">
        <w:rPr>
          <w:rFonts w:eastAsiaTheme="minorEastAsia"/>
        </w:rPr>
        <w:t>invite the 2023 World Radiocommunication Conference</w:t>
      </w:r>
    </w:p>
    <w:p w14:paraId="3B827952" w14:textId="77777777" w:rsidR="00A037D7" w:rsidRPr="00E87C2D" w:rsidRDefault="00A037D7" w:rsidP="0053574F">
      <w:pPr>
        <w:rPr>
          <w:rFonts w:eastAsiaTheme="minorEastAsia"/>
          <w:iCs/>
        </w:rPr>
      </w:pPr>
      <w:r w:rsidRPr="00E87C2D">
        <w:rPr>
          <w:rFonts w:eastAsiaTheme="minorEastAsia"/>
          <w:iCs/>
        </w:rPr>
        <w:t>to take appropriate actions, based on</w:t>
      </w:r>
      <w:r w:rsidRPr="00E87C2D">
        <w:rPr>
          <w:rFonts w:eastAsiaTheme="minorEastAsia"/>
        </w:rPr>
        <w:t xml:space="preserve"> the results of ITU-R studies, for the implementation of station on board suborbital vehicles,</w:t>
      </w:r>
    </w:p>
    <w:p w14:paraId="17750B85" w14:textId="77777777" w:rsidR="00A037D7" w:rsidRPr="00E87C2D" w:rsidRDefault="00A037D7" w:rsidP="0053574F">
      <w:pPr>
        <w:pStyle w:val="Call"/>
        <w:rPr>
          <w:rFonts w:eastAsiaTheme="minorEastAsia"/>
        </w:rPr>
      </w:pPr>
      <w:r w:rsidRPr="00E87C2D">
        <w:rPr>
          <w:rFonts w:eastAsiaTheme="minorEastAsia"/>
        </w:rPr>
        <w:t>resolves to invite the ITU Radiocommunication Sector</w:t>
      </w:r>
    </w:p>
    <w:p w14:paraId="0047A0CC" w14:textId="77777777" w:rsidR="00A037D7" w:rsidRPr="00E87C2D" w:rsidRDefault="00A037D7" w:rsidP="0053574F">
      <w:pPr>
        <w:rPr>
          <w:rFonts w:eastAsia="MS PMincho"/>
          <w:lang w:eastAsia="ja-JP"/>
        </w:rPr>
      </w:pPr>
      <w:r w:rsidRPr="00E87C2D">
        <w:rPr>
          <w:rFonts w:eastAsia="SimSun"/>
          <w:lang w:eastAsia="zh-CN"/>
        </w:rPr>
        <w:t>1</w:t>
      </w:r>
      <w:r w:rsidRPr="00E87C2D">
        <w:rPr>
          <w:rFonts w:eastAsia="SimSun"/>
          <w:lang w:eastAsia="zh-CN"/>
        </w:rPr>
        <w:tab/>
        <w:t xml:space="preserve">to study spectrum needs for communications between stations on board suborbital vehicles and terrestrial and space station providing functions, intel alia, </w:t>
      </w:r>
      <w:r w:rsidRPr="00E87C2D">
        <w:rPr>
          <w:rFonts w:eastAsia="MS PMincho"/>
          <w:lang w:eastAsia="ja-JP"/>
        </w:rPr>
        <w:t xml:space="preserve">voice/data communications, navigation, surveillance, telemetry, tracking and command (TT&amp;C) </w:t>
      </w:r>
      <w:r w:rsidR="0053574F" w:rsidRPr="00E87C2D">
        <w:rPr>
          <w:rFonts w:eastAsia="MS PMincho"/>
          <w:lang w:eastAsia="ja-JP"/>
        </w:rPr>
        <w:t>and safety of life and property;</w:t>
      </w:r>
    </w:p>
    <w:p w14:paraId="56F05D6B" w14:textId="63AD6F2E" w:rsidR="00A037D7" w:rsidRPr="00E87C2D" w:rsidRDefault="00A037D7" w:rsidP="0053574F">
      <w:pPr>
        <w:rPr>
          <w:rFonts w:eastAsia="MS PMincho"/>
          <w:lang w:eastAsia="ja-JP"/>
        </w:rPr>
      </w:pPr>
      <w:r w:rsidRPr="00E87C2D">
        <w:rPr>
          <w:rFonts w:eastAsia="SimSun"/>
          <w:lang w:eastAsia="zh-CN"/>
        </w:rPr>
        <w:t>2</w:t>
      </w:r>
      <w:r w:rsidRPr="00E87C2D">
        <w:rPr>
          <w:rFonts w:eastAsia="SimSun"/>
          <w:lang w:eastAsia="zh-CN"/>
        </w:rPr>
        <w:tab/>
        <w:t xml:space="preserve">to study appropriate modification to the existing provisions to accommodate </w:t>
      </w:r>
      <w:r w:rsidRPr="00E87C2D">
        <w:rPr>
          <w:rFonts w:eastAsia="MS PMincho"/>
          <w:lang w:eastAsia="ja-JP"/>
        </w:rPr>
        <w:t>stations on board suborbital vehicles;</w:t>
      </w:r>
    </w:p>
    <w:p w14:paraId="5E3CAB43" w14:textId="77777777" w:rsidR="00A037D7" w:rsidRPr="00E87C2D" w:rsidRDefault="00A037D7" w:rsidP="0053574F">
      <w:pPr>
        <w:rPr>
          <w:rFonts w:eastAsia="MS PMincho"/>
          <w:lang w:eastAsia="ja-JP"/>
        </w:rPr>
      </w:pPr>
      <w:r w:rsidRPr="00E87C2D">
        <w:rPr>
          <w:rFonts w:eastAsia="SimSun"/>
          <w:lang w:eastAsia="zh-CN"/>
        </w:rPr>
        <w:t>3</w:t>
      </w:r>
      <w:r w:rsidRPr="00E87C2D">
        <w:rPr>
          <w:rFonts w:eastAsia="SimSun"/>
          <w:lang w:eastAsia="zh-CN"/>
        </w:rPr>
        <w:tab/>
        <w:t>to conduct sharing and compatibility studies with incumbent services to which is allocated on a primary basis in the same and adjacent frequency bands</w:t>
      </w:r>
      <w:r w:rsidRPr="00E87C2D" w:rsidDel="005D477E">
        <w:rPr>
          <w:rFonts w:eastAsia="SimSun"/>
          <w:lang w:eastAsia="zh-CN"/>
        </w:rPr>
        <w:t xml:space="preserve"> </w:t>
      </w:r>
      <w:r w:rsidRPr="00E87C2D">
        <w:rPr>
          <w:rFonts w:eastAsia="MS PMincho"/>
          <w:lang w:eastAsia="ja-JP"/>
        </w:rPr>
        <w:t xml:space="preserve">to avoid harmful interference, </w:t>
      </w:r>
      <w:r w:rsidRPr="00E87C2D">
        <w:rPr>
          <w:rFonts w:eastAsia="SimSun"/>
          <w:lang w:eastAsia="zh-CN"/>
        </w:rPr>
        <w:t>regarding to t</w:t>
      </w:r>
      <w:r w:rsidRPr="00E87C2D">
        <w:rPr>
          <w:rFonts w:eastAsia="MS PMincho"/>
          <w:lang w:eastAsia="ja-JP"/>
        </w:rPr>
        <w:t>he suborbital flig</w:t>
      </w:r>
      <w:r w:rsidR="0053574F" w:rsidRPr="00E87C2D">
        <w:rPr>
          <w:rFonts w:eastAsia="MS PMincho"/>
          <w:lang w:eastAsia="ja-JP"/>
        </w:rPr>
        <w:t>ht application scenarios,</w:t>
      </w:r>
    </w:p>
    <w:p w14:paraId="588305F3" w14:textId="77777777" w:rsidR="00A037D7" w:rsidRPr="00E87C2D" w:rsidRDefault="00A037D7" w:rsidP="0053574F">
      <w:pPr>
        <w:pStyle w:val="Call"/>
        <w:rPr>
          <w:rFonts w:eastAsiaTheme="minorEastAsia"/>
        </w:rPr>
      </w:pPr>
      <w:r w:rsidRPr="00E87C2D">
        <w:rPr>
          <w:rFonts w:eastAsiaTheme="minorEastAsia"/>
        </w:rPr>
        <w:t>invites administrations</w:t>
      </w:r>
    </w:p>
    <w:p w14:paraId="35882899" w14:textId="77777777" w:rsidR="00A037D7" w:rsidRPr="00E87C2D" w:rsidRDefault="00A037D7" w:rsidP="0053574F">
      <w:pPr>
        <w:rPr>
          <w:rFonts w:eastAsiaTheme="minorEastAsia"/>
        </w:rPr>
      </w:pPr>
      <w:r w:rsidRPr="00E87C2D">
        <w:rPr>
          <w:rFonts w:eastAsiaTheme="minorEastAsia"/>
        </w:rPr>
        <w:t>to participate actively in the studies by submitting contributions to ITU</w:t>
      </w:r>
      <w:r w:rsidRPr="00E87C2D">
        <w:rPr>
          <w:rFonts w:eastAsia="SimSun"/>
          <w:lang w:eastAsia="zh-CN"/>
        </w:rPr>
        <w:t>-</w:t>
      </w:r>
      <w:r w:rsidRPr="00E87C2D">
        <w:rPr>
          <w:rFonts w:eastAsiaTheme="minorEastAsia"/>
        </w:rPr>
        <w:t>R,</w:t>
      </w:r>
    </w:p>
    <w:p w14:paraId="438A4FF2" w14:textId="77777777" w:rsidR="00A037D7" w:rsidRPr="00E87C2D" w:rsidRDefault="00A037D7" w:rsidP="0053574F">
      <w:pPr>
        <w:pStyle w:val="Call"/>
        <w:rPr>
          <w:rFonts w:eastAsiaTheme="minorEastAsia"/>
        </w:rPr>
      </w:pPr>
      <w:r w:rsidRPr="00E87C2D">
        <w:rPr>
          <w:rFonts w:eastAsiaTheme="minorEastAsia"/>
        </w:rPr>
        <w:t>instructs the Secretary-General</w:t>
      </w:r>
    </w:p>
    <w:p w14:paraId="2C29D301" w14:textId="77777777" w:rsidR="005B39AE" w:rsidRPr="00E87C2D" w:rsidRDefault="00A037D7" w:rsidP="0053574F">
      <w:pPr>
        <w:rPr>
          <w:rFonts w:eastAsiaTheme="minorEastAsia"/>
        </w:rPr>
      </w:pPr>
      <w:r w:rsidRPr="00E87C2D">
        <w:rPr>
          <w:rFonts w:eastAsiaTheme="minorEastAsia"/>
        </w:rPr>
        <w:t>to bring this Resolution to the attention of the United Nations Committee on the Peaceful Uses of Outer Space (COPUOS) and International Civil Aviation Organization (ICAO) and other international and regional organizations concerned.</w:t>
      </w:r>
    </w:p>
    <w:p w14:paraId="5B9089E7" w14:textId="77777777" w:rsidR="005B39AE" w:rsidRPr="00E87C2D" w:rsidRDefault="0053574F" w:rsidP="00A037D7">
      <w:pPr>
        <w:pStyle w:val="Reasons"/>
      </w:pPr>
      <w:r w:rsidRPr="00E87C2D">
        <w:rPr>
          <w:b/>
        </w:rPr>
        <w:t>Reasons:</w:t>
      </w:r>
      <w:r w:rsidRPr="00E87C2D">
        <w:tab/>
      </w:r>
      <w:r w:rsidR="00A037D7" w:rsidRPr="00E87C2D">
        <w:t>Please refer to the following table.</w:t>
      </w:r>
    </w:p>
    <w:p w14:paraId="53075A21" w14:textId="77777777" w:rsidR="00A037D7" w:rsidRPr="00E87C2D" w:rsidRDefault="00A037D7">
      <w:pPr>
        <w:tabs>
          <w:tab w:val="clear" w:pos="1134"/>
          <w:tab w:val="clear" w:pos="1871"/>
          <w:tab w:val="clear" w:pos="2268"/>
        </w:tabs>
        <w:overflowPunct/>
        <w:autoSpaceDE/>
        <w:autoSpaceDN/>
        <w:adjustRightInd/>
        <w:spacing w:before="0"/>
        <w:textAlignment w:val="auto"/>
      </w:pPr>
      <w:r w:rsidRPr="00E87C2D">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A037D7" w:rsidRPr="00E87C2D" w14:paraId="58EEA055" w14:textId="77777777" w:rsidTr="00B16F6E">
        <w:tc>
          <w:tcPr>
            <w:tcW w:w="9317" w:type="dxa"/>
            <w:gridSpan w:val="2"/>
            <w:tcBorders>
              <w:top w:val="nil"/>
              <w:bottom w:val="nil"/>
            </w:tcBorders>
          </w:tcPr>
          <w:p w14:paraId="5C197D74" w14:textId="77777777" w:rsidR="00A037D7" w:rsidRPr="00E87C2D" w:rsidRDefault="00A037D7" w:rsidP="00B16F6E">
            <w:pPr>
              <w:spacing w:beforeLines="50" w:afterLines="50" w:after="120"/>
              <w:rPr>
                <w:rFonts w:eastAsia="SimSun"/>
                <w:b/>
                <w:bCs/>
                <w:i/>
                <w:iCs/>
                <w:kern w:val="2"/>
                <w:lang w:eastAsia="zh-CN"/>
              </w:rPr>
            </w:pPr>
            <w:r w:rsidRPr="00E87C2D">
              <w:rPr>
                <w:rFonts w:eastAsia="MS Gothic"/>
                <w:b/>
                <w:bCs/>
                <w:i/>
                <w:iCs/>
                <w:kern w:val="2"/>
              </w:rPr>
              <w:lastRenderedPageBreak/>
              <w:t>Subject:</w:t>
            </w:r>
            <w:r w:rsidRPr="00E87C2D">
              <w:rPr>
                <w:rFonts w:eastAsia="SimSun"/>
                <w:kern w:val="2"/>
                <w:lang w:eastAsia="ja-JP"/>
              </w:rPr>
              <w:t xml:space="preserve"> Proposal for a new WRC-23 agenda item to </w:t>
            </w:r>
            <w:r w:rsidRPr="00E87C2D">
              <w:rPr>
                <w:rFonts w:eastAsia="MS PMincho"/>
                <w:kern w:val="2"/>
                <w:lang w:eastAsia="ja-JP"/>
              </w:rPr>
              <w:t>further</w:t>
            </w:r>
            <w:r w:rsidRPr="00E87C2D">
              <w:rPr>
                <w:rFonts w:eastAsia="SimSun"/>
                <w:kern w:val="2"/>
                <w:lang w:eastAsia="ja-JP"/>
              </w:rPr>
              <w:t xml:space="preserve"> consider </w:t>
            </w:r>
            <w:r w:rsidRPr="00E87C2D">
              <w:rPr>
                <w:rFonts w:eastAsia="MS PMincho"/>
                <w:kern w:val="2"/>
                <w:lang w:eastAsia="ja-JP"/>
              </w:rPr>
              <w:t>operational, technical and regulatory issues</w:t>
            </w:r>
            <w:r w:rsidRPr="00E87C2D">
              <w:rPr>
                <w:rFonts w:eastAsia="SimSun"/>
                <w:kern w:val="2"/>
                <w:lang w:eastAsia="zh-CN"/>
              </w:rPr>
              <w:t xml:space="preserve"> for stations on board suborbital vehicles</w:t>
            </w:r>
            <w:r w:rsidRPr="00E87C2D">
              <w:rPr>
                <w:kern w:val="2"/>
                <w:lang w:eastAsia="ja-JP"/>
              </w:rPr>
              <w:t>.</w:t>
            </w:r>
          </w:p>
        </w:tc>
      </w:tr>
      <w:tr w:rsidR="00A037D7" w:rsidRPr="00E87C2D" w14:paraId="2238BFBB" w14:textId="77777777" w:rsidTr="00B16F6E">
        <w:tc>
          <w:tcPr>
            <w:tcW w:w="9317" w:type="dxa"/>
            <w:gridSpan w:val="2"/>
            <w:tcBorders>
              <w:top w:val="nil"/>
            </w:tcBorders>
          </w:tcPr>
          <w:p w14:paraId="5589CADF" w14:textId="77777777" w:rsidR="00A037D7" w:rsidRPr="00E87C2D" w:rsidRDefault="00A037D7" w:rsidP="00B16F6E">
            <w:pPr>
              <w:spacing w:beforeLines="50" w:afterLines="50" w:after="120"/>
              <w:rPr>
                <w:rFonts w:eastAsia="SimSun"/>
                <w:bCs/>
                <w:kern w:val="2"/>
                <w:lang w:eastAsia="zh-CN"/>
              </w:rPr>
            </w:pPr>
            <w:r w:rsidRPr="00E87C2D">
              <w:rPr>
                <w:rFonts w:eastAsia="MS Gothic"/>
                <w:b/>
                <w:bCs/>
                <w:i/>
                <w:kern w:val="2"/>
              </w:rPr>
              <w:t>Origin:</w:t>
            </w:r>
            <w:r w:rsidRPr="00E87C2D">
              <w:rPr>
                <w:b/>
                <w:bCs/>
              </w:rPr>
              <w:t xml:space="preserve"> </w:t>
            </w:r>
            <w:r w:rsidRPr="00E87C2D">
              <w:rPr>
                <w:rFonts w:eastAsia="SimSun"/>
                <w:bCs/>
                <w:lang w:eastAsia="zh-CN"/>
              </w:rPr>
              <w:t xml:space="preserve"> Asia-Pacific Telecommunity (APT)</w:t>
            </w:r>
          </w:p>
        </w:tc>
      </w:tr>
      <w:tr w:rsidR="00A037D7" w:rsidRPr="00E87C2D" w14:paraId="1463F705" w14:textId="77777777" w:rsidTr="00B16F6E">
        <w:tc>
          <w:tcPr>
            <w:tcW w:w="9317" w:type="dxa"/>
            <w:gridSpan w:val="2"/>
          </w:tcPr>
          <w:p w14:paraId="76201FEE" w14:textId="77777777" w:rsidR="00A037D7" w:rsidRPr="00E87C2D" w:rsidRDefault="00A037D7" w:rsidP="00B16F6E">
            <w:pPr>
              <w:spacing w:beforeLines="50" w:afterLines="50" w:after="120"/>
              <w:rPr>
                <w:rFonts w:eastAsia="MS Gothic"/>
                <w:b/>
                <w:bCs/>
                <w:i/>
                <w:iCs/>
                <w:kern w:val="2"/>
                <w:lang w:eastAsia="ja-JP"/>
              </w:rPr>
            </w:pPr>
            <w:r w:rsidRPr="00E87C2D">
              <w:rPr>
                <w:rFonts w:eastAsia="MS Gothic"/>
                <w:b/>
                <w:bCs/>
                <w:i/>
                <w:iCs/>
                <w:kern w:val="2"/>
              </w:rPr>
              <w:t>Proposal:</w:t>
            </w:r>
          </w:p>
          <w:p w14:paraId="4975D3BD" w14:textId="77777777" w:rsidR="00A037D7" w:rsidRPr="00E87C2D" w:rsidRDefault="00A037D7" w:rsidP="00B16F6E">
            <w:pPr>
              <w:keepNext/>
              <w:rPr>
                <w:rFonts w:eastAsia="SimSun"/>
                <w:kern w:val="2"/>
                <w:lang w:eastAsia="ja-JP"/>
              </w:rPr>
            </w:pPr>
            <w:r w:rsidRPr="00E87C2D">
              <w:rPr>
                <w:rFonts w:eastAsia="SimSun"/>
                <w:kern w:val="2"/>
                <w:lang w:eastAsia="ja-JP"/>
              </w:rPr>
              <w:t>To</w:t>
            </w:r>
            <w:r w:rsidRPr="00E87C2D">
              <w:rPr>
                <w:rFonts w:eastAsia="SimSun"/>
                <w:kern w:val="2"/>
                <w:lang w:eastAsia="zh-CN"/>
              </w:rPr>
              <w:t xml:space="preserve"> </w:t>
            </w:r>
            <w:r w:rsidRPr="00E87C2D">
              <w:rPr>
                <w:rFonts w:eastAsia="SimSun"/>
                <w:kern w:val="2"/>
                <w:lang w:eastAsia="ja-JP"/>
              </w:rPr>
              <w:t>identify the status of the station on board suborbital vehicles;</w:t>
            </w:r>
          </w:p>
          <w:p w14:paraId="4848D140" w14:textId="77777777" w:rsidR="00A037D7" w:rsidRPr="00E87C2D" w:rsidRDefault="00A037D7" w:rsidP="00B16F6E">
            <w:pPr>
              <w:keepNext/>
              <w:rPr>
                <w:rFonts w:eastAsia="SimSun"/>
                <w:kern w:val="2"/>
                <w:lang w:eastAsia="ja-JP"/>
              </w:rPr>
            </w:pPr>
            <w:r w:rsidRPr="00E87C2D">
              <w:rPr>
                <w:rFonts w:eastAsia="SimSun"/>
                <w:kern w:val="2"/>
                <w:lang w:eastAsia="ja-JP"/>
              </w:rPr>
              <w:t>To conduct studies to determine spectrum needs for communications between stations on aboard suborbital vehicles and terrestrial and space stations providing voice/data communications, navigation, surveillance, telemetry, tracking and command (TT&amp;C), safety of life and property, and so on;</w:t>
            </w:r>
          </w:p>
          <w:p w14:paraId="2C906B0E" w14:textId="77777777" w:rsidR="00A037D7" w:rsidRPr="00E87C2D" w:rsidRDefault="00A037D7" w:rsidP="00B16F6E">
            <w:pPr>
              <w:keepNext/>
              <w:rPr>
                <w:rFonts w:eastAsia="SimSun"/>
                <w:kern w:val="2"/>
                <w:lang w:eastAsia="ja-JP"/>
              </w:rPr>
            </w:pPr>
            <w:r w:rsidRPr="00E87C2D">
              <w:rPr>
                <w:rFonts w:eastAsia="SimSun"/>
                <w:kern w:val="2"/>
                <w:lang w:eastAsia="ja-JP"/>
              </w:rPr>
              <w:t xml:space="preserve">To conduct studies to classify appropriate radiocommunication services and identify frequency bands to stations on board suborbital vehicles; </w:t>
            </w:r>
          </w:p>
          <w:p w14:paraId="3B67B3A8" w14:textId="77777777" w:rsidR="00A037D7" w:rsidRPr="00E87C2D" w:rsidRDefault="00A037D7" w:rsidP="00B16F6E">
            <w:pPr>
              <w:spacing w:beforeLines="50" w:afterLines="50" w:after="120"/>
              <w:rPr>
                <w:rFonts w:eastAsia="SimSun"/>
                <w:i/>
                <w:kern w:val="2"/>
                <w:lang w:eastAsia="ko-KR"/>
              </w:rPr>
            </w:pPr>
            <w:r w:rsidRPr="00E87C2D">
              <w:rPr>
                <w:rFonts w:eastAsia="SimSun"/>
                <w:kern w:val="2"/>
                <w:lang w:eastAsia="ja-JP"/>
              </w:rPr>
              <w:t>To conduct sharing and compatibility studies to avoid harmful interference between radiocommunication services regarding to the suborbital flight application scenarios.</w:t>
            </w:r>
          </w:p>
        </w:tc>
      </w:tr>
      <w:tr w:rsidR="00A037D7" w:rsidRPr="00E87C2D" w14:paraId="02E8D9FE" w14:textId="77777777" w:rsidTr="00B16F6E">
        <w:tc>
          <w:tcPr>
            <w:tcW w:w="9317" w:type="dxa"/>
            <w:gridSpan w:val="2"/>
          </w:tcPr>
          <w:p w14:paraId="5A083D20" w14:textId="77777777" w:rsidR="00A037D7" w:rsidRPr="00E87C2D" w:rsidRDefault="00A037D7" w:rsidP="00B16F6E">
            <w:pPr>
              <w:spacing w:beforeLines="50" w:afterLines="50" w:after="120"/>
              <w:rPr>
                <w:rFonts w:eastAsia="SimSun"/>
                <w:kern w:val="2"/>
                <w:lang w:eastAsia="ko-KR"/>
              </w:rPr>
            </w:pPr>
            <w:r w:rsidRPr="00E87C2D">
              <w:rPr>
                <w:rFonts w:eastAsia="MS Gothic"/>
                <w:b/>
                <w:bCs/>
                <w:i/>
                <w:iCs/>
                <w:kern w:val="2"/>
                <w:lang w:eastAsia="ko-KR"/>
              </w:rPr>
              <w:t>Background/</w:t>
            </w:r>
            <w:r w:rsidRPr="00E87C2D">
              <w:rPr>
                <w:rFonts w:eastAsia="MS Gothic"/>
                <w:b/>
                <w:bCs/>
                <w:i/>
                <w:iCs/>
                <w:kern w:val="2"/>
                <w:lang w:eastAsia="ja-JP"/>
              </w:rPr>
              <w:t>r</w:t>
            </w:r>
            <w:r w:rsidRPr="00E87C2D">
              <w:rPr>
                <w:rFonts w:eastAsia="MS Gothic"/>
                <w:b/>
                <w:bCs/>
                <w:i/>
                <w:iCs/>
                <w:kern w:val="2"/>
                <w:lang w:eastAsia="ko-KR"/>
              </w:rPr>
              <w:t>eason:</w:t>
            </w:r>
          </w:p>
          <w:p w14:paraId="091DEB51" w14:textId="77777777" w:rsidR="00A037D7" w:rsidRPr="00E87C2D" w:rsidRDefault="00A037D7" w:rsidP="00B16F6E">
            <w:pPr>
              <w:keepNext/>
              <w:rPr>
                <w:rFonts w:eastAsia="MS PMincho"/>
                <w:kern w:val="2"/>
                <w:lang w:eastAsia="ja-JP"/>
              </w:rPr>
            </w:pPr>
            <w:r w:rsidRPr="00E87C2D">
              <w:rPr>
                <w:rFonts w:eastAsia="MS PMincho"/>
                <w:kern w:val="2"/>
                <w:lang w:eastAsia="ja-JP"/>
              </w:rPr>
              <w:t xml:space="preserve">With the increasing maturity of launch technology and significantly improving of success rate of recoverable commercial flight experiment, the application prospect of suborbital flight is getting wider and wider. </w:t>
            </w:r>
            <w:r w:rsidRPr="00E87C2D">
              <w:rPr>
                <w:rFonts w:eastAsia="SimSun"/>
                <w:kern w:val="2"/>
                <w:lang w:eastAsia="zh-CN"/>
              </w:rPr>
              <w:t>However, i</w:t>
            </w:r>
            <w:r w:rsidRPr="00E87C2D">
              <w:rPr>
                <w:rFonts w:eastAsia="MS PMincho"/>
                <w:kern w:val="2"/>
                <w:lang w:eastAsia="ja-JP"/>
              </w:rPr>
              <w:t>t needs to be studied in many fields, such as definition, the demarcation between atmosphere and space, flight mode, tracking and control, safety assurance and so on. Radio communication plays a crucial role in every major phases of suborbital flight.</w:t>
            </w:r>
          </w:p>
          <w:p w14:paraId="5BD92B1C" w14:textId="77777777" w:rsidR="00A037D7" w:rsidRPr="00E87C2D" w:rsidRDefault="00A037D7" w:rsidP="00B16F6E">
            <w:pPr>
              <w:keepNext/>
              <w:rPr>
                <w:rFonts w:eastAsia="SimSun"/>
                <w:kern w:val="2"/>
                <w:lang w:eastAsia="zh-CN"/>
              </w:rPr>
            </w:pPr>
            <w:r w:rsidRPr="00E87C2D">
              <w:rPr>
                <w:rFonts w:eastAsia="MS PMincho"/>
                <w:kern w:val="2"/>
                <w:lang w:eastAsia="ja-JP"/>
              </w:rPr>
              <w:t xml:space="preserve">ITU-R calls for studies to meet the needs of radio applications for the stations on board suborbital vehicles in accordance with Resolution </w:t>
            </w:r>
            <w:r w:rsidRPr="00E87C2D">
              <w:rPr>
                <w:rFonts w:eastAsia="MS PMincho"/>
                <w:b/>
                <w:bCs/>
                <w:kern w:val="2"/>
                <w:lang w:eastAsia="ja-JP"/>
              </w:rPr>
              <w:t>763</w:t>
            </w:r>
            <w:r w:rsidRPr="00E87C2D">
              <w:rPr>
                <w:rFonts w:eastAsia="MS PMincho"/>
                <w:kern w:val="2"/>
                <w:lang w:eastAsia="ja-JP"/>
              </w:rPr>
              <w:t xml:space="preserve"> (</w:t>
            </w:r>
            <w:r w:rsidRPr="00E87C2D">
              <w:rPr>
                <w:rFonts w:eastAsia="MS PMincho"/>
                <w:b/>
                <w:bCs/>
                <w:kern w:val="2"/>
                <w:lang w:eastAsia="ja-JP"/>
              </w:rPr>
              <w:t>WRC-15</w:t>
            </w:r>
            <w:r w:rsidRPr="00E87C2D">
              <w:rPr>
                <w:rFonts w:eastAsia="MS PMincho"/>
                <w:kern w:val="2"/>
                <w:lang w:eastAsia="ja-JP"/>
              </w:rPr>
              <w:t xml:space="preserve">), which was identified as the issue 9.1.4. </w:t>
            </w:r>
          </w:p>
          <w:p w14:paraId="3557C337" w14:textId="77777777" w:rsidR="00A037D7" w:rsidRPr="00E87C2D" w:rsidRDefault="00A037D7" w:rsidP="00B16F6E">
            <w:pPr>
              <w:spacing w:after="120"/>
              <w:rPr>
                <w:kern w:val="2"/>
                <w:lang w:eastAsia="ja-JP"/>
              </w:rPr>
            </w:pPr>
            <w:r w:rsidRPr="00E87C2D">
              <w:rPr>
                <w:rFonts w:eastAsia="MS PMincho"/>
                <w:kern w:val="2"/>
                <w:lang w:eastAsia="ja-JP"/>
              </w:rPr>
              <w:t>The ITU-R stud</w:t>
            </w:r>
            <w:r w:rsidRPr="00E87C2D">
              <w:rPr>
                <w:rFonts w:eastAsia="SimSun"/>
                <w:kern w:val="2"/>
                <w:lang w:eastAsia="zh-CN"/>
              </w:rPr>
              <w:t>ies</w:t>
            </w:r>
            <w:r w:rsidRPr="00E87C2D">
              <w:rPr>
                <w:rFonts w:eastAsia="MS PMincho"/>
                <w:kern w:val="2"/>
                <w:lang w:eastAsia="ja-JP"/>
              </w:rPr>
              <w:t xml:space="preserve"> suggests that, further operational, technical and regulatory issues may need to be addressed, which require continuing studies, on the status of the station aboard suborbital vehicles and type of applications, through the appropriate mechanism and on the potential interference to be considered with regards to radiocommunication systems operating on suborbital vehicles.</w:t>
            </w:r>
          </w:p>
        </w:tc>
      </w:tr>
      <w:tr w:rsidR="00A037D7" w:rsidRPr="00E87C2D" w14:paraId="7984F455" w14:textId="77777777" w:rsidTr="00B16F6E">
        <w:tc>
          <w:tcPr>
            <w:tcW w:w="9317" w:type="dxa"/>
            <w:gridSpan w:val="2"/>
          </w:tcPr>
          <w:p w14:paraId="39FFA3EA" w14:textId="77777777" w:rsidR="00A037D7" w:rsidRPr="00E87C2D" w:rsidRDefault="00A037D7" w:rsidP="00B16F6E">
            <w:pPr>
              <w:spacing w:beforeLines="50" w:afterLines="50" w:after="120"/>
              <w:rPr>
                <w:rFonts w:eastAsia="SimSun"/>
                <w:kern w:val="2"/>
                <w:lang w:eastAsia="zh-CN"/>
              </w:rPr>
            </w:pPr>
            <w:r w:rsidRPr="00E87C2D">
              <w:rPr>
                <w:rFonts w:eastAsia="MS Gothic"/>
                <w:b/>
                <w:bCs/>
                <w:i/>
                <w:iCs/>
                <w:kern w:val="2"/>
              </w:rPr>
              <w:t>Radio</w:t>
            </w:r>
            <w:r w:rsidRPr="00E87C2D">
              <w:rPr>
                <w:rFonts w:eastAsia="MS Gothic"/>
                <w:b/>
                <w:bCs/>
                <w:i/>
                <w:iCs/>
                <w:kern w:val="2"/>
                <w:lang w:eastAsia="ja-JP"/>
              </w:rPr>
              <w:t>communication</w:t>
            </w:r>
            <w:r w:rsidRPr="00E87C2D">
              <w:rPr>
                <w:rFonts w:eastAsia="MS Gothic"/>
                <w:b/>
                <w:bCs/>
                <w:i/>
                <w:iCs/>
                <w:kern w:val="2"/>
              </w:rPr>
              <w:t xml:space="preserve"> Services concerned:</w:t>
            </w:r>
            <w:r w:rsidRPr="00E87C2D">
              <w:rPr>
                <w:rFonts w:eastAsia="MS Gothic"/>
                <w:b/>
                <w:bCs/>
                <w:i/>
                <w:iCs/>
                <w:kern w:val="2"/>
              </w:rPr>
              <w:tab/>
            </w:r>
          </w:p>
          <w:p w14:paraId="1F401C28" w14:textId="77777777" w:rsidR="00A037D7" w:rsidRPr="00E87C2D" w:rsidRDefault="00A037D7">
            <w:pPr>
              <w:spacing w:after="120"/>
              <w:rPr>
                <w:rFonts w:eastAsia="SimSun"/>
                <w:kern w:val="2"/>
                <w:lang w:eastAsia="ko-KR"/>
              </w:rPr>
            </w:pPr>
            <w:r w:rsidRPr="00E87C2D">
              <w:rPr>
                <w:rFonts w:eastAsia="SimSun"/>
                <w:iCs/>
                <w:lang w:eastAsia="zh-CN"/>
              </w:rPr>
              <w:t>Space operation</w:t>
            </w:r>
            <w:r w:rsidRPr="00E87C2D">
              <w:rPr>
                <w:iCs/>
              </w:rPr>
              <w:t xml:space="preserve"> service</w:t>
            </w:r>
            <w:r w:rsidRPr="00E87C2D">
              <w:rPr>
                <w:rFonts w:eastAsia="SimSun"/>
                <w:iCs/>
                <w:lang w:eastAsia="zh-CN"/>
              </w:rPr>
              <w:t xml:space="preserve">, </w:t>
            </w:r>
            <w:r w:rsidR="007B3928" w:rsidRPr="00E87C2D">
              <w:rPr>
                <w:rFonts w:eastAsia="SimSun"/>
                <w:iCs/>
                <w:lang w:eastAsia="zh-CN"/>
              </w:rPr>
              <w:t>s</w:t>
            </w:r>
            <w:r w:rsidRPr="00E87C2D">
              <w:rPr>
                <w:rFonts w:eastAsia="SimSun"/>
                <w:iCs/>
                <w:lang w:eastAsia="zh-CN"/>
              </w:rPr>
              <w:t xml:space="preserve">pace research service, </w:t>
            </w:r>
            <w:r w:rsidR="007B3928" w:rsidRPr="00E87C2D">
              <w:rPr>
                <w:rFonts w:eastAsia="SimSun"/>
                <w:iCs/>
                <w:lang w:eastAsia="zh-CN"/>
              </w:rPr>
              <w:t>m</w:t>
            </w:r>
            <w:r w:rsidRPr="00E87C2D">
              <w:rPr>
                <w:rFonts w:eastAsia="SimSun"/>
                <w:iCs/>
                <w:lang w:eastAsia="zh-CN"/>
              </w:rPr>
              <w:t xml:space="preserve">obile-satellite service, </w:t>
            </w:r>
            <w:r w:rsidR="007B3928" w:rsidRPr="00E87C2D">
              <w:rPr>
                <w:rFonts w:eastAsia="SimSun"/>
                <w:iCs/>
                <w:lang w:eastAsia="zh-CN"/>
              </w:rPr>
              <w:t>i</w:t>
            </w:r>
            <w:r w:rsidRPr="00E87C2D">
              <w:rPr>
                <w:rFonts w:eastAsia="SimSun"/>
                <w:iCs/>
                <w:lang w:eastAsia="zh-CN"/>
              </w:rPr>
              <w:t xml:space="preserve">nter-satellite service, </w:t>
            </w:r>
            <w:r w:rsidR="007B3928" w:rsidRPr="00E87C2D">
              <w:rPr>
                <w:rFonts w:eastAsia="SimSun"/>
                <w:iCs/>
                <w:lang w:eastAsia="zh-CN"/>
              </w:rPr>
              <w:t>a</w:t>
            </w:r>
            <w:r w:rsidRPr="00E87C2D">
              <w:rPr>
                <w:rFonts w:eastAsia="SimSun"/>
                <w:iCs/>
                <w:lang w:eastAsia="zh-CN"/>
              </w:rPr>
              <w:t xml:space="preserve">eronautical mobile service, </w:t>
            </w:r>
            <w:r w:rsidR="007B3928" w:rsidRPr="00E87C2D">
              <w:rPr>
                <w:rFonts w:eastAsia="SimSun"/>
                <w:iCs/>
                <w:lang w:eastAsia="zh-CN"/>
              </w:rPr>
              <w:t>a</w:t>
            </w:r>
            <w:r w:rsidRPr="00E87C2D">
              <w:rPr>
                <w:rFonts w:eastAsia="SimSun"/>
                <w:iCs/>
                <w:lang w:eastAsia="zh-CN"/>
              </w:rPr>
              <w:t xml:space="preserve">eronautical mobile-satellite service, </w:t>
            </w:r>
            <w:r w:rsidR="007B3928" w:rsidRPr="00E87C2D">
              <w:rPr>
                <w:rFonts w:eastAsia="SimSun"/>
                <w:iCs/>
                <w:lang w:eastAsia="zh-CN"/>
              </w:rPr>
              <w:t>r</w:t>
            </w:r>
            <w:r w:rsidRPr="00E87C2D">
              <w:rPr>
                <w:rFonts w:eastAsia="SimSun"/>
                <w:iCs/>
                <w:lang w:eastAsia="zh-CN"/>
              </w:rPr>
              <w:t>adionavigation-</w:t>
            </w:r>
            <w:r w:rsidRPr="00E87C2D">
              <w:t>satellite</w:t>
            </w:r>
            <w:r w:rsidRPr="00E87C2D">
              <w:rPr>
                <w:rFonts w:eastAsia="SimSun"/>
                <w:iCs/>
                <w:lang w:eastAsia="zh-CN"/>
              </w:rPr>
              <w:t xml:space="preserve"> service</w:t>
            </w:r>
          </w:p>
        </w:tc>
      </w:tr>
      <w:tr w:rsidR="00A037D7" w:rsidRPr="00E87C2D" w14:paraId="739DF029" w14:textId="77777777" w:rsidTr="00B16F6E">
        <w:trPr>
          <w:trHeight w:val="941"/>
        </w:trPr>
        <w:tc>
          <w:tcPr>
            <w:tcW w:w="9317" w:type="dxa"/>
            <w:gridSpan w:val="2"/>
          </w:tcPr>
          <w:p w14:paraId="7C9E5DDB" w14:textId="77777777" w:rsidR="00A037D7" w:rsidRPr="00E87C2D" w:rsidRDefault="00A037D7" w:rsidP="00B16F6E">
            <w:pPr>
              <w:spacing w:beforeLines="50" w:afterLines="50" w:after="120"/>
              <w:rPr>
                <w:rFonts w:eastAsia="MS Gothic"/>
                <w:b/>
                <w:bCs/>
                <w:i/>
                <w:iCs/>
                <w:kern w:val="2"/>
              </w:rPr>
            </w:pPr>
            <w:r w:rsidRPr="00E87C2D">
              <w:rPr>
                <w:rFonts w:eastAsia="MS Gothic"/>
                <w:b/>
                <w:bCs/>
                <w:i/>
                <w:iCs/>
                <w:kern w:val="2"/>
              </w:rPr>
              <w:t xml:space="preserve">Indication of possible difficulties: </w:t>
            </w:r>
          </w:p>
          <w:p w14:paraId="628399DC" w14:textId="77777777" w:rsidR="00A037D7" w:rsidRPr="00E87C2D" w:rsidRDefault="00A037D7" w:rsidP="00B16F6E">
            <w:pPr>
              <w:keepNext/>
              <w:spacing w:afterLines="50" w:after="120"/>
              <w:jc w:val="both"/>
              <w:rPr>
                <w:rFonts w:eastAsia="SimSun"/>
                <w:kern w:val="2"/>
                <w:lang w:eastAsia="zh-CN"/>
              </w:rPr>
            </w:pPr>
            <w:r w:rsidRPr="00E87C2D">
              <w:rPr>
                <w:rFonts w:eastAsia="SimSun"/>
                <w:kern w:val="2"/>
                <w:lang w:eastAsia="zh-CN"/>
              </w:rPr>
              <w:t>I</w:t>
            </w:r>
            <w:r w:rsidRPr="00E87C2D">
              <w:rPr>
                <w:rFonts w:eastAsia="SimSun"/>
                <w:kern w:val="2"/>
                <w:lang w:eastAsia="ja-JP"/>
              </w:rPr>
              <w:t>dentif</w:t>
            </w:r>
            <w:r w:rsidRPr="00E87C2D">
              <w:rPr>
                <w:rFonts w:eastAsia="SimSun"/>
                <w:kern w:val="2"/>
                <w:lang w:eastAsia="zh-CN"/>
              </w:rPr>
              <w:t>ication for</w:t>
            </w:r>
            <w:r w:rsidRPr="00E87C2D">
              <w:rPr>
                <w:rFonts w:eastAsia="SimSun"/>
                <w:kern w:val="2"/>
                <w:lang w:eastAsia="ja-JP"/>
              </w:rPr>
              <w:t xml:space="preserve"> the status of the station on board suborbital vehicles</w:t>
            </w:r>
            <w:r w:rsidRPr="00E87C2D">
              <w:rPr>
                <w:rFonts w:eastAsia="SimSun"/>
                <w:kern w:val="2"/>
                <w:lang w:eastAsia="zh-CN"/>
              </w:rPr>
              <w:t>.</w:t>
            </w:r>
          </w:p>
          <w:p w14:paraId="6DB27E23" w14:textId="77777777" w:rsidR="00A037D7" w:rsidRPr="00E87C2D" w:rsidRDefault="00A037D7" w:rsidP="00B16F6E">
            <w:pPr>
              <w:rPr>
                <w:rFonts w:eastAsia="SimSun"/>
                <w:bCs/>
                <w:i/>
                <w:iCs/>
                <w:kern w:val="2"/>
                <w:lang w:eastAsia="zh-CN"/>
              </w:rPr>
            </w:pPr>
            <w:r w:rsidRPr="00E87C2D">
              <w:rPr>
                <w:rFonts w:eastAsia="SimSun"/>
                <w:bCs/>
                <w:iCs/>
                <w:lang w:eastAsia="zh-CN"/>
              </w:rPr>
              <w:t xml:space="preserve">Sharing and compatibility studies with incumbent services with regard to the </w:t>
            </w:r>
            <w:r w:rsidRPr="00E87C2D">
              <w:rPr>
                <w:rFonts w:eastAsia="SimSun"/>
                <w:kern w:val="2"/>
                <w:lang w:eastAsia="ja-JP"/>
              </w:rPr>
              <w:t>suborbital flight application scenarios.</w:t>
            </w:r>
          </w:p>
        </w:tc>
      </w:tr>
      <w:tr w:rsidR="00A037D7" w:rsidRPr="00E87C2D" w14:paraId="68C8D7AC" w14:textId="77777777" w:rsidTr="00B16F6E">
        <w:tc>
          <w:tcPr>
            <w:tcW w:w="9317" w:type="dxa"/>
            <w:gridSpan w:val="2"/>
          </w:tcPr>
          <w:p w14:paraId="0D134105" w14:textId="77777777" w:rsidR="00A037D7" w:rsidRPr="00E87C2D" w:rsidRDefault="00A037D7" w:rsidP="00B16F6E">
            <w:pPr>
              <w:spacing w:beforeLines="50" w:afterLines="50" w:after="120"/>
              <w:rPr>
                <w:rFonts w:eastAsia="MS Gothic"/>
                <w:kern w:val="2"/>
                <w:lang w:eastAsia="ja-JP"/>
              </w:rPr>
            </w:pPr>
            <w:r w:rsidRPr="00E87C2D">
              <w:rPr>
                <w:rFonts w:eastAsia="MS Gothic"/>
                <w:b/>
                <w:bCs/>
                <w:i/>
                <w:iCs/>
                <w:kern w:val="2"/>
              </w:rPr>
              <w:t>Previous/ongoing studies on the issue:</w:t>
            </w:r>
          </w:p>
          <w:p w14:paraId="36B2147D" w14:textId="77777777" w:rsidR="00A037D7" w:rsidRPr="00E87C2D" w:rsidRDefault="00A037D7">
            <w:pPr>
              <w:spacing w:beforeLines="50" w:afterLines="50" w:after="120"/>
              <w:rPr>
                <w:rFonts w:eastAsia="MS PMincho"/>
                <w:kern w:val="2"/>
                <w:lang w:eastAsia="ja-JP"/>
              </w:rPr>
            </w:pPr>
            <w:r w:rsidRPr="00E87C2D">
              <w:rPr>
                <w:rFonts w:eastAsia="MS PMincho"/>
                <w:kern w:val="2"/>
                <w:lang w:eastAsia="ja-JP"/>
              </w:rPr>
              <w:t>ITU-R WP 5B</w:t>
            </w:r>
            <w:r w:rsidR="007B3928" w:rsidRPr="00E87C2D">
              <w:rPr>
                <w:rFonts w:eastAsia="MS PMincho"/>
                <w:kern w:val="2"/>
                <w:lang w:eastAsia="ja-JP"/>
              </w:rPr>
              <w:t xml:space="preserve">, </w:t>
            </w:r>
            <w:r w:rsidRPr="00E87C2D">
              <w:rPr>
                <w:rFonts w:eastAsia="MS PMincho"/>
                <w:kern w:val="2"/>
                <w:lang w:eastAsia="ja-JP"/>
              </w:rPr>
              <w:t>as the responsible group for issue 9.1.4, has carried out studies on issues of suborbital space flight, suborbital vehicle and stations on board of suborbital vehicle, etc., and developed a draft new Report ITU-R M.[</w:t>
            </w:r>
            <w:r w:rsidRPr="00E87C2D">
              <w:rPr>
                <w:rFonts w:eastAsia="MS PMincho"/>
                <w:caps/>
                <w:kern w:val="2"/>
                <w:lang w:eastAsia="ja-JP"/>
              </w:rPr>
              <w:t>Suborbital Vehicles</w:t>
            </w:r>
            <w:r w:rsidRPr="00E87C2D">
              <w:rPr>
                <w:rFonts w:eastAsia="MS PMincho"/>
                <w:kern w:val="2"/>
                <w:lang w:eastAsia="ja-JP"/>
              </w:rPr>
              <w:t xml:space="preserve">], “Radiocommunications </w:t>
            </w:r>
            <w:r w:rsidRPr="00E87C2D">
              <w:rPr>
                <w:rFonts w:eastAsia="MS PMincho"/>
                <w:kern w:val="2"/>
                <w:lang w:eastAsia="ja-JP"/>
              </w:rPr>
              <w:lastRenderedPageBreak/>
              <w:t xml:space="preserve">for suborbital vehicles”, submitted to SG 5 meeting in September, 2019. The Report provided various definitions relative to suborbital vehicles and description of suborbital flight, and identified planned development that may require radio stations on board suborbital vehicles to use frequencies allocated to space radiocommunications and terrestrial radiocommunications for the purpose of voice/data communications, navigation, surveillance, telemetry, tracking and command (TT&amp;C), and safety of life and property. This Report also provided a Doppler shift and link budget analysis for current aeronautical systems that may be used on suborbital vehicles, </w:t>
            </w:r>
            <w:r w:rsidRPr="00E87C2D">
              <w:rPr>
                <w:rFonts w:eastAsia="SimSun"/>
                <w:kern w:val="2"/>
                <w:lang w:eastAsia="zh-CN"/>
              </w:rPr>
              <w:t>s</w:t>
            </w:r>
            <w:r w:rsidRPr="00E87C2D">
              <w:rPr>
                <w:rFonts w:eastAsia="MS PMincho"/>
                <w:kern w:val="2"/>
                <w:lang w:eastAsia="ja-JP"/>
              </w:rPr>
              <w:t>uborbital flight phases and selection of radiocommunication spectrum</w:t>
            </w:r>
            <w:r w:rsidRPr="00E87C2D">
              <w:rPr>
                <w:rFonts w:eastAsia="SimSun"/>
                <w:kern w:val="2"/>
                <w:lang w:eastAsia="zh-CN"/>
              </w:rPr>
              <w:t xml:space="preserve"> </w:t>
            </w:r>
            <w:r w:rsidRPr="00E87C2D">
              <w:rPr>
                <w:rFonts w:eastAsia="MS PMincho"/>
                <w:kern w:val="2"/>
                <w:lang w:eastAsia="ja-JP"/>
              </w:rPr>
              <w:t>and so on.</w:t>
            </w:r>
          </w:p>
        </w:tc>
      </w:tr>
      <w:tr w:rsidR="00A037D7" w:rsidRPr="00E87C2D" w14:paraId="57F49838" w14:textId="77777777" w:rsidTr="00B16F6E">
        <w:tc>
          <w:tcPr>
            <w:tcW w:w="4205" w:type="dxa"/>
          </w:tcPr>
          <w:p w14:paraId="7C06E0A2" w14:textId="77777777" w:rsidR="00A037D7" w:rsidRPr="00E87C2D" w:rsidRDefault="00A037D7" w:rsidP="00B16F6E">
            <w:pPr>
              <w:spacing w:beforeLines="50" w:afterLines="50" w:after="120"/>
              <w:rPr>
                <w:rFonts w:eastAsia="MS Gothic"/>
                <w:b/>
                <w:bCs/>
                <w:i/>
                <w:iCs/>
                <w:kern w:val="2"/>
                <w:lang w:eastAsia="ja-JP"/>
              </w:rPr>
            </w:pPr>
            <w:r w:rsidRPr="00E87C2D">
              <w:rPr>
                <w:rFonts w:eastAsia="MS Gothic"/>
                <w:b/>
                <w:bCs/>
                <w:i/>
                <w:iCs/>
                <w:kern w:val="2"/>
              </w:rPr>
              <w:lastRenderedPageBreak/>
              <w:t>Studies to be carried out by:</w:t>
            </w:r>
          </w:p>
          <w:p w14:paraId="2EE4B06C" w14:textId="77777777" w:rsidR="00A037D7" w:rsidRPr="00E87C2D" w:rsidRDefault="00A037D7" w:rsidP="00B16F6E">
            <w:pPr>
              <w:spacing w:beforeLines="50" w:afterLines="50" w:after="120"/>
              <w:rPr>
                <w:rFonts w:eastAsia="SimSun"/>
                <w:bCs/>
                <w:iCs/>
                <w:kern w:val="2"/>
                <w:lang w:eastAsia="ko-KR"/>
              </w:rPr>
            </w:pPr>
            <w:r w:rsidRPr="00E87C2D">
              <w:rPr>
                <w:color w:val="000000"/>
              </w:rPr>
              <w:t>ITU-R Working Party 5B</w:t>
            </w:r>
          </w:p>
        </w:tc>
        <w:tc>
          <w:tcPr>
            <w:tcW w:w="5112" w:type="dxa"/>
          </w:tcPr>
          <w:p w14:paraId="1650E598" w14:textId="77777777" w:rsidR="00A037D7" w:rsidRPr="00E87C2D" w:rsidRDefault="00A037D7" w:rsidP="00B16F6E">
            <w:pPr>
              <w:spacing w:beforeLines="50" w:afterLines="50" w:after="120"/>
              <w:rPr>
                <w:rFonts w:eastAsia="MS Gothic"/>
                <w:b/>
                <w:bCs/>
                <w:i/>
                <w:iCs/>
                <w:kern w:val="2"/>
                <w:lang w:eastAsia="ja-JP"/>
              </w:rPr>
            </w:pPr>
            <w:r w:rsidRPr="00E87C2D">
              <w:rPr>
                <w:rFonts w:eastAsia="MS Gothic"/>
                <w:b/>
                <w:bCs/>
                <w:i/>
                <w:iCs/>
                <w:kern w:val="2"/>
              </w:rPr>
              <w:t>with participation of:</w:t>
            </w:r>
          </w:p>
          <w:p w14:paraId="3884C133" w14:textId="77777777" w:rsidR="00A037D7" w:rsidRPr="00E87C2D" w:rsidRDefault="00A037D7" w:rsidP="00B16F6E">
            <w:pPr>
              <w:spacing w:beforeLines="50" w:afterLines="50" w:after="120"/>
              <w:rPr>
                <w:rFonts w:eastAsia="MS Gothic"/>
                <w:kern w:val="2"/>
                <w:lang w:eastAsia="ja-JP"/>
              </w:rPr>
            </w:pPr>
            <w:r w:rsidRPr="00E87C2D">
              <w:rPr>
                <w:rFonts w:ascii="TimesNewRomanPSMT" w:eastAsiaTheme="minorEastAsia" w:hAnsi="TimesNewRomanPSMT" w:cs="TimesNewRomanPSMT"/>
                <w:sz w:val="22"/>
                <w:szCs w:val="22"/>
              </w:rPr>
              <w:t>the United Nations Committee on the Peaceful Uses of Outer Space (COPUOS) and International Civil Aviation Organization (ICAO) and other international and regional organizations concerned</w:t>
            </w:r>
          </w:p>
        </w:tc>
      </w:tr>
      <w:tr w:rsidR="00A037D7" w:rsidRPr="00E87C2D" w14:paraId="134A8BEC" w14:textId="77777777" w:rsidTr="00B16F6E">
        <w:tc>
          <w:tcPr>
            <w:tcW w:w="9317" w:type="dxa"/>
            <w:gridSpan w:val="2"/>
          </w:tcPr>
          <w:p w14:paraId="5D807C40" w14:textId="77777777" w:rsidR="00A037D7" w:rsidRPr="00E87C2D" w:rsidRDefault="00A037D7" w:rsidP="00B16F6E">
            <w:pPr>
              <w:spacing w:beforeLines="50" w:afterLines="50" w:after="120"/>
              <w:rPr>
                <w:rFonts w:eastAsia="MS Gothic"/>
                <w:b/>
                <w:bCs/>
                <w:i/>
                <w:iCs/>
                <w:kern w:val="2"/>
                <w:lang w:eastAsia="ja-JP"/>
              </w:rPr>
            </w:pPr>
            <w:r w:rsidRPr="00E87C2D">
              <w:rPr>
                <w:rFonts w:eastAsia="MS Gothic"/>
                <w:b/>
                <w:bCs/>
                <w:i/>
                <w:iCs/>
                <w:kern w:val="2"/>
              </w:rPr>
              <w:t>ITU-R Study Groups concerned:</w:t>
            </w:r>
          </w:p>
          <w:p w14:paraId="252B9046" w14:textId="77777777" w:rsidR="00A037D7" w:rsidRPr="00E87C2D" w:rsidRDefault="00A037D7" w:rsidP="00B16F6E">
            <w:pPr>
              <w:spacing w:beforeLines="50" w:afterLines="50" w:after="120"/>
              <w:rPr>
                <w:rFonts w:eastAsia="Malgun Gothic"/>
                <w:kern w:val="2"/>
                <w:lang w:eastAsia="ko-KR"/>
              </w:rPr>
            </w:pPr>
            <w:r w:rsidRPr="00E87C2D">
              <w:rPr>
                <w:iCs/>
                <w:color w:val="000000"/>
              </w:rPr>
              <w:t>S</w:t>
            </w:r>
            <w:r w:rsidRPr="00E87C2D">
              <w:rPr>
                <w:rFonts w:eastAsia="SimSun"/>
                <w:iCs/>
                <w:color w:val="000000"/>
                <w:lang w:eastAsia="zh-CN"/>
              </w:rPr>
              <w:t>G4, SG</w:t>
            </w:r>
            <w:r w:rsidRPr="00E87C2D">
              <w:rPr>
                <w:iCs/>
                <w:color w:val="000000"/>
              </w:rPr>
              <w:t>5</w:t>
            </w:r>
            <w:r w:rsidRPr="00E87C2D">
              <w:rPr>
                <w:rFonts w:eastAsia="SimSun"/>
                <w:iCs/>
                <w:color w:val="000000"/>
                <w:lang w:eastAsia="zh-CN"/>
              </w:rPr>
              <w:t>, SG7</w:t>
            </w:r>
          </w:p>
        </w:tc>
      </w:tr>
      <w:tr w:rsidR="00A037D7" w:rsidRPr="00E87C2D" w14:paraId="6F610DEF" w14:textId="77777777" w:rsidTr="00B16F6E">
        <w:trPr>
          <w:trHeight w:val="1087"/>
        </w:trPr>
        <w:tc>
          <w:tcPr>
            <w:tcW w:w="9317" w:type="dxa"/>
            <w:gridSpan w:val="2"/>
          </w:tcPr>
          <w:p w14:paraId="2DE6A2F2" w14:textId="77777777" w:rsidR="00A037D7" w:rsidRPr="00E87C2D" w:rsidRDefault="00A037D7" w:rsidP="00B16F6E">
            <w:pPr>
              <w:spacing w:beforeLines="50" w:afterLines="50" w:after="120"/>
              <w:rPr>
                <w:rFonts w:eastAsia="MS Gothic"/>
                <w:kern w:val="2"/>
                <w:lang w:eastAsia="ja-JP"/>
              </w:rPr>
            </w:pPr>
            <w:r w:rsidRPr="00E87C2D">
              <w:rPr>
                <w:rFonts w:eastAsia="MS Gothic"/>
                <w:b/>
                <w:bCs/>
                <w:i/>
                <w:iCs/>
                <w:kern w:val="2"/>
              </w:rPr>
              <w:t xml:space="preserve">ITU </w:t>
            </w:r>
            <w:r w:rsidRPr="00E87C2D">
              <w:rPr>
                <w:rFonts w:eastAsia="MS Gothic"/>
                <w:b/>
                <w:bCs/>
                <w:i/>
                <w:iCs/>
                <w:kern w:val="2"/>
                <w:lang w:eastAsia="ja-JP"/>
              </w:rPr>
              <w:t>r</w:t>
            </w:r>
            <w:r w:rsidRPr="00E87C2D">
              <w:rPr>
                <w:rFonts w:eastAsia="MS Gothic"/>
                <w:b/>
                <w:bCs/>
                <w:i/>
                <w:iCs/>
                <w:kern w:val="2"/>
              </w:rPr>
              <w:t xml:space="preserve">esource </w:t>
            </w:r>
            <w:r w:rsidRPr="00E87C2D">
              <w:rPr>
                <w:rFonts w:eastAsia="MS Gothic"/>
                <w:b/>
                <w:bCs/>
                <w:i/>
                <w:iCs/>
                <w:kern w:val="2"/>
                <w:lang w:eastAsia="ja-JP"/>
              </w:rPr>
              <w:t>i</w:t>
            </w:r>
            <w:r w:rsidRPr="00E87C2D">
              <w:rPr>
                <w:rFonts w:eastAsia="MS Gothic"/>
                <w:b/>
                <w:bCs/>
                <w:i/>
                <w:iCs/>
                <w:kern w:val="2"/>
              </w:rPr>
              <w:t>mplications</w:t>
            </w:r>
            <w:r w:rsidRPr="00E87C2D">
              <w:rPr>
                <w:rFonts w:eastAsia="MS Gothic"/>
                <w:b/>
                <w:bCs/>
                <w:i/>
                <w:iCs/>
                <w:kern w:val="2"/>
                <w:lang w:eastAsia="ja-JP"/>
              </w:rPr>
              <w:t>,</w:t>
            </w:r>
            <w:r w:rsidRPr="00E87C2D">
              <w:rPr>
                <w:rFonts w:eastAsia="MS Gothic"/>
                <w:b/>
                <w:bCs/>
                <w:i/>
                <w:iCs/>
                <w:kern w:val="2"/>
              </w:rPr>
              <w:t xml:space="preserve"> including financial i</w:t>
            </w:r>
            <w:r w:rsidRPr="00E87C2D">
              <w:rPr>
                <w:rFonts w:eastAsia="MS Gothic"/>
                <w:b/>
                <w:bCs/>
                <w:i/>
                <w:iCs/>
                <w:kern w:val="2"/>
                <w:lang w:eastAsia="ja-JP"/>
              </w:rPr>
              <w:t>mpli</w:t>
            </w:r>
            <w:r w:rsidRPr="00E87C2D">
              <w:rPr>
                <w:rFonts w:eastAsia="MS Gothic"/>
                <w:b/>
                <w:bCs/>
                <w:i/>
                <w:iCs/>
                <w:kern w:val="2"/>
              </w:rPr>
              <w:t>cations (refer to CV 126)</w:t>
            </w:r>
            <w:r w:rsidRPr="00E87C2D">
              <w:rPr>
                <w:rFonts w:eastAsia="MS Gothic"/>
                <w:b/>
                <w:bCs/>
                <w:i/>
                <w:iCs/>
                <w:kern w:val="2"/>
                <w:lang w:eastAsia="ja-JP"/>
              </w:rPr>
              <w:t>:</w:t>
            </w:r>
          </w:p>
          <w:p w14:paraId="0405D8F6" w14:textId="77777777" w:rsidR="00A037D7" w:rsidRPr="00E87C2D" w:rsidRDefault="00A037D7" w:rsidP="00B16F6E">
            <w:pPr>
              <w:rPr>
                <w:rFonts w:eastAsia="SimSun"/>
                <w:kern w:val="2"/>
                <w:lang w:eastAsia="zh-CN"/>
              </w:rPr>
            </w:pPr>
          </w:p>
        </w:tc>
      </w:tr>
      <w:tr w:rsidR="00A037D7" w:rsidRPr="00E87C2D" w14:paraId="478894E8" w14:textId="77777777" w:rsidTr="00B16F6E">
        <w:trPr>
          <w:trHeight w:val="612"/>
        </w:trPr>
        <w:tc>
          <w:tcPr>
            <w:tcW w:w="4205" w:type="dxa"/>
          </w:tcPr>
          <w:p w14:paraId="79608F58" w14:textId="77777777" w:rsidR="00A037D7" w:rsidRPr="00E87C2D" w:rsidRDefault="00A037D7" w:rsidP="00B16F6E">
            <w:pPr>
              <w:spacing w:beforeLines="50" w:afterLines="50" w:after="120"/>
              <w:rPr>
                <w:rFonts w:eastAsia="MS Gothic"/>
                <w:b/>
                <w:bCs/>
                <w:i/>
                <w:iCs/>
                <w:kern w:val="2"/>
                <w:lang w:eastAsia="ja-JP"/>
              </w:rPr>
            </w:pPr>
            <w:r w:rsidRPr="00E87C2D">
              <w:rPr>
                <w:rFonts w:eastAsia="MS Gothic"/>
                <w:b/>
                <w:bCs/>
                <w:i/>
                <w:iCs/>
                <w:kern w:val="2"/>
              </w:rPr>
              <w:t xml:space="preserve">Common </w:t>
            </w:r>
            <w:r w:rsidRPr="00E87C2D">
              <w:rPr>
                <w:rFonts w:eastAsia="MS Gothic"/>
                <w:b/>
                <w:bCs/>
                <w:i/>
                <w:iCs/>
                <w:kern w:val="2"/>
                <w:lang w:eastAsia="ja-JP"/>
              </w:rPr>
              <w:t>regional p</w:t>
            </w:r>
            <w:r w:rsidRPr="00E87C2D">
              <w:rPr>
                <w:rFonts w:eastAsia="MS Gothic"/>
                <w:b/>
                <w:bCs/>
                <w:i/>
                <w:iCs/>
                <w:kern w:val="2"/>
              </w:rPr>
              <w:t>roposal:</w:t>
            </w:r>
          </w:p>
          <w:p w14:paraId="08681730" w14:textId="77777777" w:rsidR="00A037D7" w:rsidRPr="00E87C2D" w:rsidRDefault="00A037D7" w:rsidP="00B16F6E">
            <w:pPr>
              <w:spacing w:beforeLines="50" w:afterLines="50" w:after="120"/>
              <w:rPr>
                <w:rFonts w:eastAsia="SimSun"/>
                <w:kern w:val="2"/>
                <w:lang w:eastAsia="ko-KR"/>
              </w:rPr>
            </w:pPr>
            <w:r w:rsidRPr="00E87C2D">
              <w:rPr>
                <w:rFonts w:eastAsia="MS Gothic"/>
                <w:bCs/>
                <w:iCs/>
                <w:kern w:val="2"/>
                <w:lang w:eastAsia="ja-JP"/>
              </w:rPr>
              <w:t>[Yes</w:t>
            </w:r>
            <w:r w:rsidRPr="00E87C2D">
              <w:rPr>
                <w:rFonts w:eastAsia="SimSun"/>
                <w:bCs/>
                <w:iCs/>
                <w:kern w:val="2"/>
                <w:lang w:eastAsia="ko-KR"/>
              </w:rPr>
              <w:t>]</w:t>
            </w:r>
          </w:p>
        </w:tc>
        <w:tc>
          <w:tcPr>
            <w:tcW w:w="5112" w:type="dxa"/>
          </w:tcPr>
          <w:p w14:paraId="1C4E356D" w14:textId="77777777" w:rsidR="00A037D7" w:rsidRPr="00E87C2D" w:rsidRDefault="00A037D7" w:rsidP="00B16F6E">
            <w:pPr>
              <w:spacing w:beforeLines="50" w:afterLines="50" w:after="120"/>
              <w:rPr>
                <w:rFonts w:eastAsia="SimSun"/>
                <w:kern w:val="2"/>
                <w:lang w:eastAsia="ko-KR"/>
              </w:rPr>
            </w:pPr>
            <w:r w:rsidRPr="00E87C2D">
              <w:rPr>
                <w:rFonts w:eastAsia="MS Gothic"/>
                <w:b/>
                <w:bCs/>
                <w:i/>
                <w:iCs/>
                <w:kern w:val="2"/>
              </w:rPr>
              <w:t xml:space="preserve">Multicountry Proposal: </w:t>
            </w:r>
            <w:r w:rsidRPr="00E87C2D">
              <w:rPr>
                <w:rFonts w:eastAsia="SimSun"/>
                <w:bCs/>
                <w:iCs/>
                <w:kern w:val="2"/>
                <w:lang w:eastAsia="ko-KR"/>
              </w:rPr>
              <w:t>[No]</w:t>
            </w:r>
          </w:p>
          <w:p w14:paraId="7F6457C8" w14:textId="77777777" w:rsidR="00A037D7" w:rsidRPr="00E87C2D" w:rsidRDefault="00A037D7" w:rsidP="00B16F6E">
            <w:pPr>
              <w:spacing w:beforeLines="50" w:afterLines="50" w:after="120"/>
              <w:rPr>
                <w:rFonts w:eastAsia="Malgun Gothic"/>
                <w:kern w:val="2"/>
                <w:lang w:eastAsia="ko-KR"/>
              </w:rPr>
            </w:pPr>
            <w:r w:rsidRPr="00E87C2D">
              <w:rPr>
                <w:rFonts w:eastAsia="MS Gothic"/>
                <w:b/>
                <w:bCs/>
                <w:i/>
                <w:iCs/>
                <w:kern w:val="2"/>
                <w:lang w:eastAsia="ja-JP"/>
              </w:rPr>
              <w:t>Number of countries</w:t>
            </w:r>
            <w:r w:rsidRPr="00E87C2D">
              <w:rPr>
                <w:rFonts w:eastAsia="MS Gothic"/>
                <w:b/>
                <w:bCs/>
                <w:i/>
                <w:iCs/>
                <w:kern w:val="2"/>
              </w:rPr>
              <w:t>:</w:t>
            </w:r>
          </w:p>
        </w:tc>
      </w:tr>
      <w:tr w:rsidR="00A037D7" w:rsidRPr="00E87C2D" w14:paraId="7A3ABAF2" w14:textId="77777777" w:rsidTr="00B16F6E">
        <w:trPr>
          <w:trHeight w:val="70"/>
        </w:trPr>
        <w:tc>
          <w:tcPr>
            <w:tcW w:w="9317" w:type="dxa"/>
            <w:gridSpan w:val="2"/>
          </w:tcPr>
          <w:p w14:paraId="5DC56EDB" w14:textId="77777777" w:rsidR="00A037D7" w:rsidRPr="00E87C2D" w:rsidRDefault="00A037D7" w:rsidP="00B16F6E">
            <w:pPr>
              <w:spacing w:beforeLines="50" w:afterLines="50" w:after="120"/>
              <w:rPr>
                <w:rFonts w:eastAsia="SimSun"/>
                <w:b/>
                <w:bCs/>
                <w:i/>
                <w:iCs/>
                <w:kern w:val="2"/>
                <w:lang w:eastAsia="ko-KR"/>
              </w:rPr>
            </w:pPr>
            <w:r w:rsidRPr="00E87C2D">
              <w:rPr>
                <w:rFonts w:eastAsia="MS Gothic"/>
                <w:b/>
                <w:bCs/>
                <w:i/>
                <w:iCs/>
                <w:kern w:val="2"/>
              </w:rPr>
              <w:t>Remarks</w:t>
            </w:r>
          </w:p>
        </w:tc>
      </w:tr>
    </w:tbl>
    <w:p w14:paraId="3A22CBA1" w14:textId="77777777" w:rsidR="00A037D7" w:rsidRPr="00E87C2D" w:rsidRDefault="00A037D7" w:rsidP="00A037D7"/>
    <w:p w14:paraId="63EAA0C0" w14:textId="77777777" w:rsidR="00A037D7" w:rsidRDefault="00A037D7" w:rsidP="00A037D7">
      <w:pPr>
        <w:jc w:val="center"/>
      </w:pPr>
      <w:r w:rsidRPr="00E87C2D">
        <w:t>________________</w:t>
      </w:r>
    </w:p>
    <w:sectPr w:rsidR="00A037D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CE026" w14:textId="77777777" w:rsidR="00B8261C" w:rsidRDefault="00B8261C">
      <w:r>
        <w:separator/>
      </w:r>
    </w:p>
  </w:endnote>
  <w:endnote w:type="continuationSeparator" w:id="0">
    <w:p w14:paraId="32145654" w14:textId="77777777" w:rsidR="00B8261C" w:rsidRDefault="00B8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84CE" w14:textId="77777777" w:rsidR="00E45D05" w:rsidRDefault="00E45D05">
    <w:pPr>
      <w:framePr w:wrap="around" w:vAnchor="text" w:hAnchor="margin" w:xAlign="right" w:y="1"/>
    </w:pPr>
    <w:r>
      <w:fldChar w:fldCharType="begin"/>
    </w:r>
    <w:r>
      <w:instrText xml:space="preserve">PAGE  </w:instrText>
    </w:r>
    <w:r>
      <w:fldChar w:fldCharType="end"/>
    </w:r>
  </w:p>
  <w:p w14:paraId="7E5C9C1D" w14:textId="760215D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57451">
      <w:rPr>
        <w:noProof/>
        <w:lang w:val="en-US"/>
      </w:rPr>
      <w:t>P:\ENG\ITU-R\CONF-R\CMR19\000\024ADD24ADD07E.docx</w:t>
    </w:r>
    <w:r>
      <w:fldChar w:fldCharType="end"/>
    </w:r>
    <w:r w:rsidRPr="0041348E">
      <w:rPr>
        <w:lang w:val="en-US"/>
      </w:rPr>
      <w:tab/>
    </w:r>
    <w:r>
      <w:fldChar w:fldCharType="begin"/>
    </w:r>
    <w:r>
      <w:instrText xml:space="preserve"> SAVEDATE \@ DD.MM.YY </w:instrText>
    </w:r>
    <w:r>
      <w:fldChar w:fldCharType="separate"/>
    </w:r>
    <w:r w:rsidR="00E57451">
      <w:rPr>
        <w:noProof/>
      </w:rPr>
      <w:t>30.09.19</w:t>
    </w:r>
    <w:r>
      <w:fldChar w:fldCharType="end"/>
    </w:r>
    <w:r w:rsidRPr="0041348E">
      <w:rPr>
        <w:lang w:val="en-US"/>
      </w:rPr>
      <w:tab/>
    </w:r>
    <w:r>
      <w:fldChar w:fldCharType="begin"/>
    </w:r>
    <w:r>
      <w:instrText xml:space="preserve"> PRINTDATE \@ DD.MM.YY </w:instrText>
    </w:r>
    <w:r>
      <w:fldChar w:fldCharType="separate"/>
    </w:r>
    <w:r w:rsidR="00E57451">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D6FF1" w14:textId="70A243DD" w:rsidR="00E45D05" w:rsidRDefault="00E45D05" w:rsidP="009B1EA1">
    <w:pPr>
      <w:pStyle w:val="Footer"/>
    </w:pPr>
    <w:r>
      <w:fldChar w:fldCharType="begin"/>
    </w:r>
    <w:r w:rsidRPr="0041348E">
      <w:rPr>
        <w:lang w:val="en-US"/>
      </w:rPr>
      <w:instrText xml:space="preserve"> FILENAME \p  \* MERGEFORMAT </w:instrText>
    </w:r>
    <w:r>
      <w:fldChar w:fldCharType="separate"/>
    </w:r>
    <w:r w:rsidR="00E57451">
      <w:rPr>
        <w:lang w:val="en-US"/>
      </w:rPr>
      <w:t>P:\ENG\ITU-R\CONF-R\CMR19\000\024ADD24ADD07E.docx</w:t>
    </w:r>
    <w:r>
      <w:fldChar w:fldCharType="end"/>
    </w:r>
    <w:r w:rsidR="002E193D">
      <w:t xml:space="preserve"> (461085)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6047" w14:textId="072FDC68"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57451">
      <w:rPr>
        <w:lang w:val="en-US"/>
      </w:rPr>
      <w:t>P:\ENG\ITU-R\CONF-R\CMR19\000\024ADD24ADD07E.docx</w:t>
    </w:r>
    <w:r>
      <w:fldChar w:fldCharType="end"/>
    </w:r>
    <w:r w:rsidR="002E193D">
      <w:t xml:space="preserve"> (461085)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2ECA" w14:textId="77777777" w:rsidR="00B8261C" w:rsidRDefault="00B8261C">
      <w:r>
        <w:rPr>
          <w:b/>
        </w:rPr>
        <w:t>_______________</w:t>
      </w:r>
    </w:p>
  </w:footnote>
  <w:footnote w:type="continuationSeparator" w:id="0">
    <w:p w14:paraId="3435C491" w14:textId="77777777" w:rsidR="00B8261C" w:rsidRDefault="00B8261C">
      <w:r>
        <w:continuationSeparator/>
      </w:r>
    </w:p>
  </w:footnote>
  <w:footnote w:id="1">
    <w:p w14:paraId="5837753D" w14:textId="6570DD70" w:rsidR="004A2D50" w:rsidRPr="00D3783A" w:rsidRDefault="004A2D50" w:rsidP="004A2D50">
      <w:pPr>
        <w:pStyle w:val="FootnoteText"/>
        <w:rPr>
          <w:lang w:val="en-US"/>
        </w:rPr>
      </w:pPr>
      <w:r w:rsidRPr="00D3783A">
        <w:rPr>
          <w:rStyle w:val="FootnoteReference"/>
        </w:rPr>
        <w:t>*</w:t>
      </w:r>
      <w:r w:rsidR="00E87C2D">
        <w:tab/>
      </w:r>
      <w:r w:rsidRPr="00D3783A">
        <w:rPr>
          <w:u w:val="single"/>
        </w:rPr>
        <w:t>Note by the Secretariat</w:t>
      </w:r>
      <w:r w:rsidRPr="00D3783A">
        <w:t>: This ITU-R Report was approved and should be published as Report ITU</w:t>
      </w:r>
      <w:r w:rsidRPr="00D3783A">
        <w:noBreakHyphen/>
        <w:t>R M.2477-0.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3175" w14:textId="77777777" w:rsidR="00E45D05" w:rsidRDefault="00A066F1" w:rsidP="00187BD9">
    <w:pPr>
      <w:pStyle w:val="Header"/>
    </w:pPr>
    <w:r>
      <w:fldChar w:fldCharType="begin"/>
    </w:r>
    <w:r>
      <w:instrText xml:space="preserve"> PAGE  \* MERGEFORMAT </w:instrText>
    </w:r>
    <w:r>
      <w:fldChar w:fldCharType="separate"/>
    </w:r>
    <w:r w:rsidR="00D3783A">
      <w:rPr>
        <w:noProof/>
      </w:rPr>
      <w:t>4</w:t>
    </w:r>
    <w:r>
      <w:fldChar w:fldCharType="end"/>
    </w:r>
  </w:p>
  <w:p w14:paraId="58EE1F02" w14:textId="77777777" w:rsidR="00A066F1" w:rsidRPr="00A066F1" w:rsidRDefault="00187BD9" w:rsidP="00241FA2">
    <w:pPr>
      <w:pStyle w:val="Header"/>
    </w:pPr>
    <w:r>
      <w:t>CMR1</w:t>
    </w:r>
    <w:r w:rsidR="00202756">
      <w:t>9</w:t>
    </w:r>
    <w:r w:rsidR="00A066F1">
      <w:t>/</w:t>
    </w:r>
    <w:bookmarkStart w:id="12" w:name="OLE_LINK1"/>
    <w:bookmarkStart w:id="13" w:name="OLE_LINK2"/>
    <w:bookmarkStart w:id="14" w:name="OLE_LINK3"/>
    <w:r w:rsidR="00EB55C6">
      <w:t>24(Add.24)(Add.7)</w:t>
    </w:r>
    <w:bookmarkEnd w:id="12"/>
    <w:bookmarkEnd w:id="13"/>
    <w:bookmarkEnd w:id="14"/>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4C83680"/>
    <w:multiLevelType w:val="hybridMultilevel"/>
    <w:tmpl w:val="F260DCFA"/>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00E37"/>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E193D"/>
    <w:rsid w:val="002F4747"/>
    <w:rsid w:val="00302605"/>
    <w:rsid w:val="00361B37"/>
    <w:rsid w:val="00377BD3"/>
    <w:rsid w:val="00384088"/>
    <w:rsid w:val="003852CE"/>
    <w:rsid w:val="0039169B"/>
    <w:rsid w:val="003A7F8C"/>
    <w:rsid w:val="003B2284"/>
    <w:rsid w:val="003B532E"/>
    <w:rsid w:val="003D0F8B"/>
    <w:rsid w:val="003E0DB6"/>
    <w:rsid w:val="00411F0B"/>
    <w:rsid w:val="0041348E"/>
    <w:rsid w:val="00420873"/>
    <w:rsid w:val="00492075"/>
    <w:rsid w:val="004969AD"/>
    <w:rsid w:val="004A26C4"/>
    <w:rsid w:val="004A2D50"/>
    <w:rsid w:val="004B13CB"/>
    <w:rsid w:val="004D26EA"/>
    <w:rsid w:val="004D2BFB"/>
    <w:rsid w:val="004D5D5C"/>
    <w:rsid w:val="004F3DC0"/>
    <w:rsid w:val="0050139F"/>
    <w:rsid w:val="0053574F"/>
    <w:rsid w:val="0055140B"/>
    <w:rsid w:val="005964AB"/>
    <w:rsid w:val="005B39AE"/>
    <w:rsid w:val="005C099A"/>
    <w:rsid w:val="005C31A5"/>
    <w:rsid w:val="005E10C9"/>
    <w:rsid w:val="005E290B"/>
    <w:rsid w:val="005E61DD"/>
    <w:rsid w:val="005F04D8"/>
    <w:rsid w:val="005F4BCB"/>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B3928"/>
    <w:rsid w:val="007D5320"/>
    <w:rsid w:val="00800972"/>
    <w:rsid w:val="00804475"/>
    <w:rsid w:val="00811633"/>
    <w:rsid w:val="00814037"/>
    <w:rsid w:val="00841216"/>
    <w:rsid w:val="00842AF0"/>
    <w:rsid w:val="0086171E"/>
    <w:rsid w:val="00872FC8"/>
    <w:rsid w:val="008845D0"/>
    <w:rsid w:val="00884D60"/>
    <w:rsid w:val="00886773"/>
    <w:rsid w:val="008B43F2"/>
    <w:rsid w:val="008B6CFF"/>
    <w:rsid w:val="009274B4"/>
    <w:rsid w:val="00934EA2"/>
    <w:rsid w:val="00944A5C"/>
    <w:rsid w:val="00952A66"/>
    <w:rsid w:val="009B1EA1"/>
    <w:rsid w:val="009B7C9A"/>
    <w:rsid w:val="009C56E5"/>
    <w:rsid w:val="009C7716"/>
    <w:rsid w:val="009E5FC8"/>
    <w:rsid w:val="009E687A"/>
    <w:rsid w:val="009F236F"/>
    <w:rsid w:val="00A037D7"/>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020FC"/>
    <w:rsid w:val="00B40888"/>
    <w:rsid w:val="00B639E9"/>
    <w:rsid w:val="00B6441C"/>
    <w:rsid w:val="00B817CD"/>
    <w:rsid w:val="00B81A7D"/>
    <w:rsid w:val="00B8261C"/>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3783A"/>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4013"/>
    <w:rsid w:val="00E26226"/>
    <w:rsid w:val="00E45D05"/>
    <w:rsid w:val="00E55816"/>
    <w:rsid w:val="00E55AEF"/>
    <w:rsid w:val="00E57451"/>
    <w:rsid w:val="00E6308B"/>
    <w:rsid w:val="00E87C2D"/>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9112F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RestitleChar">
    <w:name w:val="Res_title Char"/>
    <w:link w:val="Restitle"/>
    <w:qFormat/>
    <w:rsid w:val="00A037D7"/>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R16-WRC19-C-0024!A24-A7!MSW-E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8737B-87BE-45EA-8CC4-F4E8DDFAD9F4}">
  <ds:schemaRefs>
    <ds:schemaRef ds:uri="http://purl.org/dc/dcmitype/"/>
    <ds:schemaRef ds:uri="http://purl.org/dc/terms/"/>
    <ds:schemaRef ds:uri="32a1a8c5-2265-4ebc-b7a0-2071e2c5c9bb"/>
    <ds:schemaRef ds:uri="http://schemas.microsoft.com/office/2006/documentManagement/types"/>
    <ds:schemaRef ds:uri="996b2e75-67fd-4955-a3b0-5ab9934cb50b"/>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F638FB54-2CA1-4B6D-9105-F4DAD618C6BD}">
  <ds:schemaRefs>
    <ds:schemaRef ds:uri="http://schemas.microsoft.com/sharepoint/v3/contenttype/forms"/>
  </ds:schemaRefs>
</ds:datastoreItem>
</file>

<file path=customXml/itemProps5.xml><?xml version="1.0" encoding="utf-8"?>
<ds:datastoreItem xmlns:ds="http://schemas.openxmlformats.org/officeDocument/2006/customXml" ds:itemID="{E6BA2DFE-102F-4730-9E27-8F022EF8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1298</Words>
  <Characters>8055</Characters>
  <Application>Microsoft Office Word</Application>
  <DocSecurity>0</DocSecurity>
  <Lines>165</Lines>
  <Paragraphs>81</Paragraphs>
  <ScaleCrop>false</ScaleCrop>
  <HeadingPairs>
    <vt:vector size="2" baseType="variant">
      <vt:variant>
        <vt:lpstr>Title</vt:lpstr>
      </vt:variant>
      <vt:variant>
        <vt:i4>1</vt:i4>
      </vt:variant>
    </vt:vector>
  </HeadingPairs>
  <TitlesOfParts>
    <vt:vector size="1" baseType="lpstr">
      <vt:lpstr>R16-WRC19-C-0024!A24-A7!MSW-E</vt:lpstr>
    </vt:vector>
  </TitlesOfParts>
  <Manager>General Secretariat - Pool</Manager>
  <Company>International Telecommunication Union (ITU)</Company>
  <LinksUpToDate>false</LinksUpToDate>
  <CharactersWithSpaces>9279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R16-WRC19-C-0024!A24-A7!MSW-E</dc:title>
  <dc:subject>World Radiocommunication Conference - 2019</dc:subject>
  <dc:creator>Documents Proposals Manager (DPM)</dc:creator>
  <cp:keywords>DPM_v2019.9.20.1_prod</cp:keywords>
  <dc:description>Uploaded on 2015.07.06</dc:description>
  <cp:lastModifiedBy>Currie, Jane</cp:lastModifiedBy>
  <cp:revision>7</cp:revision>
  <cp:lastPrinted>2019-09-30T14:17:00Z</cp:lastPrinted>
  <dcterms:created xsi:type="dcterms:W3CDTF">2019-09-27T09:22:00Z</dcterms:created>
  <dcterms:modified xsi:type="dcterms:W3CDTF">2019-09-30T14:18:00Z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