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A1323A" w14:paraId="07824271" w14:textId="77777777" w:rsidTr="0057285E">
        <w:trPr>
          <w:cantSplit/>
        </w:trPr>
        <w:tc>
          <w:tcPr>
            <w:tcW w:w="6804" w:type="dxa"/>
          </w:tcPr>
          <w:p w14:paraId="5D453567" w14:textId="77777777" w:rsidR="0090121B" w:rsidRPr="00A1323A" w:rsidRDefault="005D46FB" w:rsidP="0057285E">
            <w:pPr>
              <w:spacing w:before="400" w:after="48"/>
              <w:rPr>
                <w:rFonts w:ascii="Verdana" w:hAnsi="Verdana"/>
                <w:position w:val="6"/>
              </w:rPr>
            </w:pPr>
            <w:r w:rsidRPr="00A1323A">
              <w:rPr>
                <w:rFonts w:ascii="Verdana" w:hAnsi="Verdana" w:cs="Times"/>
                <w:b/>
                <w:position w:val="6"/>
                <w:sz w:val="20"/>
              </w:rPr>
              <w:t>Conferencia Mundial de Radiocomunicaciones (CMR-1</w:t>
            </w:r>
            <w:r w:rsidR="00C44E9E" w:rsidRPr="00A1323A">
              <w:rPr>
                <w:rFonts w:ascii="Verdana" w:hAnsi="Verdana" w:cs="Times"/>
                <w:b/>
                <w:position w:val="6"/>
                <w:sz w:val="20"/>
              </w:rPr>
              <w:t>9</w:t>
            </w:r>
            <w:r w:rsidRPr="00A1323A">
              <w:rPr>
                <w:rFonts w:ascii="Verdana" w:hAnsi="Verdana" w:cs="Times"/>
                <w:b/>
                <w:position w:val="6"/>
                <w:sz w:val="20"/>
              </w:rPr>
              <w:t>)</w:t>
            </w:r>
            <w:r w:rsidRPr="00A1323A">
              <w:rPr>
                <w:rFonts w:ascii="Verdana" w:hAnsi="Verdana" w:cs="Times"/>
                <w:b/>
                <w:position w:val="6"/>
                <w:sz w:val="20"/>
              </w:rPr>
              <w:br/>
            </w:r>
            <w:r w:rsidR="006124AD" w:rsidRPr="00A1323A">
              <w:rPr>
                <w:rFonts w:ascii="Verdana" w:hAnsi="Verdana"/>
                <w:b/>
                <w:bCs/>
                <w:position w:val="6"/>
                <w:sz w:val="17"/>
                <w:szCs w:val="17"/>
              </w:rPr>
              <w:t>Sharm el-Sheikh (Egipto)</w:t>
            </w:r>
            <w:r w:rsidRPr="00A1323A">
              <w:rPr>
                <w:rFonts w:ascii="Verdana" w:hAnsi="Verdana"/>
                <w:b/>
                <w:bCs/>
                <w:position w:val="6"/>
                <w:sz w:val="17"/>
                <w:szCs w:val="17"/>
              </w:rPr>
              <w:t>, 2</w:t>
            </w:r>
            <w:r w:rsidR="00C44E9E" w:rsidRPr="00A1323A">
              <w:rPr>
                <w:rFonts w:ascii="Verdana" w:hAnsi="Verdana"/>
                <w:b/>
                <w:bCs/>
                <w:position w:val="6"/>
                <w:sz w:val="17"/>
                <w:szCs w:val="17"/>
              </w:rPr>
              <w:t xml:space="preserve">8 de octubre </w:t>
            </w:r>
            <w:r w:rsidR="00DE1C31" w:rsidRPr="00A1323A">
              <w:rPr>
                <w:rFonts w:ascii="Verdana" w:hAnsi="Verdana"/>
                <w:b/>
                <w:bCs/>
                <w:position w:val="6"/>
                <w:sz w:val="17"/>
                <w:szCs w:val="17"/>
              </w:rPr>
              <w:t>–</w:t>
            </w:r>
            <w:r w:rsidR="00C44E9E" w:rsidRPr="00A1323A">
              <w:rPr>
                <w:rFonts w:ascii="Verdana" w:hAnsi="Verdana"/>
                <w:b/>
                <w:bCs/>
                <w:position w:val="6"/>
                <w:sz w:val="17"/>
                <w:szCs w:val="17"/>
              </w:rPr>
              <w:t xml:space="preserve"> </w:t>
            </w:r>
            <w:r w:rsidRPr="00A1323A">
              <w:rPr>
                <w:rFonts w:ascii="Verdana" w:hAnsi="Verdana"/>
                <w:b/>
                <w:bCs/>
                <w:position w:val="6"/>
                <w:sz w:val="17"/>
                <w:szCs w:val="17"/>
              </w:rPr>
              <w:t>2</w:t>
            </w:r>
            <w:r w:rsidR="00C44E9E" w:rsidRPr="00A1323A">
              <w:rPr>
                <w:rFonts w:ascii="Verdana" w:hAnsi="Verdana"/>
                <w:b/>
                <w:bCs/>
                <w:position w:val="6"/>
                <w:sz w:val="17"/>
                <w:szCs w:val="17"/>
              </w:rPr>
              <w:t>2</w:t>
            </w:r>
            <w:r w:rsidRPr="00A1323A">
              <w:rPr>
                <w:rFonts w:ascii="Verdana" w:hAnsi="Verdana"/>
                <w:b/>
                <w:bCs/>
                <w:position w:val="6"/>
                <w:sz w:val="17"/>
                <w:szCs w:val="17"/>
              </w:rPr>
              <w:t xml:space="preserve"> de noviembre de 201</w:t>
            </w:r>
            <w:r w:rsidR="00C44E9E" w:rsidRPr="00A1323A">
              <w:rPr>
                <w:rFonts w:ascii="Verdana" w:hAnsi="Verdana"/>
                <w:b/>
                <w:bCs/>
                <w:position w:val="6"/>
                <w:sz w:val="17"/>
                <w:szCs w:val="17"/>
              </w:rPr>
              <w:t>9</w:t>
            </w:r>
          </w:p>
        </w:tc>
        <w:tc>
          <w:tcPr>
            <w:tcW w:w="3227" w:type="dxa"/>
          </w:tcPr>
          <w:p w14:paraId="431E968C" w14:textId="77777777" w:rsidR="0090121B" w:rsidRPr="00A1323A" w:rsidRDefault="00DA71A3" w:rsidP="0057285E">
            <w:pPr>
              <w:spacing w:before="0"/>
              <w:jc w:val="right"/>
            </w:pPr>
            <w:bookmarkStart w:id="0" w:name="ditulogo"/>
            <w:bookmarkEnd w:id="0"/>
            <w:r w:rsidRPr="00A1323A">
              <w:rPr>
                <w:rFonts w:ascii="Verdana" w:hAnsi="Verdana"/>
                <w:b/>
                <w:bCs/>
                <w:noProof/>
                <w:szCs w:val="24"/>
                <w:lang w:eastAsia="zh-CN"/>
              </w:rPr>
              <w:drawing>
                <wp:inline distT="0" distB="0" distL="0" distR="0" wp14:anchorId="50F4EF22" wp14:editId="5F86D825">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A1323A" w14:paraId="0E2DB519" w14:textId="77777777" w:rsidTr="0057285E">
        <w:trPr>
          <w:cantSplit/>
        </w:trPr>
        <w:tc>
          <w:tcPr>
            <w:tcW w:w="6804" w:type="dxa"/>
            <w:tcBorders>
              <w:bottom w:val="single" w:sz="12" w:space="0" w:color="auto"/>
            </w:tcBorders>
          </w:tcPr>
          <w:p w14:paraId="2B3BAAC4" w14:textId="77777777" w:rsidR="0090121B" w:rsidRPr="00A1323A" w:rsidRDefault="0090121B" w:rsidP="0057285E">
            <w:pPr>
              <w:spacing w:before="0" w:after="48"/>
              <w:rPr>
                <w:b/>
                <w:smallCaps/>
                <w:szCs w:val="24"/>
              </w:rPr>
            </w:pPr>
            <w:bookmarkStart w:id="1" w:name="dhead"/>
          </w:p>
        </w:tc>
        <w:tc>
          <w:tcPr>
            <w:tcW w:w="3227" w:type="dxa"/>
            <w:tcBorders>
              <w:bottom w:val="single" w:sz="12" w:space="0" w:color="auto"/>
            </w:tcBorders>
          </w:tcPr>
          <w:p w14:paraId="2B12E025" w14:textId="77777777" w:rsidR="0090121B" w:rsidRPr="00A1323A" w:rsidRDefault="0090121B" w:rsidP="0057285E">
            <w:pPr>
              <w:spacing w:before="0"/>
              <w:rPr>
                <w:rFonts w:ascii="Verdana" w:hAnsi="Verdana"/>
                <w:szCs w:val="24"/>
              </w:rPr>
            </w:pPr>
          </w:p>
        </w:tc>
      </w:tr>
      <w:tr w:rsidR="0090121B" w:rsidRPr="00A1323A" w14:paraId="1126AA36" w14:textId="77777777" w:rsidTr="0057285E">
        <w:trPr>
          <w:cantSplit/>
        </w:trPr>
        <w:tc>
          <w:tcPr>
            <w:tcW w:w="6804" w:type="dxa"/>
            <w:tcBorders>
              <w:top w:val="single" w:sz="12" w:space="0" w:color="auto"/>
            </w:tcBorders>
          </w:tcPr>
          <w:p w14:paraId="0A8948C4" w14:textId="77777777" w:rsidR="0090121B" w:rsidRPr="00A1323A" w:rsidRDefault="0090121B" w:rsidP="0057285E">
            <w:pPr>
              <w:spacing w:before="0" w:after="48"/>
              <w:rPr>
                <w:rFonts w:ascii="Verdana" w:hAnsi="Verdana"/>
                <w:b/>
                <w:smallCaps/>
                <w:sz w:val="20"/>
              </w:rPr>
            </w:pPr>
          </w:p>
        </w:tc>
        <w:tc>
          <w:tcPr>
            <w:tcW w:w="3227" w:type="dxa"/>
            <w:tcBorders>
              <w:top w:val="single" w:sz="12" w:space="0" w:color="auto"/>
            </w:tcBorders>
          </w:tcPr>
          <w:p w14:paraId="4FB94205" w14:textId="77777777" w:rsidR="0090121B" w:rsidRPr="00A1323A" w:rsidRDefault="0090121B" w:rsidP="0057285E">
            <w:pPr>
              <w:spacing w:before="0"/>
              <w:rPr>
                <w:rFonts w:ascii="Verdana" w:hAnsi="Verdana"/>
                <w:sz w:val="20"/>
              </w:rPr>
            </w:pPr>
          </w:p>
        </w:tc>
      </w:tr>
      <w:tr w:rsidR="0090121B" w:rsidRPr="00A1323A" w14:paraId="437BAAEA" w14:textId="77777777" w:rsidTr="0057285E">
        <w:trPr>
          <w:cantSplit/>
        </w:trPr>
        <w:tc>
          <w:tcPr>
            <w:tcW w:w="6804" w:type="dxa"/>
          </w:tcPr>
          <w:p w14:paraId="135C9EC7" w14:textId="77777777" w:rsidR="0090121B" w:rsidRPr="00A1323A" w:rsidRDefault="001E7D42" w:rsidP="0057285E">
            <w:pPr>
              <w:pStyle w:val="Committee"/>
              <w:framePr w:hSpace="0" w:wrap="auto" w:hAnchor="text" w:yAlign="inline"/>
              <w:spacing w:line="240" w:lineRule="auto"/>
              <w:rPr>
                <w:lang w:val="es-ES_tradnl"/>
              </w:rPr>
            </w:pPr>
            <w:r w:rsidRPr="00A1323A">
              <w:rPr>
                <w:lang w:val="es-ES_tradnl"/>
              </w:rPr>
              <w:t>SESIÓN PLENARIA</w:t>
            </w:r>
          </w:p>
        </w:tc>
        <w:tc>
          <w:tcPr>
            <w:tcW w:w="3227" w:type="dxa"/>
          </w:tcPr>
          <w:p w14:paraId="634404DE" w14:textId="77777777" w:rsidR="0090121B" w:rsidRPr="00A1323A" w:rsidRDefault="00AE658F" w:rsidP="0057285E">
            <w:pPr>
              <w:spacing w:before="0"/>
              <w:rPr>
                <w:rFonts w:ascii="Verdana" w:hAnsi="Verdana"/>
                <w:sz w:val="20"/>
              </w:rPr>
            </w:pPr>
            <w:r w:rsidRPr="00A1323A">
              <w:rPr>
                <w:rFonts w:ascii="Verdana" w:hAnsi="Verdana"/>
                <w:b/>
                <w:sz w:val="20"/>
              </w:rPr>
              <w:t>Addéndum 6 al</w:t>
            </w:r>
            <w:r w:rsidRPr="00A1323A">
              <w:rPr>
                <w:rFonts w:ascii="Verdana" w:hAnsi="Verdana"/>
                <w:b/>
                <w:sz w:val="20"/>
              </w:rPr>
              <w:br/>
              <w:t>Documento 24(Add.24)</w:t>
            </w:r>
            <w:r w:rsidR="0090121B" w:rsidRPr="00A1323A">
              <w:rPr>
                <w:rFonts w:ascii="Verdana" w:hAnsi="Verdana"/>
                <w:b/>
                <w:sz w:val="20"/>
              </w:rPr>
              <w:t>-</w:t>
            </w:r>
            <w:r w:rsidRPr="00A1323A">
              <w:rPr>
                <w:rFonts w:ascii="Verdana" w:hAnsi="Verdana"/>
                <w:b/>
                <w:sz w:val="20"/>
              </w:rPr>
              <w:t>S</w:t>
            </w:r>
          </w:p>
        </w:tc>
      </w:tr>
      <w:bookmarkEnd w:id="1"/>
      <w:tr w:rsidR="000A5B9A" w:rsidRPr="00A1323A" w14:paraId="7E3DE237" w14:textId="77777777" w:rsidTr="0057285E">
        <w:trPr>
          <w:cantSplit/>
        </w:trPr>
        <w:tc>
          <w:tcPr>
            <w:tcW w:w="6804" w:type="dxa"/>
          </w:tcPr>
          <w:p w14:paraId="7A58ACEB" w14:textId="77777777" w:rsidR="000A5B9A" w:rsidRPr="00A1323A" w:rsidRDefault="000A5B9A" w:rsidP="0057285E">
            <w:pPr>
              <w:spacing w:before="0" w:after="48"/>
              <w:rPr>
                <w:rFonts w:ascii="Verdana" w:hAnsi="Verdana"/>
                <w:b/>
                <w:smallCaps/>
                <w:sz w:val="20"/>
              </w:rPr>
            </w:pPr>
          </w:p>
        </w:tc>
        <w:tc>
          <w:tcPr>
            <w:tcW w:w="3227" w:type="dxa"/>
          </w:tcPr>
          <w:p w14:paraId="36EEB260" w14:textId="77777777" w:rsidR="000A5B9A" w:rsidRPr="00A1323A" w:rsidRDefault="000A5B9A" w:rsidP="0057285E">
            <w:pPr>
              <w:spacing w:before="0"/>
              <w:rPr>
                <w:rFonts w:ascii="Verdana" w:hAnsi="Verdana"/>
                <w:b/>
                <w:sz w:val="20"/>
              </w:rPr>
            </w:pPr>
            <w:r w:rsidRPr="00A1323A">
              <w:rPr>
                <w:rFonts w:ascii="Verdana" w:hAnsi="Verdana"/>
                <w:b/>
                <w:sz w:val="20"/>
              </w:rPr>
              <w:t>20 de septiembre de 2019</w:t>
            </w:r>
          </w:p>
        </w:tc>
      </w:tr>
      <w:tr w:rsidR="000A5B9A" w:rsidRPr="00A1323A" w14:paraId="2099A8C1" w14:textId="77777777" w:rsidTr="0057285E">
        <w:trPr>
          <w:cantSplit/>
        </w:trPr>
        <w:tc>
          <w:tcPr>
            <w:tcW w:w="6804" w:type="dxa"/>
          </w:tcPr>
          <w:p w14:paraId="271C53EA" w14:textId="77777777" w:rsidR="000A5B9A" w:rsidRPr="00A1323A" w:rsidRDefault="000A5B9A" w:rsidP="0057285E">
            <w:pPr>
              <w:spacing w:before="0" w:after="48"/>
              <w:rPr>
                <w:rFonts w:ascii="Verdana" w:hAnsi="Verdana"/>
                <w:b/>
                <w:smallCaps/>
                <w:sz w:val="20"/>
              </w:rPr>
            </w:pPr>
          </w:p>
        </w:tc>
        <w:tc>
          <w:tcPr>
            <w:tcW w:w="3227" w:type="dxa"/>
          </w:tcPr>
          <w:p w14:paraId="04CBFC45" w14:textId="77777777" w:rsidR="000A5B9A" w:rsidRPr="00A1323A" w:rsidRDefault="000A5B9A" w:rsidP="0057285E">
            <w:pPr>
              <w:spacing w:before="0"/>
              <w:rPr>
                <w:rFonts w:ascii="Verdana" w:hAnsi="Verdana"/>
                <w:b/>
                <w:sz w:val="20"/>
              </w:rPr>
            </w:pPr>
            <w:r w:rsidRPr="00A1323A">
              <w:rPr>
                <w:rFonts w:ascii="Verdana" w:hAnsi="Verdana"/>
                <w:b/>
                <w:sz w:val="20"/>
              </w:rPr>
              <w:t>Original: inglés</w:t>
            </w:r>
          </w:p>
        </w:tc>
      </w:tr>
      <w:tr w:rsidR="000A5B9A" w:rsidRPr="00A1323A" w14:paraId="081BE272" w14:textId="77777777" w:rsidTr="006744FC">
        <w:trPr>
          <w:cantSplit/>
        </w:trPr>
        <w:tc>
          <w:tcPr>
            <w:tcW w:w="10031" w:type="dxa"/>
            <w:gridSpan w:val="2"/>
          </w:tcPr>
          <w:p w14:paraId="41EBA4BE" w14:textId="77777777" w:rsidR="000A5B9A" w:rsidRPr="00A1323A" w:rsidRDefault="000A5B9A" w:rsidP="0057285E">
            <w:pPr>
              <w:spacing w:before="0"/>
              <w:rPr>
                <w:rFonts w:ascii="Verdana" w:hAnsi="Verdana"/>
                <w:b/>
                <w:sz w:val="20"/>
              </w:rPr>
            </w:pPr>
          </w:p>
        </w:tc>
      </w:tr>
      <w:tr w:rsidR="000A5B9A" w:rsidRPr="00A1323A" w14:paraId="72D691D7" w14:textId="77777777" w:rsidTr="0050008E">
        <w:trPr>
          <w:cantSplit/>
        </w:trPr>
        <w:tc>
          <w:tcPr>
            <w:tcW w:w="10031" w:type="dxa"/>
            <w:gridSpan w:val="2"/>
          </w:tcPr>
          <w:p w14:paraId="30CAE597" w14:textId="77777777" w:rsidR="000A5B9A" w:rsidRPr="00A1323A" w:rsidRDefault="000A5B9A" w:rsidP="0057285E">
            <w:pPr>
              <w:pStyle w:val="Source"/>
            </w:pPr>
            <w:bookmarkStart w:id="2" w:name="dsource" w:colFirst="0" w:colLast="0"/>
            <w:r w:rsidRPr="00A1323A">
              <w:t>Propuestas Comunes de la Telecomunidad Asia-Pacífico</w:t>
            </w:r>
          </w:p>
        </w:tc>
      </w:tr>
      <w:tr w:rsidR="000A5B9A" w:rsidRPr="00A1323A" w14:paraId="740D116D" w14:textId="77777777" w:rsidTr="0050008E">
        <w:trPr>
          <w:cantSplit/>
        </w:trPr>
        <w:tc>
          <w:tcPr>
            <w:tcW w:w="10031" w:type="dxa"/>
            <w:gridSpan w:val="2"/>
          </w:tcPr>
          <w:p w14:paraId="2CA5E9F4" w14:textId="45D72A6F" w:rsidR="000A5B9A" w:rsidRPr="00A1323A" w:rsidRDefault="0088610B" w:rsidP="0057285E">
            <w:pPr>
              <w:pStyle w:val="Title1"/>
            </w:pPr>
            <w:bookmarkStart w:id="3" w:name="dtitle1" w:colFirst="0" w:colLast="0"/>
            <w:bookmarkEnd w:id="2"/>
            <w:r w:rsidRPr="00A1323A">
              <w:t>PROPUESTAS PARA LOS TRABAJOS DE LA CONFERENCIA</w:t>
            </w:r>
          </w:p>
        </w:tc>
      </w:tr>
      <w:tr w:rsidR="000A5B9A" w:rsidRPr="00A1323A" w14:paraId="3F6F449B" w14:textId="77777777" w:rsidTr="0050008E">
        <w:trPr>
          <w:cantSplit/>
        </w:trPr>
        <w:tc>
          <w:tcPr>
            <w:tcW w:w="10031" w:type="dxa"/>
            <w:gridSpan w:val="2"/>
          </w:tcPr>
          <w:p w14:paraId="34626FFE" w14:textId="77777777" w:rsidR="000A5B9A" w:rsidRPr="00A1323A" w:rsidRDefault="000A5B9A" w:rsidP="0057285E">
            <w:pPr>
              <w:pStyle w:val="Title2"/>
            </w:pPr>
            <w:bookmarkStart w:id="4" w:name="dtitle2" w:colFirst="0" w:colLast="0"/>
            <w:bookmarkEnd w:id="3"/>
          </w:p>
        </w:tc>
      </w:tr>
      <w:tr w:rsidR="000A5B9A" w:rsidRPr="00A1323A" w14:paraId="016E4EB7" w14:textId="77777777" w:rsidTr="0050008E">
        <w:trPr>
          <w:cantSplit/>
        </w:trPr>
        <w:tc>
          <w:tcPr>
            <w:tcW w:w="10031" w:type="dxa"/>
            <w:gridSpan w:val="2"/>
          </w:tcPr>
          <w:p w14:paraId="2AA7C647" w14:textId="77777777" w:rsidR="000A5B9A" w:rsidRPr="00A1323A" w:rsidRDefault="000A5B9A" w:rsidP="0057285E">
            <w:pPr>
              <w:pStyle w:val="Agendaitem"/>
            </w:pPr>
            <w:bookmarkStart w:id="5" w:name="dtitle3" w:colFirst="0" w:colLast="0"/>
            <w:bookmarkEnd w:id="4"/>
            <w:r w:rsidRPr="00A1323A">
              <w:t>Punto 10 del orden del día</w:t>
            </w:r>
          </w:p>
        </w:tc>
      </w:tr>
    </w:tbl>
    <w:bookmarkEnd w:id="5"/>
    <w:p w14:paraId="31412B7B" w14:textId="3EE6B603" w:rsidR="00597177" w:rsidRPr="00A1323A" w:rsidRDefault="00301B7D" w:rsidP="0057285E">
      <w:r w:rsidRPr="00A1323A">
        <w:t>10</w:t>
      </w:r>
      <w:r w:rsidRPr="00A1323A">
        <w:tab/>
        <w:t>recomendar al Consejo los puntos que han de incluirse en el orden del día de la próxima CMR, y formular opiniones sobre el orden del día preliminar de la conferencia subsiguiente y sobre los posibles órdenes del día de futuras conferencias,</w:t>
      </w:r>
    </w:p>
    <w:p w14:paraId="2C2DCD26" w14:textId="33E03CB5" w:rsidR="00363A65" w:rsidRPr="00A1323A" w:rsidRDefault="0088610B" w:rsidP="0057285E">
      <w:pPr>
        <w:pStyle w:val="Headingb"/>
      </w:pPr>
      <w:r w:rsidRPr="00A1323A">
        <w:t>Introducción</w:t>
      </w:r>
    </w:p>
    <w:p w14:paraId="3C85BEA0" w14:textId="66CAC0EB" w:rsidR="00EA09AB" w:rsidRPr="00A1323A" w:rsidRDefault="001237C0" w:rsidP="0057285E">
      <w:r w:rsidRPr="00A1323A">
        <w:t xml:space="preserve">Los Miembros de la </w:t>
      </w:r>
      <w:r w:rsidR="00EA09AB" w:rsidRPr="00A1323A">
        <w:t xml:space="preserve">APT </w:t>
      </w:r>
      <w:r w:rsidRPr="00A1323A">
        <w:t>apoyan la inclusión del siguiente punto en el orden del día de la CMR</w:t>
      </w:r>
      <w:r w:rsidR="00EA09AB" w:rsidRPr="00A1323A">
        <w:t>-23:</w:t>
      </w:r>
    </w:p>
    <w:p w14:paraId="17A046DE" w14:textId="633BCBD4" w:rsidR="0088610B" w:rsidRPr="00A1323A" w:rsidRDefault="0088610B" w:rsidP="0057285E">
      <w:pPr>
        <w:pStyle w:val="enumlev1"/>
      </w:pPr>
      <w:r w:rsidRPr="00A1323A">
        <w:t>–</w:t>
      </w:r>
      <w:r w:rsidRPr="00A1323A">
        <w:tab/>
        <w:t xml:space="preserve">Considerar una atribución al SMA(R)S para el enlace ascendente y el enlace descendente de las </w:t>
      </w:r>
      <w:r w:rsidR="00BC1B4A" w:rsidRPr="00A1323A">
        <w:t>aplicaciones</w:t>
      </w:r>
      <w:r w:rsidRPr="00A1323A">
        <w:t xml:space="preserve"> aeronáuticas en ondas métricas en la banda de frecuencias 117,975-137 MHz, asegurando de que no se generarán interferencias perjudiciales o establecerán restricciones adicionales con respecto de los servicios titulares en las mismas bandas y las adyacentes, particularmente el SMA(R)S en la banda (117,975-137 MHz) y el SRNA en la banda (108-117,975 MHz).</w:t>
      </w:r>
    </w:p>
    <w:p w14:paraId="7423FEDF" w14:textId="77777777" w:rsidR="008750A8" w:rsidRPr="00A1323A" w:rsidRDefault="008750A8" w:rsidP="0057285E">
      <w:pPr>
        <w:tabs>
          <w:tab w:val="clear" w:pos="1134"/>
          <w:tab w:val="clear" w:pos="1871"/>
          <w:tab w:val="clear" w:pos="2268"/>
        </w:tabs>
        <w:overflowPunct/>
        <w:autoSpaceDE/>
        <w:autoSpaceDN/>
        <w:adjustRightInd/>
        <w:spacing w:before="0"/>
        <w:textAlignment w:val="auto"/>
      </w:pPr>
      <w:r w:rsidRPr="00A1323A">
        <w:br w:type="page"/>
      </w:r>
    </w:p>
    <w:p w14:paraId="6777745C" w14:textId="77777777" w:rsidR="0057285E" w:rsidRPr="00A1323A" w:rsidRDefault="0057285E" w:rsidP="0057285E">
      <w:pPr>
        <w:pStyle w:val="Headingb"/>
      </w:pPr>
      <w:r w:rsidRPr="00A1323A">
        <w:lastRenderedPageBreak/>
        <w:t>Propuestas</w:t>
      </w:r>
    </w:p>
    <w:p w14:paraId="23F5A993" w14:textId="77777777" w:rsidR="00BA2F30" w:rsidRPr="00A1323A" w:rsidRDefault="00301B7D" w:rsidP="0057285E">
      <w:pPr>
        <w:pStyle w:val="Proposal"/>
      </w:pPr>
      <w:r w:rsidRPr="00A1323A">
        <w:t>ADD</w:t>
      </w:r>
      <w:r w:rsidRPr="00A1323A">
        <w:tab/>
        <w:t>ACP/24A24A6/1</w:t>
      </w:r>
    </w:p>
    <w:p w14:paraId="227729EC" w14:textId="16995132" w:rsidR="00BA2F30" w:rsidRPr="00A1323A" w:rsidRDefault="00301B7D" w:rsidP="0057285E">
      <w:pPr>
        <w:pStyle w:val="ResNo"/>
      </w:pPr>
      <w:r w:rsidRPr="00A1323A">
        <w:t>Proyecto de nueva Resolución [ACP-A10-WRC23]</w:t>
      </w:r>
      <w:r w:rsidR="00EA7D4F" w:rsidRPr="00A1323A">
        <w:t xml:space="preserve"> (cmr-19)</w:t>
      </w:r>
    </w:p>
    <w:p w14:paraId="5688BF3D" w14:textId="77777777" w:rsidR="00EA7D4F" w:rsidRPr="00A1323A" w:rsidRDefault="00EA7D4F" w:rsidP="0057285E">
      <w:pPr>
        <w:pStyle w:val="Restitle"/>
      </w:pPr>
      <w:r w:rsidRPr="00A1323A">
        <w:t>Orden del día de la Conferencia Mundial de Radiocomunicaciones de 2023</w:t>
      </w:r>
    </w:p>
    <w:p w14:paraId="1B8F23CA" w14:textId="0105B19E" w:rsidR="00EA7D4F" w:rsidRPr="00A1323A" w:rsidRDefault="00EA7D4F" w:rsidP="0057285E">
      <w:pPr>
        <w:pStyle w:val="Normalaftertitle"/>
      </w:pPr>
      <w:r w:rsidRPr="00A1323A">
        <w:t>La Conferencia Mundial de Radiocomunicaciones (Sharm el-Sheikh, 2019),</w:t>
      </w:r>
    </w:p>
    <w:p w14:paraId="527BB49E" w14:textId="1DD75965" w:rsidR="00EA7D4F" w:rsidRPr="00A1323A" w:rsidRDefault="00EA7D4F" w:rsidP="0057285E">
      <w:r w:rsidRPr="00A1323A">
        <w:t>...</w:t>
      </w:r>
    </w:p>
    <w:p w14:paraId="440A905F" w14:textId="266DB587" w:rsidR="00926954" w:rsidRPr="00A1323A" w:rsidRDefault="00EA7D4F" w:rsidP="0057285E">
      <w:r w:rsidRPr="00A1323A">
        <w:t>1.x</w:t>
      </w:r>
      <w:r w:rsidRPr="00A1323A">
        <w:tab/>
      </w:r>
      <w:r w:rsidR="00926954" w:rsidRPr="00A1323A">
        <w:t xml:space="preserve">Considerar una atribución al servicio móvil aeronáutico por satélite (SMA(R)S) de conformidad con la Resolución </w:t>
      </w:r>
      <w:r w:rsidR="00926954" w:rsidRPr="00A1323A">
        <w:rPr>
          <w:b/>
        </w:rPr>
        <w:t>[ACP-F10-SPACE BASED VHF]</w:t>
      </w:r>
      <w:r w:rsidR="00926954" w:rsidRPr="00A1323A">
        <w:t xml:space="preserve"> </w:t>
      </w:r>
      <w:r w:rsidR="00926954" w:rsidRPr="00A1323A">
        <w:rPr>
          <w:b/>
          <w:bCs/>
        </w:rPr>
        <w:t xml:space="preserve">(CMR-19) </w:t>
      </w:r>
      <w:r w:rsidR="00926954" w:rsidRPr="00A1323A">
        <w:t>para el enlace ascendente y el enlace descendente de las aplicaciones aeronáuticas en ondas métricas en la banda de frecuencias 117,975-137 MHz, asegurando de que no se generarán interferencias perjudiciales o establecerán restricciones adicionales con respecto de los servicios titulares en las mismas bandas y las adyacentes, particularmente el SMA(R)S en la banda (117,975-137 MHz) y el servicio de radionavegación aeronáutica (SRNA) en la banda (108-117,975 MHz);</w:t>
      </w:r>
    </w:p>
    <w:p w14:paraId="59D9CB51" w14:textId="56C4CC6C" w:rsidR="0057285E" w:rsidRPr="00A1323A" w:rsidRDefault="0057285E" w:rsidP="0057285E">
      <w:r w:rsidRPr="00A1323A">
        <w:t>...</w:t>
      </w:r>
    </w:p>
    <w:p w14:paraId="085BE1FC" w14:textId="01E85442" w:rsidR="00EA7D4F" w:rsidRPr="00A1323A" w:rsidRDefault="00EA7D4F" w:rsidP="0057285E">
      <w:pPr>
        <w:pStyle w:val="Reasons"/>
        <w:rPr>
          <w:b/>
          <w:bCs/>
        </w:rPr>
      </w:pPr>
      <w:r w:rsidRPr="00A1323A">
        <w:rPr>
          <w:b/>
          <w:bCs/>
        </w:rPr>
        <w:t xml:space="preserve">Motivos: </w:t>
      </w:r>
      <w:r w:rsidR="00DF220D" w:rsidRPr="00A1323A">
        <w:t>Pro</w:t>
      </w:r>
      <w:r w:rsidR="00926954" w:rsidRPr="00A1323A">
        <w:t>puesta de nuevo punto del orden del día para la CMR</w:t>
      </w:r>
      <w:r w:rsidR="00DF220D" w:rsidRPr="00A1323A">
        <w:t xml:space="preserve">-23 </w:t>
      </w:r>
      <w:r w:rsidR="00926954" w:rsidRPr="00A1323A">
        <w:t xml:space="preserve">para considerar una atribución al </w:t>
      </w:r>
      <w:r w:rsidR="00DF220D" w:rsidRPr="00A1323A">
        <w:t xml:space="preserve">AMS(R)S </w:t>
      </w:r>
      <w:r w:rsidR="00926954" w:rsidRPr="00A1323A">
        <w:t xml:space="preserve">para el enlace ascendente y el enlace descendente en la banda de frecuencias </w:t>
      </w:r>
      <w:r w:rsidR="00DF220D" w:rsidRPr="00A1323A">
        <w:t>117</w:t>
      </w:r>
      <w:r w:rsidR="00926954" w:rsidRPr="00A1323A">
        <w:t>,</w:t>
      </w:r>
      <w:r w:rsidR="00DF220D" w:rsidRPr="00A1323A">
        <w:t>975-137 MHz.</w:t>
      </w:r>
    </w:p>
    <w:p w14:paraId="2E3997D6" w14:textId="77777777" w:rsidR="00BA2F30" w:rsidRPr="00A1323A" w:rsidRDefault="00301B7D" w:rsidP="0057285E">
      <w:pPr>
        <w:pStyle w:val="Proposal"/>
      </w:pPr>
      <w:r w:rsidRPr="00A1323A">
        <w:t>ADD</w:t>
      </w:r>
      <w:r w:rsidRPr="00A1323A">
        <w:tab/>
        <w:t>ACP/24A24A6/2</w:t>
      </w:r>
    </w:p>
    <w:p w14:paraId="1C1D89EB" w14:textId="4A231F6E" w:rsidR="00BA2F30" w:rsidRPr="00A1323A" w:rsidRDefault="00301B7D" w:rsidP="0057285E">
      <w:pPr>
        <w:pStyle w:val="ResNo"/>
      </w:pPr>
      <w:r w:rsidRPr="00A1323A">
        <w:t>Proyecto de nueva Resolución [ACP-F10-SPACE BASED VHF]</w:t>
      </w:r>
      <w:r w:rsidR="00EB4449" w:rsidRPr="00A1323A">
        <w:t xml:space="preserve"> (cmr</w:t>
      </w:r>
      <w:r w:rsidR="0057285E" w:rsidRPr="00A1323A">
        <w:noBreakHyphen/>
      </w:r>
      <w:r w:rsidR="00EB4449" w:rsidRPr="00A1323A">
        <w:t>19)</w:t>
      </w:r>
    </w:p>
    <w:p w14:paraId="191AECE5" w14:textId="08295469" w:rsidR="000D25F5" w:rsidRPr="00A1323A" w:rsidRDefault="00926954" w:rsidP="0057285E">
      <w:pPr>
        <w:pStyle w:val="Restitle"/>
      </w:pPr>
      <w:r w:rsidRPr="00A1323A">
        <w:t>Aplicaciones</w:t>
      </w:r>
      <w:r w:rsidR="000D25F5" w:rsidRPr="00A1323A">
        <w:t xml:space="preserve"> en ondas métricas (VHF) basadas en el </w:t>
      </w:r>
      <w:r w:rsidR="000D25F5" w:rsidRPr="00A1323A">
        <w:br/>
        <w:t>espacio en la banda de frecuencias 117,975-137 MHz</w:t>
      </w:r>
    </w:p>
    <w:p w14:paraId="38FEDCD7" w14:textId="77777777" w:rsidR="000D25F5" w:rsidRPr="00A1323A" w:rsidRDefault="000D25F5" w:rsidP="0057285E">
      <w:pPr>
        <w:pStyle w:val="Normalaftertitle"/>
      </w:pPr>
      <w:r w:rsidRPr="00A1323A">
        <w:t>La Conferencia Mundial de Radiocomunicaciones (Sharm el-Sheikh, 2019),</w:t>
      </w:r>
    </w:p>
    <w:p w14:paraId="246B012B" w14:textId="77777777" w:rsidR="000D25F5" w:rsidRPr="00A1323A" w:rsidRDefault="000D25F5" w:rsidP="0057285E">
      <w:pPr>
        <w:pStyle w:val="Call"/>
      </w:pPr>
      <w:r w:rsidRPr="00A1323A">
        <w:t>considerando</w:t>
      </w:r>
    </w:p>
    <w:p w14:paraId="38189907" w14:textId="77777777" w:rsidR="000D25F5" w:rsidRPr="00A1323A" w:rsidRDefault="000D25F5" w:rsidP="0057285E">
      <w:r w:rsidRPr="00A1323A">
        <w:rPr>
          <w:i/>
        </w:rPr>
        <w:t>a)</w:t>
      </w:r>
      <w:r w:rsidRPr="00A1323A">
        <w:tab/>
        <w:t>que los servicios vocales aeronáuticos en ondas métricas basados en el espacio permitirán comunicaciones directas controlador-piloto (DCPC) en el espacio aéreo en áreas geográficamente remotas o donde el costo de proporcionar y mantener servicios de voz terrenales en ondas métricas sea prohibitivo;</w:t>
      </w:r>
    </w:p>
    <w:p w14:paraId="22B3632F" w14:textId="77777777" w:rsidR="000D25F5" w:rsidRPr="00A1323A" w:rsidRDefault="000D25F5" w:rsidP="0057285E">
      <w:r w:rsidRPr="00A1323A">
        <w:rPr>
          <w:i/>
        </w:rPr>
        <w:t>b)</w:t>
      </w:r>
      <w:r w:rsidRPr="00A1323A">
        <w:tab/>
        <w:t>que cuando se utiliza en combinación con sistemas globales de seguimiento de vuelos, la tecnología aeronáutica en ondas métricas basada en el espacio puede usarse para apoyar mínimas de separación tipo radar y tiene el potencial de mejorar la capacidad y la eficiencia del espacio aéreo, en particular el espacio aéreo remoto y oceánico;</w:t>
      </w:r>
    </w:p>
    <w:p w14:paraId="56F0BA0B" w14:textId="77777777" w:rsidR="000D25F5" w:rsidRPr="00A1323A" w:rsidRDefault="000D25F5" w:rsidP="0057285E">
      <w:pPr>
        <w:rPr>
          <w:i/>
        </w:rPr>
      </w:pPr>
      <w:r w:rsidRPr="00A1323A">
        <w:rPr>
          <w:i/>
        </w:rPr>
        <w:t>c)</w:t>
      </w:r>
      <w:r w:rsidRPr="00A1323A">
        <w:tab/>
        <w:t>que la tecnología también podría ser útil como infraestructura de comunicaciones de contingencia para espacios aéreos afectados por desastres naturales, como inundaciones y terremotos;</w:t>
      </w:r>
    </w:p>
    <w:p w14:paraId="6C1E2C22" w14:textId="77777777" w:rsidR="000D25F5" w:rsidRPr="00A1323A" w:rsidRDefault="000D25F5" w:rsidP="0057285E">
      <w:pPr>
        <w:rPr>
          <w:i/>
        </w:rPr>
      </w:pPr>
      <w:r w:rsidRPr="00A1323A">
        <w:rPr>
          <w:i/>
        </w:rPr>
        <w:lastRenderedPageBreak/>
        <w:t>d)</w:t>
      </w:r>
      <w:r w:rsidRPr="00A1323A">
        <w:tab/>
        <w:t>que la banda de frecuencias para la recepción por medio de satélite de la información de vigilancia y posición de las aeronaves se ha atribuido en la CMR-15 para permitir servicios de seguimiento de vuelos a nivel mundial;</w:t>
      </w:r>
    </w:p>
    <w:p w14:paraId="5C900305" w14:textId="77777777" w:rsidR="000D25F5" w:rsidRPr="00A1323A" w:rsidRDefault="000D25F5" w:rsidP="0057285E">
      <w:pPr>
        <w:rPr>
          <w:i/>
        </w:rPr>
      </w:pPr>
      <w:r w:rsidRPr="00A1323A">
        <w:rPr>
          <w:i/>
        </w:rPr>
        <w:t>e)</w:t>
      </w:r>
      <w:r w:rsidRPr="00A1323A">
        <w:tab/>
        <w:t>actualmente, la banda de frecuencias de ondas métricas AM(R)S (117,975-137 MHz) es utilizada por las comunicaciones del tráfico aéreo y de comunicación operacional de las líneas aéreas en el espacio aéreo terrestre, y los canales en ondas métricas se saturan en algunas áreas congestionadas de tráfico aéreo del mundo,</w:t>
      </w:r>
    </w:p>
    <w:p w14:paraId="1BD0BB99" w14:textId="77777777" w:rsidR="000D25F5" w:rsidRPr="00A1323A" w:rsidRDefault="000D25F5" w:rsidP="0057285E">
      <w:pPr>
        <w:pStyle w:val="Call"/>
      </w:pPr>
      <w:r w:rsidRPr="00A1323A">
        <w:t>reconociendo</w:t>
      </w:r>
    </w:p>
    <w:p w14:paraId="31B99BD3" w14:textId="51158161" w:rsidR="000D25F5" w:rsidRPr="00A1323A" w:rsidRDefault="000D25F5" w:rsidP="0057285E">
      <w:r w:rsidRPr="00A1323A">
        <w:rPr>
          <w:i/>
          <w:iCs/>
        </w:rPr>
        <w:t>a)</w:t>
      </w:r>
      <w:r w:rsidRPr="00A1323A">
        <w:tab/>
        <w:t>que la banda de ondas métricas de interés se atribuye en el Reglamento de Radiocomunicaciones (RR) para aplicaciones aeronáuticas,</w:t>
      </w:r>
    </w:p>
    <w:p w14:paraId="389BACD1" w14:textId="77777777" w:rsidR="000D25F5" w:rsidRPr="00A1323A" w:rsidRDefault="000D25F5" w:rsidP="0057285E">
      <w:pPr>
        <w:pStyle w:val="Call"/>
      </w:pPr>
      <w:r w:rsidRPr="00A1323A">
        <w:t>tomando nota</w:t>
      </w:r>
    </w:p>
    <w:p w14:paraId="4741AC7C" w14:textId="77777777" w:rsidR="000D25F5" w:rsidRPr="00A1323A" w:rsidRDefault="000D25F5" w:rsidP="0057285E">
      <w:r w:rsidRPr="00A1323A">
        <w:rPr>
          <w:i/>
        </w:rPr>
        <w:t>a)</w:t>
      </w:r>
      <w:r w:rsidRPr="00A1323A">
        <w:tab/>
        <w:t>de que la banda aeronáutica de ondas métricas es la principal banda de radiocomunicaciones utilizada por los centros de control de aeronaves y del tráfico aéreo para las comunicaciones de voz aire-tierra durante el vuelo, el acercamiento y el aterrizaje;</w:t>
      </w:r>
    </w:p>
    <w:p w14:paraId="3D82F3BA" w14:textId="77777777" w:rsidR="000D25F5" w:rsidRPr="00A1323A" w:rsidRDefault="000D25F5" w:rsidP="0057285E">
      <w:r w:rsidRPr="00A1323A">
        <w:rPr>
          <w:i/>
          <w:iCs/>
        </w:rPr>
        <w:t>b)</w:t>
      </w:r>
      <w:r w:rsidRPr="00A1323A">
        <w:tab/>
        <w:t>que existen normas y prácticas recomendadas (SARP) desarrolladas por la OACI que detallan los criterios de planificación de la asignación de frecuencias para los sistemas de comunicación aire-tierra de ondas métricas,</w:t>
      </w:r>
    </w:p>
    <w:p w14:paraId="63CD08E0" w14:textId="77777777" w:rsidR="000D25F5" w:rsidRPr="00A1323A" w:rsidRDefault="000D25F5" w:rsidP="0057285E">
      <w:pPr>
        <w:pStyle w:val="Call"/>
      </w:pPr>
      <w:r w:rsidRPr="00A1323A">
        <w:t>resuelve invitar al UIT</w:t>
      </w:r>
      <w:r w:rsidRPr="00A1323A">
        <w:noBreakHyphen/>
        <w:t>R</w:t>
      </w:r>
    </w:p>
    <w:p w14:paraId="4BDA5F34" w14:textId="77777777" w:rsidR="000D25F5" w:rsidRPr="00A1323A" w:rsidRDefault="000D25F5" w:rsidP="0057285E">
      <w:r w:rsidRPr="00A1323A">
        <w:t>1</w:t>
      </w:r>
      <w:r w:rsidRPr="00A1323A">
        <w:tab/>
        <w:t>a llevar a cabo, a tiempo para la CMR-23, los estudios de compartición necesarios para los sistemas titulares que operan en las mismas bandas de frecuencias adyacentes, con el objetivo de determinar cualquier protección reglamentaria necesaria que pueda proporcionarse sin establecer restricciones indebidas a los servicios titulares existentes;</w:t>
      </w:r>
    </w:p>
    <w:p w14:paraId="138321F7" w14:textId="77777777" w:rsidR="000D25F5" w:rsidRPr="00A1323A" w:rsidRDefault="000D25F5" w:rsidP="0057285E">
      <w:r w:rsidRPr="00A1323A">
        <w:t>2</w:t>
      </w:r>
      <w:r w:rsidRPr="00A1323A">
        <w:tab/>
        <w:t>a desarrollar las recomendaciones e informes del UIT</w:t>
      </w:r>
      <w:r w:rsidRPr="00A1323A">
        <w:noBreakHyphen/>
        <w:t xml:space="preserve">R, según corresponda, teniendo en cuenta el </w:t>
      </w:r>
      <w:r w:rsidRPr="00A1323A">
        <w:rPr>
          <w:i/>
          <w:iCs/>
        </w:rPr>
        <w:t>resuelve invitar al UIT</w:t>
      </w:r>
      <w:r w:rsidRPr="00A1323A">
        <w:rPr>
          <w:i/>
          <w:iCs/>
        </w:rPr>
        <w:noBreakHyphen/>
        <w:t>R</w:t>
      </w:r>
      <w:r w:rsidRPr="00A1323A">
        <w:t xml:space="preserve"> 1 anterior,</w:t>
      </w:r>
    </w:p>
    <w:p w14:paraId="28BAAC91" w14:textId="77777777" w:rsidR="000D25F5" w:rsidRPr="00A1323A" w:rsidRDefault="000D25F5" w:rsidP="0057285E">
      <w:pPr>
        <w:pStyle w:val="Call"/>
      </w:pPr>
      <w:r w:rsidRPr="00A1323A">
        <w:t>resuelve además invitar a la CMR</w:t>
      </w:r>
      <w:r w:rsidRPr="00A1323A">
        <w:noBreakHyphen/>
        <w:t>23</w:t>
      </w:r>
    </w:p>
    <w:p w14:paraId="1C7AF41F" w14:textId="77777777" w:rsidR="000D25F5" w:rsidRPr="00A1323A" w:rsidRDefault="000D25F5" w:rsidP="0057285E">
      <w:r w:rsidRPr="00A1323A">
        <w:t>a que, teniendo en cuenta los resultados de los estudios arriba mencionados y sin establecer restricciones adicionales a los servicios titulares, considere las disposiciones reglamentarias necesarias según sea el caso.</w:t>
      </w:r>
    </w:p>
    <w:p w14:paraId="33F3FAA4" w14:textId="16492EC9" w:rsidR="000D25F5" w:rsidRPr="00A1323A" w:rsidRDefault="000D25F5" w:rsidP="0057285E">
      <w:pPr>
        <w:pStyle w:val="Reasons"/>
      </w:pPr>
      <w:r w:rsidRPr="00A1323A">
        <w:rPr>
          <w:b/>
        </w:rPr>
        <w:t>Motivos</w:t>
      </w:r>
      <w:r w:rsidRPr="00A1323A">
        <w:rPr>
          <w:bCs/>
        </w:rPr>
        <w:t>:</w:t>
      </w:r>
      <w:r w:rsidRPr="00A1323A">
        <w:rPr>
          <w:bCs/>
        </w:rPr>
        <w:tab/>
      </w:r>
      <w:r w:rsidRPr="00A1323A">
        <w:t>Véase el siguiente cuadro.</w:t>
      </w:r>
    </w:p>
    <w:p w14:paraId="10948FFE" w14:textId="2E64B4E1" w:rsidR="0057285E" w:rsidRPr="00A1323A" w:rsidRDefault="0057285E">
      <w:pPr>
        <w:tabs>
          <w:tab w:val="clear" w:pos="1134"/>
          <w:tab w:val="clear" w:pos="1871"/>
          <w:tab w:val="clear" w:pos="2268"/>
        </w:tabs>
        <w:overflowPunct/>
        <w:autoSpaceDE/>
        <w:autoSpaceDN/>
        <w:adjustRightInd/>
        <w:spacing w:before="0"/>
        <w:textAlignment w:val="auto"/>
      </w:pPr>
      <w:r w:rsidRPr="00A1323A">
        <w:br w:type="page"/>
      </w:r>
    </w:p>
    <w:tbl>
      <w:tblPr>
        <w:tblW w:w="9639" w:type="dxa"/>
        <w:tblInd w:w="99" w:type="dxa"/>
        <w:tblBorders>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79"/>
        <w:gridCol w:w="5060"/>
      </w:tblGrid>
      <w:tr w:rsidR="00301B7D" w:rsidRPr="00166E13" w14:paraId="38E7BF7C" w14:textId="77777777" w:rsidTr="0096374E">
        <w:tc>
          <w:tcPr>
            <w:tcW w:w="9639" w:type="dxa"/>
            <w:gridSpan w:val="2"/>
            <w:tcBorders>
              <w:top w:val="nil"/>
              <w:bottom w:val="nil"/>
            </w:tcBorders>
          </w:tcPr>
          <w:p w14:paraId="24E9D045" w14:textId="192477AF" w:rsidR="00301B7D" w:rsidRPr="00166E13" w:rsidRDefault="00301B7D" w:rsidP="0096374E">
            <w:pPr>
              <w:spacing w:after="120"/>
              <w:rPr>
                <w:szCs w:val="24"/>
              </w:rPr>
            </w:pPr>
            <w:r w:rsidRPr="00166E13">
              <w:rPr>
                <w:b/>
                <w:i/>
                <w:iCs/>
                <w:szCs w:val="24"/>
              </w:rPr>
              <w:lastRenderedPageBreak/>
              <w:t>Tema</w:t>
            </w:r>
            <w:r w:rsidRPr="00166E13">
              <w:rPr>
                <w:i/>
                <w:iCs/>
                <w:szCs w:val="24"/>
              </w:rPr>
              <w:t>:</w:t>
            </w:r>
            <w:r w:rsidR="00166E13">
              <w:rPr>
                <w:szCs w:val="24"/>
              </w:rPr>
              <w:t xml:space="preserve"> </w:t>
            </w:r>
            <w:r w:rsidRPr="00166E13">
              <w:rPr>
                <w:szCs w:val="24"/>
              </w:rPr>
              <w:t>Propuesta del punto 10 del orden del día de la CMR-19 para considerar la identificación de</w:t>
            </w:r>
            <w:r w:rsidRPr="00166E13">
              <w:rPr>
                <w:b/>
                <w:szCs w:val="24"/>
              </w:rPr>
              <w:t xml:space="preserve"> </w:t>
            </w:r>
            <w:r w:rsidRPr="00166E13">
              <w:rPr>
                <w:szCs w:val="24"/>
              </w:rPr>
              <w:t xml:space="preserve">bandas de frecuencias de ondas métricas para las </w:t>
            </w:r>
            <w:r w:rsidR="00926954" w:rsidRPr="00166E13">
              <w:rPr>
                <w:szCs w:val="24"/>
              </w:rPr>
              <w:t>aplicaciones</w:t>
            </w:r>
            <w:r w:rsidRPr="00166E13">
              <w:rPr>
                <w:szCs w:val="24"/>
              </w:rPr>
              <w:t xml:space="preserve"> aeronáuticas basadas en el espacio en la CMR-23</w:t>
            </w:r>
          </w:p>
        </w:tc>
      </w:tr>
      <w:tr w:rsidR="00301B7D" w:rsidRPr="00166E13" w14:paraId="63146F1B" w14:textId="77777777" w:rsidTr="0096374E">
        <w:trPr>
          <w:trHeight w:val="152"/>
        </w:trPr>
        <w:tc>
          <w:tcPr>
            <w:tcW w:w="9639" w:type="dxa"/>
            <w:gridSpan w:val="2"/>
            <w:tcBorders>
              <w:top w:val="nil"/>
            </w:tcBorders>
          </w:tcPr>
          <w:p w14:paraId="2DA9B869" w14:textId="388C1C74" w:rsidR="00301B7D" w:rsidRPr="00166E13" w:rsidRDefault="00301B7D" w:rsidP="0096374E">
            <w:pPr>
              <w:spacing w:after="120"/>
              <w:rPr>
                <w:szCs w:val="24"/>
              </w:rPr>
            </w:pPr>
            <w:r w:rsidRPr="00166E13">
              <w:rPr>
                <w:b/>
                <w:bCs/>
                <w:i/>
                <w:szCs w:val="24"/>
              </w:rPr>
              <w:t>Origen:</w:t>
            </w:r>
            <w:r w:rsidRPr="00166E13">
              <w:rPr>
                <w:szCs w:val="24"/>
              </w:rPr>
              <w:t xml:space="preserve"> </w:t>
            </w:r>
            <w:r w:rsidR="00926954" w:rsidRPr="00166E13">
              <w:rPr>
                <w:szCs w:val="24"/>
              </w:rPr>
              <w:t xml:space="preserve">Telecomunidad </w:t>
            </w:r>
            <w:r w:rsidR="00DF220D" w:rsidRPr="00166E13">
              <w:rPr>
                <w:bCs/>
                <w:szCs w:val="24"/>
              </w:rPr>
              <w:t>Asia-Pac</w:t>
            </w:r>
            <w:r w:rsidR="00926954" w:rsidRPr="00166E13">
              <w:rPr>
                <w:bCs/>
                <w:szCs w:val="24"/>
              </w:rPr>
              <w:t>ífico</w:t>
            </w:r>
            <w:r w:rsidR="00DF220D" w:rsidRPr="00166E13">
              <w:rPr>
                <w:bCs/>
                <w:szCs w:val="24"/>
              </w:rPr>
              <w:t xml:space="preserve"> (APT)</w:t>
            </w:r>
          </w:p>
        </w:tc>
      </w:tr>
      <w:tr w:rsidR="00301B7D" w:rsidRPr="00166E13" w14:paraId="63ACF490" w14:textId="77777777" w:rsidTr="003662A2">
        <w:trPr>
          <w:trHeight w:val="416"/>
        </w:trPr>
        <w:tc>
          <w:tcPr>
            <w:tcW w:w="9639" w:type="dxa"/>
            <w:gridSpan w:val="2"/>
          </w:tcPr>
          <w:p w14:paraId="21F74C48" w14:textId="77777777" w:rsidR="00301B7D" w:rsidRPr="00166E13" w:rsidRDefault="00301B7D" w:rsidP="0096374E">
            <w:pPr>
              <w:spacing w:after="120"/>
              <w:rPr>
                <w:b/>
                <w:bCs/>
                <w:i/>
                <w:iCs/>
                <w:szCs w:val="24"/>
              </w:rPr>
            </w:pPr>
            <w:r w:rsidRPr="00166E13">
              <w:rPr>
                <w:b/>
                <w:bCs/>
                <w:i/>
                <w:iCs/>
                <w:szCs w:val="24"/>
              </w:rPr>
              <w:t>Propuesta:</w:t>
            </w:r>
          </w:p>
          <w:p w14:paraId="27362818" w14:textId="4DFBDF1B" w:rsidR="00301B7D" w:rsidRPr="00166E13" w:rsidRDefault="00301B7D" w:rsidP="0096374E">
            <w:pPr>
              <w:spacing w:after="120"/>
              <w:rPr>
                <w:szCs w:val="24"/>
              </w:rPr>
            </w:pPr>
            <w:r w:rsidRPr="00166E13">
              <w:rPr>
                <w:szCs w:val="24"/>
              </w:rPr>
              <w:t xml:space="preserve">Considerar una atribución al SMA(R)S para el enlace ascendente y el enlace descendente de las </w:t>
            </w:r>
            <w:r w:rsidR="00926954" w:rsidRPr="00166E13">
              <w:rPr>
                <w:szCs w:val="24"/>
              </w:rPr>
              <w:t>aplicaciones</w:t>
            </w:r>
            <w:r w:rsidRPr="00166E13">
              <w:rPr>
                <w:szCs w:val="24"/>
              </w:rPr>
              <w:t xml:space="preserve"> aeronáuticas en ondas métricas en la banda de frecuencias 117,975-137 MHz, asegurando de que no se generarán interferencias perjudiciales o establecerán restricciones adicionales con respecto de los servicios titulares en las mismas bandas y las adyacentes, particularmente el SMA(R)S en la banda (117,975-137 MHz) y el SRNA en la banda (108</w:t>
            </w:r>
            <w:r w:rsidR="0057285E" w:rsidRPr="00166E13">
              <w:rPr>
                <w:szCs w:val="24"/>
              </w:rPr>
              <w:noBreakHyphen/>
            </w:r>
            <w:r w:rsidRPr="00166E13">
              <w:rPr>
                <w:szCs w:val="24"/>
              </w:rPr>
              <w:t>117,975 MHz). La coordinación de asignación de frecuencias la efectuará la OACI según su práctica actual.</w:t>
            </w:r>
          </w:p>
        </w:tc>
      </w:tr>
      <w:tr w:rsidR="00301B7D" w:rsidRPr="00166E13" w14:paraId="087BF8CC" w14:textId="77777777" w:rsidTr="0057285E">
        <w:trPr>
          <w:trHeight w:val="3482"/>
        </w:trPr>
        <w:tc>
          <w:tcPr>
            <w:tcW w:w="9639" w:type="dxa"/>
            <w:gridSpan w:val="2"/>
          </w:tcPr>
          <w:p w14:paraId="7D2F1BF7" w14:textId="77777777" w:rsidR="00301B7D" w:rsidRPr="00166E13" w:rsidRDefault="00301B7D" w:rsidP="0096374E">
            <w:pPr>
              <w:spacing w:after="120"/>
              <w:rPr>
                <w:b/>
                <w:bCs/>
                <w:i/>
                <w:iCs/>
                <w:szCs w:val="24"/>
              </w:rPr>
            </w:pPr>
            <w:r w:rsidRPr="00166E13">
              <w:rPr>
                <w:b/>
                <w:bCs/>
                <w:i/>
                <w:iCs/>
                <w:szCs w:val="24"/>
              </w:rPr>
              <w:t>Antecedentes/motivos:</w:t>
            </w:r>
          </w:p>
          <w:p w14:paraId="1350C2E7" w14:textId="77777777" w:rsidR="00301B7D" w:rsidRPr="00166E13" w:rsidRDefault="00301B7D" w:rsidP="0096374E">
            <w:pPr>
              <w:spacing w:after="120"/>
              <w:rPr>
                <w:szCs w:val="24"/>
              </w:rPr>
            </w:pPr>
            <w:r w:rsidRPr="00166E13">
              <w:rPr>
                <w:szCs w:val="24"/>
              </w:rPr>
              <w:t>Los servicios vocales aeronáuticos en ondas métricas basados en el espacio permitirán comunicaciones directas controlador-piloto («DCPC») en el espacio aéreo en áreas geográficamente remotas o donde el costo de proporcionar y mantener servicios de voz terrenales en ondas métricas sea prohibitivo. Cuando se utiliza en combinación con sistemas de seguimiento de vuelos, la tecnología puede usarse para apoyar mínimas de separación tipo radar y tiene el potencial de mejorar la capacidad y la eficiencia del espacio aéreo, en particular el espacio aéreo remoto y oceánico. La tecnología también podría ser útil como infraestructura de comunicaciones de contingencia para espacios aéreos afectados por desastres naturales, como inundaciones y terremotos.</w:t>
            </w:r>
          </w:p>
          <w:p w14:paraId="1C51C840" w14:textId="54720C9E" w:rsidR="00301B7D" w:rsidRPr="00166E13" w:rsidRDefault="00301B7D" w:rsidP="0096374E">
            <w:pPr>
              <w:spacing w:after="120"/>
              <w:rPr>
                <w:szCs w:val="24"/>
              </w:rPr>
            </w:pPr>
            <w:r w:rsidRPr="00166E13">
              <w:rPr>
                <w:szCs w:val="24"/>
              </w:rPr>
              <w:t>La banda de frecuencias 117,975-137 MHz se atribuye al servicio móvil aeronáutico (R). Para que los transceptores de ondas métricas transmitan y reciban comunicaciones aeronáuticas a bordo de satélites, se requerirá una asignación al SMA(R)S en tod</w:t>
            </w:r>
            <w:r w:rsidR="00FC75A3" w:rsidRPr="00166E13">
              <w:rPr>
                <w:szCs w:val="24"/>
              </w:rPr>
              <w:t>a</w:t>
            </w:r>
            <w:r w:rsidRPr="00166E13">
              <w:rPr>
                <w:szCs w:val="24"/>
              </w:rPr>
              <w:t xml:space="preserve"> o en parte de la banda de frecuencias.</w:t>
            </w:r>
          </w:p>
        </w:tc>
      </w:tr>
      <w:tr w:rsidR="00301B7D" w:rsidRPr="00166E13" w14:paraId="28ADA9A9" w14:textId="77777777" w:rsidTr="003662A2">
        <w:tc>
          <w:tcPr>
            <w:tcW w:w="9639" w:type="dxa"/>
            <w:gridSpan w:val="2"/>
          </w:tcPr>
          <w:p w14:paraId="170470C5" w14:textId="77777777" w:rsidR="00301B7D" w:rsidRPr="00166E13" w:rsidRDefault="00301B7D" w:rsidP="0096374E">
            <w:pPr>
              <w:spacing w:after="120"/>
              <w:rPr>
                <w:b/>
                <w:bCs/>
                <w:i/>
                <w:iCs/>
                <w:szCs w:val="24"/>
              </w:rPr>
            </w:pPr>
            <w:r w:rsidRPr="00166E13">
              <w:rPr>
                <w:b/>
                <w:bCs/>
                <w:i/>
                <w:iCs/>
                <w:szCs w:val="24"/>
              </w:rPr>
              <w:t>Servicios de radiocomunicaciones involucrados:</w:t>
            </w:r>
          </w:p>
          <w:p w14:paraId="2066F40F" w14:textId="77777777" w:rsidR="00301B7D" w:rsidRPr="00166E13" w:rsidRDefault="00301B7D" w:rsidP="0096374E">
            <w:pPr>
              <w:spacing w:after="120"/>
              <w:rPr>
                <w:szCs w:val="24"/>
              </w:rPr>
            </w:pPr>
            <w:r w:rsidRPr="00166E13">
              <w:rPr>
                <w:szCs w:val="24"/>
              </w:rPr>
              <w:t>Servicio móvil aeronáutico (R), servicio móvil aeronáutico (OR), servicios de radionavegación aeronáutica (SRNA), servicio móvil marítimo y otros servicios</w:t>
            </w:r>
          </w:p>
        </w:tc>
      </w:tr>
      <w:tr w:rsidR="00301B7D" w:rsidRPr="00166E13" w14:paraId="7957A8EB" w14:textId="77777777" w:rsidTr="003662A2">
        <w:trPr>
          <w:trHeight w:val="941"/>
        </w:trPr>
        <w:tc>
          <w:tcPr>
            <w:tcW w:w="9639" w:type="dxa"/>
            <w:gridSpan w:val="2"/>
          </w:tcPr>
          <w:p w14:paraId="29527371" w14:textId="77777777" w:rsidR="00301B7D" w:rsidRPr="00166E13" w:rsidRDefault="00301B7D" w:rsidP="0096374E">
            <w:pPr>
              <w:spacing w:after="120"/>
              <w:rPr>
                <w:b/>
                <w:bCs/>
                <w:i/>
                <w:iCs/>
                <w:szCs w:val="24"/>
              </w:rPr>
            </w:pPr>
            <w:r w:rsidRPr="00166E13">
              <w:rPr>
                <w:b/>
                <w:bCs/>
                <w:i/>
                <w:iCs/>
                <w:szCs w:val="24"/>
              </w:rPr>
              <w:t>Indicación de posibles dificultades:</w:t>
            </w:r>
          </w:p>
          <w:p w14:paraId="5B236E9F" w14:textId="77777777" w:rsidR="00301B7D" w:rsidRPr="00166E13" w:rsidRDefault="00301B7D" w:rsidP="0096374E">
            <w:pPr>
              <w:spacing w:after="120"/>
              <w:rPr>
                <w:szCs w:val="24"/>
              </w:rPr>
            </w:pPr>
            <w:r w:rsidRPr="00166E13">
              <w:rPr>
                <w:szCs w:val="24"/>
              </w:rPr>
              <w:t>Estudios de compartición con los SMA(R)S, SRNA y otros servicios existentes en las bandas adyacentes</w:t>
            </w:r>
          </w:p>
        </w:tc>
      </w:tr>
      <w:tr w:rsidR="00301B7D" w:rsidRPr="00166E13" w14:paraId="26CEDBE0" w14:textId="77777777" w:rsidTr="003662A2">
        <w:tc>
          <w:tcPr>
            <w:tcW w:w="9639" w:type="dxa"/>
            <w:gridSpan w:val="2"/>
          </w:tcPr>
          <w:p w14:paraId="32F83370" w14:textId="77777777" w:rsidR="00301B7D" w:rsidRPr="00166E13" w:rsidRDefault="00301B7D" w:rsidP="0096374E">
            <w:pPr>
              <w:spacing w:after="120"/>
              <w:rPr>
                <w:b/>
                <w:bCs/>
                <w:i/>
                <w:iCs/>
                <w:szCs w:val="24"/>
              </w:rPr>
            </w:pPr>
            <w:r w:rsidRPr="00166E13">
              <w:rPr>
                <w:b/>
                <w:bCs/>
                <w:i/>
                <w:iCs/>
                <w:szCs w:val="24"/>
              </w:rPr>
              <w:t>Estudios previos o en curso sobre el tema:</w:t>
            </w:r>
          </w:p>
          <w:p w14:paraId="76DA1119" w14:textId="77777777" w:rsidR="00301B7D" w:rsidRPr="00166E13" w:rsidRDefault="00301B7D" w:rsidP="0096374E">
            <w:pPr>
              <w:spacing w:after="120"/>
              <w:rPr>
                <w:szCs w:val="24"/>
              </w:rPr>
            </w:pPr>
            <w:r w:rsidRPr="00166E13">
              <w:rPr>
                <w:szCs w:val="24"/>
              </w:rPr>
              <w:t>No aplica</w:t>
            </w:r>
          </w:p>
        </w:tc>
      </w:tr>
      <w:tr w:rsidR="00301B7D" w:rsidRPr="00166E13" w14:paraId="7397F3F2" w14:textId="77777777" w:rsidTr="003662A2">
        <w:tc>
          <w:tcPr>
            <w:tcW w:w="4579" w:type="dxa"/>
          </w:tcPr>
          <w:p w14:paraId="68D5FA83" w14:textId="77777777" w:rsidR="00301B7D" w:rsidRPr="00166E13" w:rsidRDefault="00301B7D" w:rsidP="0096374E">
            <w:pPr>
              <w:spacing w:after="120"/>
              <w:rPr>
                <w:b/>
                <w:bCs/>
                <w:i/>
                <w:iCs/>
                <w:szCs w:val="24"/>
              </w:rPr>
            </w:pPr>
            <w:r w:rsidRPr="00166E13">
              <w:rPr>
                <w:b/>
                <w:bCs/>
                <w:i/>
                <w:iCs/>
                <w:szCs w:val="24"/>
              </w:rPr>
              <w:t>Estudios que han de efectuarse a cargo de:</w:t>
            </w:r>
          </w:p>
          <w:p w14:paraId="73F86122" w14:textId="77777777" w:rsidR="00301B7D" w:rsidRPr="00166E13" w:rsidRDefault="00301B7D" w:rsidP="0096374E">
            <w:pPr>
              <w:spacing w:after="120"/>
              <w:rPr>
                <w:szCs w:val="24"/>
              </w:rPr>
            </w:pPr>
            <w:r w:rsidRPr="00166E13">
              <w:rPr>
                <w:szCs w:val="24"/>
              </w:rPr>
              <w:t>Grupo de Trabajo del UIT-R</w:t>
            </w:r>
          </w:p>
        </w:tc>
        <w:tc>
          <w:tcPr>
            <w:tcW w:w="5060" w:type="dxa"/>
          </w:tcPr>
          <w:p w14:paraId="1AB3449F" w14:textId="77777777" w:rsidR="00301B7D" w:rsidRPr="00166E13" w:rsidRDefault="00301B7D" w:rsidP="0096374E">
            <w:pPr>
              <w:spacing w:after="120"/>
              <w:rPr>
                <w:b/>
                <w:bCs/>
                <w:i/>
                <w:iCs/>
                <w:szCs w:val="24"/>
              </w:rPr>
            </w:pPr>
            <w:r w:rsidRPr="00166E13">
              <w:rPr>
                <w:b/>
                <w:bCs/>
                <w:i/>
                <w:iCs/>
                <w:szCs w:val="24"/>
              </w:rPr>
              <w:t>con la participación de:</w:t>
            </w:r>
          </w:p>
          <w:p w14:paraId="6A5C578F" w14:textId="77777777" w:rsidR="00301B7D" w:rsidRPr="00166E13" w:rsidRDefault="00301B7D" w:rsidP="0096374E">
            <w:pPr>
              <w:spacing w:after="120"/>
              <w:rPr>
                <w:szCs w:val="24"/>
              </w:rPr>
            </w:pPr>
            <w:r w:rsidRPr="00166E13">
              <w:rPr>
                <w:szCs w:val="24"/>
              </w:rPr>
              <w:t>Las Administraciones, los Miembros de Sector del UIT-R, la OACI y las autoridades de Aviación</w:t>
            </w:r>
          </w:p>
        </w:tc>
      </w:tr>
      <w:tr w:rsidR="00301B7D" w:rsidRPr="00166E13" w14:paraId="191717DA" w14:textId="77777777" w:rsidTr="003662A2">
        <w:tc>
          <w:tcPr>
            <w:tcW w:w="9639" w:type="dxa"/>
            <w:gridSpan w:val="2"/>
          </w:tcPr>
          <w:p w14:paraId="27767371" w14:textId="77777777" w:rsidR="00301B7D" w:rsidRPr="00166E13" w:rsidRDefault="00301B7D" w:rsidP="0096374E">
            <w:pPr>
              <w:spacing w:after="120"/>
              <w:rPr>
                <w:b/>
                <w:bCs/>
                <w:i/>
                <w:iCs/>
                <w:szCs w:val="24"/>
              </w:rPr>
            </w:pPr>
            <w:r w:rsidRPr="00166E13">
              <w:rPr>
                <w:b/>
                <w:bCs/>
                <w:i/>
                <w:iCs/>
                <w:szCs w:val="24"/>
              </w:rPr>
              <w:t>Comisiones de estudio del UIT-R interesadas:</w:t>
            </w:r>
          </w:p>
          <w:p w14:paraId="06377884" w14:textId="77777777" w:rsidR="00301B7D" w:rsidRPr="00166E13" w:rsidRDefault="00301B7D" w:rsidP="0096374E">
            <w:pPr>
              <w:spacing w:after="120"/>
              <w:rPr>
                <w:szCs w:val="24"/>
              </w:rPr>
            </w:pPr>
            <w:r w:rsidRPr="00166E13">
              <w:rPr>
                <w:szCs w:val="24"/>
              </w:rPr>
              <w:t>CE 4 y 5 del UIT-R</w:t>
            </w:r>
          </w:p>
        </w:tc>
      </w:tr>
      <w:tr w:rsidR="00301B7D" w:rsidRPr="00166E13" w14:paraId="490F08B6" w14:textId="77777777" w:rsidTr="003662A2">
        <w:trPr>
          <w:trHeight w:val="1087"/>
        </w:trPr>
        <w:tc>
          <w:tcPr>
            <w:tcW w:w="9639" w:type="dxa"/>
            <w:gridSpan w:val="2"/>
          </w:tcPr>
          <w:p w14:paraId="25FACD01" w14:textId="77777777" w:rsidR="00301B7D" w:rsidRPr="00166E13" w:rsidRDefault="00301B7D" w:rsidP="0096374E">
            <w:pPr>
              <w:spacing w:after="120"/>
              <w:rPr>
                <w:b/>
                <w:bCs/>
                <w:i/>
                <w:iCs/>
                <w:szCs w:val="24"/>
              </w:rPr>
            </w:pPr>
            <w:r w:rsidRPr="00166E13">
              <w:rPr>
                <w:b/>
                <w:bCs/>
                <w:i/>
                <w:iCs/>
                <w:szCs w:val="24"/>
              </w:rPr>
              <w:t>Consecuencias en los recursos de la UIT, incluidas las implicaciones financieras (véase el CV126):</w:t>
            </w:r>
          </w:p>
          <w:p w14:paraId="21976BCB" w14:textId="77777777" w:rsidR="00301B7D" w:rsidRPr="00166E13" w:rsidRDefault="00301B7D" w:rsidP="0096374E">
            <w:pPr>
              <w:spacing w:after="120"/>
              <w:rPr>
                <w:szCs w:val="24"/>
              </w:rPr>
            </w:pPr>
            <w:r w:rsidRPr="00166E13">
              <w:rPr>
                <w:szCs w:val="24"/>
              </w:rPr>
              <w:t>Este punto del orden del día propuesto se estudiará como parte de los procedimientos ordinarios del UIT-R y del presupuesto previsto.</w:t>
            </w:r>
          </w:p>
        </w:tc>
      </w:tr>
      <w:tr w:rsidR="00301B7D" w:rsidRPr="00166E13" w14:paraId="5E99C2C0" w14:textId="77777777" w:rsidTr="003662A2">
        <w:trPr>
          <w:trHeight w:val="612"/>
        </w:trPr>
        <w:tc>
          <w:tcPr>
            <w:tcW w:w="4579" w:type="dxa"/>
          </w:tcPr>
          <w:p w14:paraId="60CE1046" w14:textId="77777777" w:rsidR="00301B7D" w:rsidRPr="00166E13" w:rsidRDefault="00301B7D" w:rsidP="0096374E">
            <w:pPr>
              <w:spacing w:after="120"/>
              <w:rPr>
                <w:b/>
                <w:bCs/>
                <w:i/>
                <w:iCs/>
                <w:szCs w:val="24"/>
              </w:rPr>
            </w:pPr>
            <w:r w:rsidRPr="00166E13">
              <w:rPr>
                <w:b/>
                <w:bCs/>
                <w:i/>
                <w:iCs/>
                <w:szCs w:val="24"/>
              </w:rPr>
              <w:t>Propuesta regional común:</w:t>
            </w:r>
          </w:p>
          <w:p w14:paraId="5C532552" w14:textId="425E9852" w:rsidR="00301B7D" w:rsidRPr="00166E13" w:rsidRDefault="00301B7D" w:rsidP="0096374E">
            <w:pPr>
              <w:spacing w:after="120"/>
              <w:rPr>
                <w:szCs w:val="24"/>
              </w:rPr>
            </w:pPr>
            <w:r w:rsidRPr="00166E13">
              <w:rPr>
                <w:szCs w:val="24"/>
              </w:rPr>
              <w:t>[Sí]</w:t>
            </w:r>
          </w:p>
        </w:tc>
        <w:tc>
          <w:tcPr>
            <w:tcW w:w="5060" w:type="dxa"/>
          </w:tcPr>
          <w:p w14:paraId="7CCB9719" w14:textId="09633C40" w:rsidR="00301B7D" w:rsidRPr="00166E13" w:rsidRDefault="00301B7D" w:rsidP="0096374E">
            <w:pPr>
              <w:spacing w:after="120"/>
              <w:rPr>
                <w:szCs w:val="24"/>
              </w:rPr>
            </w:pPr>
            <w:r w:rsidRPr="00166E13">
              <w:rPr>
                <w:b/>
                <w:bCs/>
                <w:i/>
                <w:iCs/>
                <w:szCs w:val="24"/>
              </w:rPr>
              <w:t>Propuesta presentada por más de un país:</w:t>
            </w:r>
            <w:r w:rsidRPr="00166E13">
              <w:rPr>
                <w:szCs w:val="24"/>
              </w:rPr>
              <w:t xml:space="preserve"> [No]</w:t>
            </w:r>
          </w:p>
          <w:p w14:paraId="297091E5" w14:textId="77777777" w:rsidR="00301B7D" w:rsidRPr="00166E13" w:rsidRDefault="00301B7D" w:rsidP="0096374E">
            <w:pPr>
              <w:spacing w:after="120"/>
              <w:rPr>
                <w:b/>
                <w:bCs/>
                <w:i/>
                <w:iCs/>
                <w:szCs w:val="24"/>
              </w:rPr>
            </w:pPr>
            <w:r w:rsidRPr="00166E13">
              <w:rPr>
                <w:b/>
                <w:bCs/>
                <w:i/>
                <w:iCs/>
                <w:szCs w:val="24"/>
              </w:rPr>
              <w:t>Número de países:</w:t>
            </w:r>
          </w:p>
        </w:tc>
      </w:tr>
      <w:tr w:rsidR="00301B7D" w:rsidRPr="00166E13" w14:paraId="30F79A35" w14:textId="77777777" w:rsidTr="003662A2">
        <w:trPr>
          <w:trHeight w:val="70"/>
        </w:trPr>
        <w:tc>
          <w:tcPr>
            <w:tcW w:w="9639" w:type="dxa"/>
            <w:gridSpan w:val="2"/>
          </w:tcPr>
          <w:p w14:paraId="4BD1214E" w14:textId="77777777" w:rsidR="00301B7D" w:rsidRPr="00166E13" w:rsidRDefault="00301B7D" w:rsidP="0096374E">
            <w:pPr>
              <w:spacing w:after="120"/>
              <w:rPr>
                <w:b/>
                <w:bCs/>
                <w:i/>
                <w:iCs/>
                <w:szCs w:val="24"/>
              </w:rPr>
            </w:pPr>
            <w:r w:rsidRPr="00166E13">
              <w:rPr>
                <w:b/>
                <w:bCs/>
                <w:i/>
                <w:iCs/>
                <w:szCs w:val="24"/>
              </w:rPr>
              <w:t>Observaciones</w:t>
            </w:r>
          </w:p>
        </w:tc>
      </w:tr>
    </w:tbl>
    <w:p w14:paraId="23287A78" w14:textId="77777777" w:rsidR="00301B7D" w:rsidRPr="00A1323A" w:rsidRDefault="00301B7D" w:rsidP="0057285E"/>
    <w:p w14:paraId="32B7D1B6" w14:textId="1C50ABDA" w:rsidR="00BA2F30" w:rsidRPr="00A1323A" w:rsidRDefault="00301B7D" w:rsidP="002B5F92">
      <w:pPr>
        <w:jc w:val="center"/>
      </w:pPr>
      <w:r w:rsidRPr="00A1323A">
        <w:t>______________</w:t>
      </w:r>
      <w:bookmarkStart w:id="6" w:name="_GoBack"/>
      <w:bookmarkEnd w:id="6"/>
    </w:p>
    <w:sectPr w:rsidR="00BA2F30" w:rsidRPr="00A1323A">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E9EB2" w14:textId="77777777" w:rsidR="00FD03C4" w:rsidRDefault="00FD03C4">
      <w:r>
        <w:separator/>
      </w:r>
    </w:p>
  </w:endnote>
  <w:endnote w:type="continuationSeparator" w:id="0">
    <w:p w14:paraId="66D65EF8" w14:textId="77777777" w:rsidR="00FD03C4" w:rsidRDefault="00FD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C5B52"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C824D7" w14:textId="7ED12454" w:rsidR="0077084A" w:rsidRDefault="0077084A">
    <w:pPr>
      <w:ind w:right="360"/>
      <w:rPr>
        <w:lang w:val="en-US"/>
      </w:rPr>
    </w:pPr>
    <w:r>
      <w:fldChar w:fldCharType="begin"/>
    </w:r>
    <w:r>
      <w:rPr>
        <w:lang w:val="en-US"/>
      </w:rPr>
      <w:instrText xml:space="preserve"> FILENAME \p  \* MERGEFORMAT </w:instrText>
    </w:r>
    <w:r>
      <w:fldChar w:fldCharType="separate"/>
    </w:r>
    <w:r w:rsidR="00166E13">
      <w:rPr>
        <w:noProof/>
        <w:lang w:val="en-US"/>
      </w:rPr>
      <w:t>P:\ESP\ITU-R\CONF-R\CMR19\000\024ADD24ADD06S.docx</w:t>
    </w:r>
    <w:r>
      <w:fldChar w:fldCharType="end"/>
    </w:r>
    <w:r>
      <w:rPr>
        <w:lang w:val="en-US"/>
      </w:rPr>
      <w:tab/>
    </w:r>
    <w:r>
      <w:fldChar w:fldCharType="begin"/>
    </w:r>
    <w:r>
      <w:instrText xml:space="preserve"> SAVEDATE \@ DD.MM.YY </w:instrText>
    </w:r>
    <w:r>
      <w:fldChar w:fldCharType="separate"/>
    </w:r>
    <w:r w:rsidR="00166E13">
      <w:rPr>
        <w:noProof/>
      </w:rPr>
      <w:t>02.10.19</w:t>
    </w:r>
    <w:r>
      <w:fldChar w:fldCharType="end"/>
    </w:r>
    <w:r>
      <w:rPr>
        <w:lang w:val="en-US"/>
      </w:rPr>
      <w:tab/>
    </w:r>
    <w:r>
      <w:fldChar w:fldCharType="begin"/>
    </w:r>
    <w:r>
      <w:instrText xml:space="preserve"> PRINTDATE \@ DD.MM.YY </w:instrText>
    </w:r>
    <w:r>
      <w:fldChar w:fldCharType="separate"/>
    </w:r>
    <w:r w:rsidR="00166E13">
      <w:rPr>
        <w:noProof/>
      </w:rPr>
      <w:t>07.10.19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0E8E" w14:textId="12D50560" w:rsidR="0077084A" w:rsidRPr="0088610B" w:rsidRDefault="0088610B" w:rsidP="0088610B">
    <w:pPr>
      <w:pStyle w:val="Footer"/>
      <w:rPr>
        <w:lang w:val="en-US"/>
      </w:rPr>
    </w:pPr>
    <w:r>
      <w:fldChar w:fldCharType="begin"/>
    </w:r>
    <w:r>
      <w:rPr>
        <w:lang w:val="en-US"/>
      </w:rPr>
      <w:instrText xml:space="preserve"> FILENAME \p  \* MERGEFORMAT </w:instrText>
    </w:r>
    <w:r>
      <w:fldChar w:fldCharType="separate"/>
    </w:r>
    <w:r w:rsidR="00166E13">
      <w:rPr>
        <w:lang w:val="en-US"/>
      </w:rPr>
      <w:t>P:\ESP\ITU-R\CONF-R\CMR19\000\024ADD24ADD06S.docx</w:t>
    </w:r>
    <w:r>
      <w:fldChar w:fldCharType="end"/>
    </w:r>
    <w:r w:rsidRPr="0088610B">
      <w:rPr>
        <w:lang w:val="en-US"/>
      </w:rPr>
      <w:t xml:space="preserve"> </w:t>
    </w:r>
    <w:r>
      <w:rPr>
        <w:lang w:val="en-US"/>
      </w:rPr>
      <w:t>(461087)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67306" w14:textId="40A32AD4" w:rsidR="0077084A" w:rsidRPr="0088610B" w:rsidRDefault="0077084A" w:rsidP="00B47331">
    <w:pPr>
      <w:pStyle w:val="Footer"/>
      <w:rPr>
        <w:lang w:val="en-US"/>
      </w:rPr>
    </w:pPr>
    <w:r>
      <w:fldChar w:fldCharType="begin"/>
    </w:r>
    <w:r>
      <w:rPr>
        <w:lang w:val="en-US"/>
      </w:rPr>
      <w:instrText xml:space="preserve"> FILENAME \p  \* MERGEFORMAT </w:instrText>
    </w:r>
    <w:r>
      <w:fldChar w:fldCharType="separate"/>
    </w:r>
    <w:r w:rsidR="00166E13">
      <w:rPr>
        <w:lang w:val="en-US"/>
      </w:rPr>
      <w:t>P:\ESP\ITU-R\CONF-R\CMR19\000\024ADD24ADD06S.docx</w:t>
    </w:r>
    <w:r>
      <w:fldChar w:fldCharType="end"/>
    </w:r>
    <w:r w:rsidR="0088610B" w:rsidRPr="0088610B">
      <w:rPr>
        <w:lang w:val="en-US"/>
      </w:rPr>
      <w:t xml:space="preserve"> </w:t>
    </w:r>
    <w:r w:rsidR="0088610B">
      <w:rPr>
        <w:lang w:val="en-US"/>
      </w:rPr>
      <w:t>(461087)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EF9C1" w14:textId="77777777" w:rsidR="00FD03C4" w:rsidRDefault="00FD03C4">
      <w:r>
        <w:rPr>
          <w:b/>
        </w:rPr>
        <w:t>_______________</w:t>
      </w:r>
    </w:p>
  </w:footnote>
  <w:footnote w:type="continuationSeparator" w:id="0">
    <w:p w14:paraId="13ABA0DC" w14:textId="77777777" w:rsidR="00FD03C4" w:rsidRDefault="00FD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5C9E2"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51EEA57D" w14:textId="77777777" w:rsidR="0077084A" w:rsidRDefault="008750A8" w:rsidP="00C44E9E">
    <w:pPr>
      <w:pStyle w:val="Header"/>
      <w:rPr>
        <w:lang w:val="en-US"/>
      </w:rPr>
    </w:pPr>
    <w:r>
      <w:rPr>
        <w:lang w:val="en-US"/>
      </w:rPr>
      <w:t>CMR1</w:t>
    </w:r>
    <w:r w:rsidR="00C44E9E">
      <w:rPr>
        <w:lang w:val="en-US"/>
      </w:rPr>
      <w:t>9</w:t>
    </w:r>
    <w:r>
      <w:rPr>
        <w:lang w:val="en-US"/>
      </w:rPr>
      <w:t>/</w:t>
    </w:r>
    <w:r w:rsidR="00702F3D">
      <w:t>24(Add.24)(Add.6)-</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380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285E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3E75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24A1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E44C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6443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162C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1868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768F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6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D25F5"/>
    <w:rsid w:val="000E5BF9"/>
    <w:rsid w:val="000F0E6D"/>
    <w:rsid w:val="00121170"/>
    <w:rsid w:val="001237C0"/>
    <w:rsid w:val="00123CC5"/>
    <w:rsid w:val="0015142D"/>
    <w:rsid w:val="001616DC"/>
    <w:rsid w:val="00163962"/>
    <w:rsid w:val="00166E13"/>
    <w:rsid w:val="00191A97"/>
    <w:rsid w:val="0019729C"/>
    <w:rsid w:val="001A083F"/>
    <w:rsid w:val="001C41FA"/>
    <w:rsid w:val="001E2B52"/>
    <w:rsid w:val="001E3F27"/>
    <w:rsid w:val="001E7D42"/>
    <w:rsid w:val="00236D2A"/>
    <w:rsid w:val="0024569E"/>
    <w:rsid w:val="00255F12"/>
    <w:rsid w:val="00262C09"/>
    <w:rsid w:val="002A791F"/>
    <w:rsid w:val="002B5F92"/>
    <w:rsid w:val="002C1A52"/>
    <w:rsid w:val="002C1B26"/>
    <w:rsid w:val="002C5D6C"/>
    <w:rsid w:val="002E701F"/>
    <w:rsid w:val="00301B7D"/>
    <w:rsid w:val="003248A9"/>
    <w:rsid w:val="00324FFA"/>
    <w:rsid w:val="0032680B"/>
    <w:rsid w:val="00363A65"/>
    <w:rsid w:val="003A097F"/>
    <w:rsid w:val="003B1E8C"/>
    <w:rsid w:val="003C2508"/>
    <w:rsid w:val="003D0AA3"/>
    <w:rsid w:val="003E2086"/>
    <w:rsid w:val="003F7F66"/>
    <w:rsid w:val="00440B3A"/>
    <w:rsid w:val="0044375A"/>
    <w:rsid w:val="0045384C"/>
    <w:rsid w:val="00454553"/>
    <w:rsid w:val="00472A86"/>
    <w:rsid w:val="00484533"/>
    <w:rsid w:val="004B124A"/>
    <w:rsid w:val="004B3095"/>
    <w:rsid w:val="004D2C7C"/>
    <w:rsid w:val="004E180D"/>
    <w:rsid w:val="005133B5"/>
    <w:rsid w:val="00524392"/>
    <w:rsid w:val="00532097"/>
    <w:rsid w:val="0057285E"/>
    <w:rsid w:val="0058350F"/>
    <w:rsid w:val="00583C7E"/>
    <w:rsid w:val="0059098E"/>
    <w:rsid w:val="005D46FB"/>
    <w:rsid w:val="005F2605"/>
    <w:rsid w:val="005F3B0E"/>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17683"/>
    <w:rsid w:val="007354E9"/>
    <w:rsid w:val="0074579D"/>
    <w:rsid w:val="00765578"/>
    <w:rsid w:val="00766333"/>
    <w:rsid w:val="0077084A"/>
    <w:rsid w:val="00784DD6"/>
    <w:rsid w:val="007952C7"/>
    <w:rsid w:val="007C0B95"/>
    <w:rsid w:val="007C2317"/>
    <w:rsid w:val="007D330A"/>
    <w:rsid w:val="00843320"/>
    <w:rsid w:val="00866AE6"/>
    <w:rsid w:val="008750A8"/>
    <w:rsid w:val="0088610B"/>
    <w:rsid w:val="008E5AF2"/>
    <w:rsid w:val="0090121B"/>
    <w:rsid w:val="009144C9"/>
    <w:rsid w:val="00926954"/>
    <w:rsid w:val="0094091F"/>
    <w:rsid w:val="00962171"/>
    <w:rsid w:val="0096374E"/>
    <w:rsid w:val="00973754"/>
    <w:rsid w:val="009C0BED"/>
    <w:rsid w:val="009E11EC"/>
    <w:rsid w:val="00A021CC"/>
    <w:rsid w:val="00A118DB"/>
    <w:rsid w:val="00A1323A"/>
    <w:rsid w:val="00A228D2"/>
    <w:rsid w:val="00A4450C"/>
    <w:rsid w:val="00AA5E6C"/>
    <w:rsid w:val="00AE5677"/>
    <w:rsid w:val="00AE658F"/>
    <w:rsid w:val="00AF2F78"/>
    <w:rsid w:val="00B239FA"/>
    <w:rsid w:val="00B47331"/>
    <w:rsid w:val="00B52D55"/>
    <w:rsid w:val="00B8288C"/>
    <w:rsid w:val="00B86034"/>
    <w:rsid w:val="00BA2F30"/>
    <w:rsid w:val="00BC1B4A"/>
    <w:rsid w:val="00BE2E80"/>
    <w:rsid w:val="00BE5EDD"/>
    <w:rsid w:val="00BE6A1F"/>
    <w:rsid w:val="00C126C4"/>
    <w:rsid w:val="00C279AC"/>
    <w:rsid w:val="00C44E9E"/>
    <w:rsid w:val="00C62942"/>
    <w:rsid w:val="00C63EB5"/>
    <w:rsid w:val="00C87DA7"/>
    <w:rsid w:val="00CC01E0"/>
    <w:rsid w:val="00CD5FEE"/>
    <w:rsid w:val="00CE60D2"/>
    <w:rsid w:val="00CE7431"/>
    <w:rsid w:val="00D0288A"/>
    <w:rsid w:val="00D72A5D"/>
    <w:rsid w:val="00DA71A3"/>
    <w:rsid w:val="00DC629B"/>
    <w:rsid w:val="00DE1C31"/>
    <w:rsid w:val="00DF220D"/>
    <w:rsid w:val="00E05BFF"/>
    <w:rsid w:val="00E262F1"/>
    <w:rsid w:val="00E3176A"/>
    <w:rsid w:val="00E54754"/>
    <w:rsid w:val="00E56BD3"/>
    <w:rsid w:val="00E71D14"/>
    <w:rsid w:val="00EA09AB"/>
    <w:rsid w:val="00EA77F0"/>
    <w:rsid w:val="00EA7D4F"/>
    <w:rsid w:val="00EB4449"/>
    <w:rsid w:val="00F32316"/>
    <w:rsid w:val="00F66597"/>
    <w:rsid w:val="00F675D0"/>
    <w:rsid w:val="00F8150C"/>
    <w:rsid w:val="00FC75A3"/>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407D792"/>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styleId="Hyperlink">
    <w:name w:val="Hyperlink"/>
    <w:basedOn w:val="DefaultParagraphFont"/>
    <w:uiPriority w:val="99"/>
    <w:semiHidden/>
    <w:unhideWhenUsed/>
    <w:rPr>
      <w:color w:val="0000FF" w:themeColor="hyperlink"/>
      <w:u w:val="single"/>
    </w:rPr>
  </w:style>
  <w:style w:type="paragraph" w:styleId="BalloonText">
    <w:name w:val="Balloon Text"/>
    <w:basedOn w:val="Normal"/>
    <w:link w:val="BalloonTextChar"/>
    <w:semiHidden/>
    <w:unhideWhenUsed/>
    <w:rsid w:val="0088610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88610B"/>
    <w:rPr>
      <w:rFonts w:ascii="Segoe UI" w:hAnsi="Segoe UI" w:cs="Segoe UI"/>
      <w:sz w:val="18"/>
      <w:szCs w:val="18"/>
      <w:lang w:val="es-ES_tradnl" w:eastAsia="en-US"/>
    </w:rPr>
  </w:style>
  <w:style w:type="character" w:customStyle="1" w:styleId="CommentTextChar">
    <w:name w:val="Comment Text Char"/>
    <w:basedOn w:val="DefaultParagraphFont"/>
    <w:link w:val="CommentText"/>
    <w:semiHidden/>
    <w:rsid w:val="0057285E"/>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R16-WRC19-C-0024!A24-A6!MSW-S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62CE1-34DC-4CE7-A62C-E2974FDE535A}">
  <ds:schemaRefs>
    <ds:schemaRef ds:uri="http://schemas.microsoft.com/sharepoint/v3/contenttype/forms"/>
  </ds:schemaRefs>
</ds:datastoreItem>
</file>

<file path=customXml/itemProps2.xml><?xml version="1.0" encoding="utf-8"?>
<ds:datastoreItem xmlns:ds="http://schemas.openxmlformats.org/officeDocument/2006/customXml" ds:itemID="{3969B057-4A76-4735-9B1E-150DBC521C6E}">
  <ds:schemaRefs>
    <ds:schemaRef ds:uri="http://schemas.microsoft.com/sharepoint/event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0695C-E418-42B1-8930-099661C9C449}">
  <ds:schemaRefs>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A08AC8F4-310F-4437-8DF3-A80CC698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1210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R16-WRC19-C-0024!A24-A6!MSW-S</vt:lpstr>
    </vt:vector>
  </TitlesOfParts>
  <Manager>Secretaría General - Pool</Manager>
  <Company>Unión Internacional de Telecomunicaciones (UIT)</Company>
  <LinksUpToDate>false</LinksUpToDate>
  <CharactersWithSpaces>8209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R16-WRC19-C-0024!A24-A6!MSW-S</dc:title>
  <dc:subject>Conferencia Mundial de Radiocomunicaciones - 2019</dc:subject>
  <dc:creator>Documents Proposals Manager (DPM)</dc:creator>
  <cp:keywords>DPM_v2019.9.25.1_prod</cp:keywords>
  <dc:description/>
  <cp:lastModifiedBy>Spanish</cp:lastModifiedBy>
  <cp:revision>7</cp:revision>
  <cp:lastPrinted>2019-10-07T07:02:00Z</cp:lastPrinted>
  <dcterms:created xsi:type="dcterms:W3CDTF">2019-10-02T13:25:00Z</dcterms:created>
  <dcterms:modified xsi:type="dcterms:W3CDTF">2019-10-07T07:13:00Z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