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2A6F8F" w14:paraId="014F28E5" w14:textId="77777777" w:rsidTr="0050008E">
        <w:trPr>
          <w:cantSplit/>
        </w:trPr>
        <w:tc>
          <w:tcPr>
            <w:tcW w:w="6911" w:type="dxa"/>
          </w:tcPr>
          <w:p w14:paraId="7AAF4383" w14:textId="77777777" w:rsidR="00BB1D82" w:rsidRPr="00930FFD" w:rsidRDefault="00851625" w:rsidP="00990FA2">
            <w:pPr>
              <w:spacing w:before="400" w:after="48"/>
              <w:rPr>
                <w:rFonts w:ascii="Verdana" w:hAnsi="Verdana"/>
                <w:b/>
                <w:bCs/>
                <w:sz w:val="20"/>
                <w:lang w:val="fr-CH"/>
              </w:rPr>
            </w:pPr>
            <w:r>
              <w:rPr>
                <w:rFonts w:ascii="Verdana" w:hAnsi="Verdana"/>
                <w:b/>
                <w:bCs/>
                <w:sz w:val="20"/>
                <w:lang w:val="fr-CH"/>
              </w:rPr>
              <w:t>Conférence mondiale des radiocommunications (CMR-1</w:t>
            </w:r>
            <w:r w:rsidR="00FD7AA3">
              <w:rPr>
                <w:rFonts w:ascii="Verdana" w:hAnsi="Verdana"/>
                <w:b/>
                <w:bCs/>
                <w:sz w:val="20"/>
                <w:lang w:val="fr-CH"/>
              </w:rPr>
              <w:t>9</w:t>
            </w:r>
            <w:r>
              <w:rPr>
                <w:rFonts w:ascii="Verdana" w:hAnsi="Verdana"/>
                <w:b/>
                <w:bCs/>
                <w:sz w:val="20"/>
                <w:lang w:val="fr-CH"/>
              </w:rPr>
              <w:t>)</w:t>
            </w:r>
            <w:r w:rsidRPr="00930FFD">
              <w:rPr>
                <w:rFonts w:ascii="Verdana" w:hAnsi="Verdana"/>
                <w:b/>
                <w:bCs/>
                <w:sz w:val="20"/>
                <w:lang w:val="fr-CH"/>
              </w:rPr>
              <w:br/>
            </w:r>
            <w:r w:rsidR="00063A1F" w:rsidRPr="00063A1F">
              <w:rPr>
                <w:rFonts w:ascii="Verdana" w:hAnsi="Verdana"/>
                <w:b/>
                <w:bCs/>
                <w:sz w:val="18"/>
                <w:szCs w:val="18"/>
                <w:lang w:val="fr-CH"/>
              </w:rPr>
              <w:t xml:space="preserve">Charm el-Cheikh, </w:t>
            </w:r>
            <w:r w:rsidR="00081366">
              <w:rPr>
                <w:rFonts w:ascii="Verdana" w:hAnsi="Verdana"/>
                <w:b/>
                <w:bCs/>
                <w:sz w:val="18"/>
                <w:szCs w:val="18"/>
                <w:lang w:val="fr-CH"/>
              </w:rPr>
              <w:t>É</w:t>
            </w:r>
            <w:r w:rsidR="00063A1F" w:rsidRPr="00063A1F">
              <w:rPr>
                <w:rFonts w:ascii="Verdana" w:hAnsi="Verdana"/>
                <w:b/>
                <w:bCs/>
                <w:sz w:val="18"/>
                <w:szCs w:val="18"/>
                <w:lang w:val="fr-CH"/>
              </w:rPr>
              <w:t>gypte</w:t>
            </w:r>
            <w:r w:rsidRPr="00930FFD">
              <w:rPr>
                <w:rFonts w:ascii="Verdana" w:hAnsi="Verdana"/>
                <w:b/>
                <w:bCs/>
                <w:sz w:val="18"/>
                <w:szCs w:val="18"/>
                <w:lang w:val="fr-CH"/>
              </w:rPr>
              <w:t>,</w:t>
            </w:r>
            <w:r w:rsidR="00E537FF">
              <w:rPr>
                <w:rFonts w:ascii="Verdana" w:hAnsi="Verdana"/>
                <w:b/>
                <w:bCs/>
                <w:sz w:val="18"/>
                <w:szCs w:val="18"/>
                <w:lang w:val="fr-CH"/>
              </w:rPr>
              <w:t xml:space="preserve"> </w:t>
            </w:r>
            <w:r w:rsidRPr="00930FFD">
              <w:rPr>
                <w:rFonts w:ascii="Verdana" w:hAnsi="Verdana"/>
                <w:b/>
                <w:bCs/>
                <w:sz w:val="18"/>
                <w:szCs w:val="18"/>
                <w:lang w:val="fr-CH"/>
              </w:rPr>
              <w:t>2</w:t>
            </w:r>
            <w:r w:rsidR="00FD7AA3">
              <w:rPr>
                <w:rFonts w:ascii="Verdana" w:hAnsi="Verdana"/>
                <w:b/>
                <w:bCs/>
                <w:sz w:val="18"/>
                <w:szCs w:val="18"/>
                <w:lang w:val="fr-CH"/>
              </w:rPr>
              <w:t xml:space="preserve">8 octobre </w:t>
            </w:r>
            <w:r w:rsidR="00F10064">
              <w:rPr>
                <w:rFonts w:ascii="Verdana" w:hAnsi="Verdana"/>
                <w:b/>
                <w:bCs/>
                <w:sz w:val="18"/>
                <w:szCs w:val="18"/>
                <w:lang w:val="fr-CH"/>
              </w:rPr>
              <w:t>–</w:t>
            </w:r>
            <w:r w:rsidR="00FD7AA3">
              <w:rPr>
                <w:rFonts w:ascii="Verdana" w:hAnsi="Verdana"/>
                <w:b/>
                <w:bCs/>
                <w:sz w:val="18"/>
                <w:szCs w:val="18"/>
                <w:lang w:val="fr-CH"/>
              </w:rPr>
              <w:t xml:space="preserve"> </w:t>
            </w:r>
            <w:r w:rsidRPr="00930FFD">
              <w:rPr>
                <w:rFonts w:ascii="Verdana" w:hAnsi="Verdana"/>
                <w:b/>
                <w:bCs/>
                <w:sz w:val="18"/>
                <w:szCs w:val="18"/>
                <w:lang w:val="fr-CH"/>
              </w:rPr>
              <w:t>2</w:t>
            </w:r>
            <w:r w:rsidR="00FD7AA3">
              <w:rPr>
                <w:rFonts w:ascii="Verdana" w:hAnsi="Verdana"/>
                <w:b/>
                <w:bCs/>
                <w:sz w:val="18"/>
                <w:szCs w:val="18"/>
                <w:lang w:val="fr-CH"/>
              </w:rPr>
              <w:t>2</w:t>
            </w:r>
            <w:r w:rsidRPr="00930FFD">
              <w:rPr>
                <w:rFonts w:ascii="Verdana" w:hAnsi="Verdana"/>
                <w:b/>
                <w:bCs/>
                <w:sz w:val="18"/>
                <w:szCs w:val="18"/>
                <w:lang w:val="fr-CH"/>
              </w:rPr>
              <w:t xml:space="preserve"> novembre 201</w:t>
            </w:r>
            <w:r w:rsidR="00FD7AA3">
              <w:rPr>
                <w:rFonts w:ascii="Verdana" w:hAnsi="Verdana"/>
                <w:b/>
                <w:bCs/>
                <w:sz w:val="18"/>
                <w:szCs w:val="18"/>
                <w:lang w:val="fr-CH"/>
              </w:rPr>
              <w:t>9</w:t>
            </w:r>
          </w:p>
        </w:tc>
        <w:tc>
          <w:tcPr>
            <w:tcW w:w="3120" w:type="dxa"/>
          </w:tcPr>
          <w:p w14:paraId="30BDED8E" w14:textId="77777777" w:rsidR="00BB1D82" w:rsidRPr="002A6F8F" w:rsidRDefault="000A55AE" w:rsidP="00990FA2">
            <w:pPr>
              <w:spacing w:before="0"/>
              <w:jc w:val="right"/>
              <w:rPr>
                <w:lang w:val="en-US"/>
              </w:rPr>
            </w:pPr>
            <w:bookmarkStart w:id="0" w:name="ditulogo"/>
            <w:bookmarkEnd w:id="0"/>
            <w:r>
              <w:rPr>
                <w:rFonts w:ascii="Verdana" w:hAnsi="Verdana"/>
                <w:b/>
                <w:bCs/>
                <w:noProof/>
                <w:lang w:val="en-US" w:eastAsia="zh-CN"/>
              </w:rPr>
              <w:drawing>
                <wp:inline distT="0" distB="0" distL="0" distR="0" wp14:anchorId="61D536DC" wp14:editId="4BA677B4">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BB1D82" w:rsidRPr="002A6F8F" w14:paraId="027443C0" w14:textId="77777777" w:rsidTr="0050008E">
        <w:trPr>
          <w:cantSplit/>
        </w:trPr>
        <w:tc>
          <w:tcPr>
            <w:tcW w:w="6911" w:type="dxa"/>
            <w:tcBorders>
              <w:bottom w:val="single" w:sz="12" w:space="0" w:color="auto"/>
            </w:tcBorders>
          </w:tcPr>
          <w:p w14:paraId="54E09788" w14:textId="77777777" w:rsidR="00BB1D82" w:rsidRPr="002A6F8F" w:rsidRDefault="00BB1D82" w:rsidP="00990FA2">
            <w:pPr>
              <w:spacing w:before="0" w:after="48"/>
              <w:rPr>
                <w:b/>
                <w:smallCaps/>
                <w:szCs w:val="24"/>
                <w:lang w:val="en-US"/>
              </w:rPr>
            </w:pPr>
            <w:bookmarkStart w:id="1" w:name="dhead"/>
          </w:p>
        </w:tc>
        <w:tc>
          <w:tcPr>
            <w:tcW w:w="3120" w:type="dxa"/>
            <w:tcBorders>
              <w:bottom w:val="single" w:sz="12" w:space="0" w:color="auto"/>
            </w:tcBorders>
          </w:tcPr>
          <w:p w14:paraId="47221B0B" w14:textId="77777777" w:rsidR="00BB1D82" w:rsidRPr="002A6F8F" w:rsidRDefault="00BB1D82" w:rsidP="00990FA2">
            <w:pPr>
              <w:spacing w:before="0"/>
              <w:rPr>
                <w:rFonts w:ascii="Verdana" w:hAnsi="Verdana"/>
                <w:szCs w:val="24"/>
                <w:lang w:val="en-US"/>
              </w:rPr>
            </w:pPr>
          </w:p>
        </w:tc>
      </w:tr>
      <w:tr w:rsidR="00BB1D82" w:rsidRPr="002A6F8F" w14:paraId="5A4DAEC6" w14:textId="77777777" w:rsidTr="00BB1D82">
        <w:trPr>
          <w:cantSplit/>
        </w:trPr>
        <w:tc>
          <w:tcPr>
            <w:tcW w:w="6911" w:type="dxa"/>
            <w:tcBorders>
              <w:top w:val="single" w:sz="12" w:space="0" w:color="auto"/>
            </w:tcBorders>
          </w:tcPr>
          <w:p w14:paraId="4157CC8E" w14:textId="77777777" w:rsidR="00BB1D82" w:rsidRPr="002A6F8F" w:rsidRDefault="00BB1D82" w:rsidP="00990FA2">
            <w:pPr>
              <w:spacing w:before="0" w:after="48"/>
              <w:rPr>
                <w:rFonts w:ascii="Verdana" w:hAnsi="Verdana"/>
                <w:b/>
                <w:smallCaps/>
                <w:sz w:val="20"/>
                <w:lang w:val="en-US"/>
              </w:rPr>
            </w:pPr>
          </w:p>
        </w:tc>
        <w:tc>
          <w:tcPr>
            <w:tcW w:w="3120" w:type="dxa"/>
            <w:tcBorders>
              <w:top w:val="single" w:sz="12" w:space="0" w:color="auto"/>
            </w:tcBorders>
          </w:tcPr>
          <w:p w14:paraId="604F3914" w14:textId="77777777" w:rsidR="00BB1D82" w:rsidRPr="002A6F8F" w:rsidRDefault="00BB1D82" w:rsidP="00990FA2">
            <w:pPr>
              <w:spacing w:before="0"/>
              <w:rPr>
                <w:rFonts w:ascii="Verdana" w:hAnsi="Verdana"/>
                <w:sz w:val="20"/>
                <w:lang w:val="en-US"/>
              </w:rPr>
            </w:pPr>
          </w:p>
        </w:tc>
      </w:tr>
      <w:tr w:rsidR="00BB1D82" w:rsidRPr="002A6F8F" w14:paraId="32EFB29C" w14:textId="77777777" w:rsidTr="00BB1D82">
        <w:trPr>
          <w:cantSplit/>
        </w:trPr>
        <w:tc>
          <w:tcPr>
            <w:tcW w:w="6911" w:type="dxa"/>
          </w:tcPr>
          <w:p w14:paraId="7136BB17" w14:textId="77777777" w:rsidR="00BB1D82" w:rsidRPr="00930FFD" w:rsidRDefault="006D4724" w:rsidP="00990FA2">
            <w:pPr>
              <w:spacing w:before="0"/>
              <w:rPr>
                <w:rFonts w:ascii="Verdana" w:hAnsi="Verdana"/>
                <w:b/>
                <w:sz w:val="20"/>
                <w:lang w:val="en-US"/>
              </w:rPr>
            </w:pPr>
            <w:r w:rsidRPr="00930FFD">
              <w:rPr>
                <w:rFonts w:ascii="Verdana" w:hAnsi="Verdana"/>
                <w:b/>
                <w:sz w:val="20"/>
                <w:lang w:val="en-US"/>
              </w:rPr>
              <w:t>SÉANCE PLÉNIÈRE</w:t>
            </w:r>
          </w:p>
        </w:tc>
        <w:tc>
          <w:tcPr>
            <w:tcW w:w="3120" w:type="dxa"/>
          </w:tcPr>
          <w:p w14:paraId="5BB46767" w14:textId="77777777" w:rsidR="00BB1D82" w:rsidRPr="007371BB" w:rsidRDefault="006D4724" w:rsidP="00990FA2">
            <w:pPr>
              <w:spacing w:before="0"/>
              <w:rPr>
                <w:rFonts w:ascii="Verdana" w:hAnsi="Verdana"/>
                <w:sz w:val="20"/>
                <w:lang w:val="fr-CH"/>
              </w:rPr>
            </w:pPr>
            <w:r w:rsidRPr="007371BB">
              <w:rPr>
                <w:rFonts w:ascii="Verdana" w:hAnsi="Verdana"/>
                <w:b/>
                <w:sz w:val="20"/>
                <w:lang w:val="fr-CH"/>
              </w:rPr>
              <w:t>Addendum 6 au</w:t>
            </w:r>
            <w:r w:rsidRPr="007371BB">
              <w:rPr>
                <w:rFonts w:ascii="Verdana" w:hAnsi="Verdana"/>
                <w:b/>
                <w:sz w:val="20"/>
                <w:lang w:val="fr-CH"/>
              </w:rPr>
              <w:br/>
              <w:t>Document 24(Add.24)</w:t>
            </w:r>
            <w:r w:rsidR="00BB1D82" w:rsidRPr="007371BB">
              <w:rPr>
                <w:rFonts w:ascii="Verdana" w:hAnsi="Verdana"/>
                <w:b/>
                <w:sz w:val="20"/>
                <w:lang w:val="fr-CH"/>
              </w:rPr>
              <w:t>-</w:t>
            </w:r>
            <w:r w:rsidRPr="007371BB">
              <w:rPr>
                <w:rFonts w:ascii="Verdana" w:hAnsi="Verdana"/>
                <w:b/>
                <w:sz w:val="20"/>
                <w:lang w:val="fr-CH"/>
              </w:rPr>
              <w:t>F</w:t>
            </w:r>
          </w:p>
        </w:tc>
      </w:tr>
      <w:bookmarkEnd w:id="1"/>
      <w:tr w:rsidR="00690C7B" w:rsidRPr="002A6F8F" w14:paraId="7B866C6D" w14:textId="77777777" w:rsidTr="00BB1D82">
        <w:trPr>
          <w:cantSplit/>
        </w:trPr>
        <w:tc>
          <w:tcPr>
            <w:tcW w:w="6911" w:type="dxa"/>
          </w:tcPr>
          <w:p w14:paraId="30A3DC7F" w14:textId="77777777" w:rsidR="00690C7B" w:rsidRPr="007371BB" w:rsidRDefault="00690C7B" w:rsidP="00990FA2">
            <w:pPr>
              <w:spacing w:before="0"/>
              <w:rPr>
                <w:rFonts w:ascii="Verdana" w:hAnsi="Verdana"/>
                <w:b/>
                <w:sz w:val="20"/>
                <w:lang w:val="fr-CH"/>
              </w:rPr>
            </w:pPr>
          </w:p>
        </w:tc>
        <w:tc>
          <w:tcPr>
            <w:tcW w:w="3120" w:type="dxa"/>
          </w:tcPr>
          <w:p w14:paraId="194EB51A" w14:textId="77777777" w:rsidR="00690C7B" w:rsidRPr="002A6F8F" w:rsidRDefault="00690C7B" w:rsidP="00990FA2">
            <w:pPr>
              <w:spacing w:before="0"/>
              <w:rPr>
                <w:rFonts w:ascii="Verdana" w:hAnsi="Verdana"/>
                <w:b/>
                <w:sz w:val="20"/>
                <w:lang w:val="en-US"/>
              </w:rPr>
            </w:pPr>
            <w:r w:rsidRPr="002A6F8F">
              <w:rPr>
                <w:rFonts w:ascii="Verdana" w:hAnsi="Verdana"/>
                <w:b/>
                <w:sz w:val="20"/>
                <w:lang w:val="en-US"/>
              </w:rPr>
              <w:t>20 septembre 2019</w:t>
            </w:r>
          </w:p>
        </w:tc>
      </w:tr>
      <w:tr w:rsidR="00690C7B" w:rsidRPr="002A6F8F" w14:paraId="12359F3E" w14:textId="77777777" w:rsidTr="00BB1D82">
        <w:trPr>
          <w:cantSplit/>
        </w:trPr>
        <w:tc>
          <w:tcPr>
            <w:tcW w:w="6911" w:type="dxa"/>
          </w:tcPr>
          <w:p w14:paraId="6EFA8476" w14:textId="77777777" w:rsidR="00690C7B" w:rsidRPr="002A6F8F" w:rsidRDefault="00690C7B" w:rsidP="00990FA2">
            <w:pPr>
              <w:spacing w:before="0" w:after="48"/>
              <w:rPr>
                <w:rFonts w:ascii="Verdana" w:hAnsi="Verdana"/>
                <w:b/>
                <w:smallCaps/>
                <w:sz w:val="20"/>
                <w:lang w:val="en-US"/>
              </w:rPr>
            </w:pPr>
          </w:p>
        </w:tc>
        <w:tc>
          <w:tcPr>
            <w:tcW w:w="3120" w:type="dxa"/>
          </w:tcPr>
          <w:p w14:paraId="1BB88E3E" w14:textId="77777777" w:rsidR="00690C7B" w:rsidRPr="002A6F8F" w:rsidRDefault="00690C7B" w:rsidP="00990FA2">
            <w:pPr>
              <w:spacing w:before="0"/>
              <w:rPr>
                <w:rFonts w:ascii="Verdana" w:hAnsi="Verdana"/>
                <w:b/>
                <w:sz w:val="20"/>
                <w:lang w:val="en-US"/>
              </w:rPr>
            </w:pPr>
            <w:r w:rsidRPr="002A6F8F">
              <w:rPr>
                <w:rFonts w:ascii="Verdana" w:hAnsi="Verdana"/>
                <w:b/>
                <w:sz w:val="20"/>
                <w:lang w:val="en-US"/>
              </w:rPr>
              <w:t>Original: anglais</w:t>
            </w:r>
          </w:p>
        </w:tc>
      </w:tr>
      <w:tr w:rsidR="00690C7B" w:rsidRPr="002A6F8F" w14:paraId="396BCC79" w14:textId="77777777" w:rsidTr="00C11970">
        <w:trPr>
          <w:cantSplit/>
        </w:trPr>
        <w:tc>
          <w:tcPr>
            <w:tcW w:w="10031" w:type="dxa"/>
            <w:gridSpan w:val="2"/>
          </w:tcPr>
          <w:p w14:paraId="2E2AC246" w14:textId="77777777" w:rsidR="00690C7B" w:rsidRPr="002A6F8F" w:rsidRDefault="00690C7B" w:rsidP="00990FA2">
            <w:pPr>
              <w:spacing w:before="0"/>
              <w:rPr>
                <w:rFonts w:ascii="Verdana" w:hAnsi="Verdana"/>
                <w:b/>
                <w:sz w:val="20"/>
                <w:lang w:val="en-US"/>
              </w:rPr>
            </w:pPr>
          </w:p>
        </w:tc>
      </w:tr>
      <w:tr w:rsidR="00690C7B" w:rsidRPr="002A6F8F" w14:paraId="6EDC540B" w14:textId="77777777" w:rsidTr="0050008E">
        <w:trPr>
          <w:cantSplit/>
        </w:trPr>
        <w:tc>
          <w:tcPr>
            <w:tcW w:w="10031" w:type="dxa"/>
            <w:gridSpan w:val="2"/>
          </w:tcPr>
          <w:p w14:paraId="77901E03" w14:textId="77777777" w:rsidR="00690C7B" w:rsidRPr="007371BB" w:rsidRDefault="00690C7B" w:rsidP="00990FA2">
            <w:pPr>
              <w:pStyle w:val="Source"/>
              <w:rPr>
                <w:lang w:val="fr-CH"/>
              </w:rPr>
            </w:pPr>
            <w:bookmarkStart w:id="2" w:name="dsource" w:colFirst="0" w:colLast="0"/>
            <w:r w:rsidRPr="007371BB">
              <w:rPr>
                <w:lang w:val="fr-CH"/>
              </w:rPr>
              <w:t>Propositions communes de la Télécommunauté Asie-Pacifique</w:t>
            </w:r>
          </w:p>
        </w:tc>
      </w:tr>
      <w:tr w:rsidR="00690C7B" w:rsidRPr="002A6F8F" w14:paraId="7D79F35B" w14:textId="77777777" w:rsidTr="0050008E">
        <w:trPr>
          <w:cantSplit/>
        </w:trPr>
        <w:tc>
          <w:tcPr>
            <w:tcW w:w="10031" w:type="dxa"/>
            <w:gridSpan w:val="2"/>
          </w:tcPr>
          <w:p w14:paraId="15912D0C" w14:textId="3AAB7011" w:rsidR="00690C7B" w:rsidRPr="007371BB" w:rsidRDefault="00375656" w:rsidP="00990FA2">
            <w:pPr>
              <w:pStyle w:val="Title1"/>
              <w:rPr>
                <w:lang w:val="fr-CH"/>
              </w:rPr>
            </w:pPr>
            <w:bookmarkStart w:id="3" w:name="dtitle1" w:colFirst="0" w:colLast="0"/>
            <w:bookmarkEnd w:id="2"/>
            <w:r w:rsidRPr="007371BB">
              <w:rPr>
                <w:lang w:val="fr-CH"/>
              </w:rPr>
              <w:t>PROPOSITIONS POUR LES TRAVAUX DE LA CONFéRENCE</w:t>
            </w:r>
          </w:p>
        </w:tc>
      </w:tr>
      <w:tr w:rsidR="00690C7B" w:rsidRPr="002A6F8F" w14:paraId="429E3831" w14:textId="77777777" w:rsidTr="0050008E">
        <w:trPr>
          <w:cantSplit/>
        </w:trPr>
        <w:tc>
          <w:tcPr>
            <w:tcW w:w="10031" w:type="dxa"/>
            <w:gridSpan w:val="2"/>
          </w:tcPr>
          <w:p w14:paraId="4A79EDA2" w14:textId="77777777" w:rsidR="00690C7B" w:rsidRPr="007371BB" w:rsidRDefault="00690C7B" w:rsidP="00990FA2">
            <w:pPr>
              <w:pStyle w:val="Title2"/>
              <w:rPr>
                <w:lang w:val="fr-CH"/>
              </w:rPr>
            </w:pPr>
            <w:bookmarkStart w:id="4" w:name="dtitle2" w:colFirst="0" w:colLast="0"/>
            <w:bookmarkStart w:id="5" w:name="_GoBack"/>
            <w:bookmarkEnd w:id="3"/>
            <w:bookmarkEnd w:id="5"/>
          </w:p>
        </w:tc>
      </w:tr>
      <w:tr w:rsidR="00690C7B" w14:paraId="57364008" w14:textId="77777777" w:rsidTr="0050008E">
        <w:trPr>
          <w:cantSplit/>
        </w:trPr>
        <w:tc>
          <w:tcPr>
            <w:tcW w:w="10031" w:type="dxa"/>
            <w:gridSpan w:val="2"/>
          </w:tcPr>
          <w:p w14:paraId="4ADE8F8F" w14:textId="77777777" w:rsidR="00690C7B" w:rsidRDefault="00690C7B" w:rsidP="00990FA2">
            <w:pPr>
              <w:pStyle w:val="Agendaitem"/>
            </w:pPr>
            <w:bookmarkStart w:id="6" w:name="dtitle3" w:colFirst="0" w:colLast="0"/>
            <w:bookmarkEnd w:id="4"/>
            <w:r w:rsidRPr="006D4724">
              <w:t>Point 10 de l'ordre du jour</w:t>
            </w:r>
          </w:p>
        </w:tc>
      </w:tr>
    </w:tbl>
    <w:bookmarkEnd w:id="6"/>
    <w:p w14:paraId="57436000" w14:textId="3E63ED7F" w:rsidR="001C0E40" w:rsidRDefault="00A51BFC" w:rsidP="00990FA2">
      <w:r w:rsidRPr="009B46DD">
        <w:t>10</w:t>
      </w:r>
      <w:r w:rsidRPr="009B46DD">
        <w:tab/>
        <w:t>recommander au Conseil des points à inscrire à l'ordre du jour de la CMR suivante et exposer ses vues sur l'ordre du jour préliminaire de la conférence ultérieure ainsi que sur des points éventuels à inscrire à l'ordre du jour de conférences futures, conformément à l'article 7 de la Convention,</w:t>
      </w:r>
    </w:p>
    <w:p w14:paraId="4EBE4C6C" w14:textId="77777777" w:rsidR="00375656" w:rsidRPr="002A1461" w:rsidRDefault="00375656" w:rsidP="00990FA2">
      <w:pPr>
        <w:pStyle w:val="Headingb"/>
        <w:rPr>
          <w:lang w:val="fr-CH"/>
        </w:rPr>
      </w:pPr>
      <w:r w:rsidRPr="002A1461">
        <w:rPr>
          <w:lang w:val="fr-CH"/>
        </w:rPr>
        <w:t>Introduction</w:t>
      </w:r>
    </w:p>
    <w:p w14:paraId="1A9AF330" w14:textId="6E316FEC" w:rsidR="00375656" w:rsidRPr="00E8157D" w:rsidRDefault="00E8157D" w:rsidP="00990FA2">
      <w:pPr>
        <w:rPr>
          <w:lang w:val="fr-CH"/>
        </w:rPr>
      </w:pPr>
      <w:r w:rsidRPr="001A193E">
        <w:rPr>
          <w:color w:val="000000"/>
          <w:lang w:val="fr-CH"/>
        </w:rPr>
        <w:t>Les Membres de l'APT sont favorables à l</w:t>
      </w:r>
      <w:r w:rsidR="00990FA2">
        <w:rPr>
          <w:color w:val="000000"/>
          <w:lang w:val="fr-CH"/>
        </w:rPr>
        <w:t>'</w:t>
      </w:r>
      <w:r w:rsidRPr="001A193E">
        <w:rPr>
          <w:color w:val="000000"/>
          <w:lang w:val="fr-CH"/>
        </w:rPr>
        <w:t>inscription du point ci-après à l</w:t>
      </w:r>
      <w:r w:rsidR="00990FA2">
        <w:rPr>
          <w:color w:val="000000"/>
          <w:lang w:val="fr-CH"/>
        </w:rPr>
        <w:t>'</w:t>
      </w:r>
      <w:r w:rsidRPr="001A193E">
        <w:rPr>
          <w:color w:val="000000"/>
          <w:lang w:val="fr-CH"/>
        </w:rPr>
        <w:t>ordre du jour de la</w:t>
      </w:r>
      <w:r w:rsidR="00037BEC">
        <w:rPr>
          <w:color w:val="000000"/>
          <w:lang w:val="fr-CH"/>
        </w:rPr>
        <w:t> </w:t>
      </w:r>
      <w:r w:rsidRPr="001A193E">
        <w:rPr>
          <w:lang w:val="fr-CH"/>
        </w:rPr>
        <w:t>CMR</w:t>
      </w:r>
      <w:r w:rsidR="002A1461">
        <w:rPr>
          <w:lang w:val="fr-CH"/>
        </w:rPr>
        <w:noBreakHyphen/>
      </w:r>
      <w:r w:rsidRPr="001A193E">
        <w:rPr>
          <w:lang w:val="fr-CH"/>
        </w:rPr>
        <w:t>23:</w:t>
      </w:r>
      <w:r>
        <w:rPr>
          <w:lang w:val="fr-CH"/>
        </w:rPr>
        <w:t xml:space="preserve"> </w:t>
      </w:r>
    </w:p>
    <w:p w14:paraId="237C7772" w14:textId="2977C0F6" w:rsidR="003A583E" w:rsidRDefault="00827E82" w:rsidP="00990FA2">
      <w:pPr>
        <w:pStyle w:val="enumlev1"/>
        <w:rPr>
          <w:lang w:val="fr-CH"/>
        </w:rPr>
      </w:pPr>
      <w:r w:rsidRPr="00827E82">
        <w:rPr>
          <w:lang w:val="fr-CH"/>
        </w:rPr>
        <w:t>–</w:t>
      </w:r>
      <w:r>
        <w:rPr>
          <w:lang w:val="fr-CH"/>
        </w:rPr>
        <w:tab/>
      </w:r>
      <w:r w:rsidR="00375656" w:rsidRPr="00375656">
        <w:rPr>
          <w:lang w:val="fr-CH"/>
        </w:rPr>
        <w:t>Envisager une attribution au SMA(R)</w:t>
      </w:r>
      <w:r w:rsidR="00A8034F">
        <w:rPr>
          <w:lang w:val="fr-CH"/>
        </w:rPr>
        <w:t>S</w:t>
      </w:r>
      <w:r w:rsidR="00375656" w:rsidRPr="00375656">
        <w:rPr>
          <w:lang w:val="fr-CH"/>
        </w:rPr>
        <w:t xml:space="preserve"> pour la liaison montante et la liaison descendante des </w:t>
      </w:r>
      <w:r w:rsidR="00E8157D">
        <w:rPr>
          <w:lang w:val="fr-CH"/>
        </w:rPr>
        <w:t xml:space="preserve">applications </w:t>
      </w:r>
      <w:r w:rsidR="00375656" w:rsidRPr="00375656">
        <w:rPr>
          <w:lang w:val="fr-CH"/>
        </w:rPr>
        <w:t>aéronautiques en ondes métriques dans la bande de fréquences 117,975</w:t>
      </w:r>
      <w:r w:rsidR="002A1461">
        <w:rPr>
          <w:lang w:val="fr-CH"/>
        </w:rPr>
        <w:noBreakHyphen/>
      </w:r>
      <w:r w:rsidR="00375656" w:rsidRPr="00375656">
        <w:rPr>
          <w:lang w:val="fr-CH"/>
        </w:rPr>
        <w:t xml:space="preserve">137 MHz, </w:t>
      </w:r>
      <w:r w:rsidR="002A1461">
        <w:rPr>
          <w:lang w:val="fr-CH"/>
        </w:rPr>
        <w:t xml:space="preserve">tout </w:t>
      </w:r>
      <w:r w:rsidR="00375656" w:rsidRPr="00375656">
        <w:rPr>
          <w:lang w:val="fr-CH"/>
        </w:rPr>
        <w:t>en faisant en sorte qu'aucun brouillage préjudiciable ne soit causé ou qu'aucune contrainte additionnelle ne soit imposée aux services existants dans les mêmes bandes de fréquences ou dans les bandes de fréquences adjacentes, en particulier le SMA(R)</w:t>
      </w:r>
      <w:r w:rsidR="00E8157D">
        <w:rPr>
          <w:lang w:val="fr-CH"/>
        </w:rPr>
        <w:t xml:space="preserve"> </w:t>
      </w:r>
      <w:r w:rsidR="00375656" w:rsidRPr="00375656">
        <w:rPr>
          <w:lang w:val="fr-CH"/>
        </w:rPr>
        <w:t>dans la bande de fréquences 117,975-137 MHz et le SRNA dans la bande de fréquences 108-117,975 MHz.</w:t>
      </w:r>
    </w:p>
    <w:p w14:paraId="41939C21" w14:textId="77777777" w:rsidR="001B5D73" w:rsidRDefault="001B5D73">
      <w:pPr>
        <w:tabs>
          <w:tab w:val="clear" w:pos="1134"/>
          <w:tab w:val="clear" w:pos="1871"/>
          <w:tab w:val="clear" w:pos="2268"/>
        </w:tabs>
        <w:overflowPunct/>
        <w:autoSpaceDE/>
        <w:autoSpaceDN/>
        <w:adjustRightInd/>
        <w:spacing w:before="0"/>
        <w:textAlignment w:val="auto"/>
        <w:rPr>
          <w:b/>
          <w:lang w:val="fr-CH"/>
        </w:rPr>
      </w:pPr>
      <w:r>
        <w:rPr>
          <w:lang w:val="fr-CH"/>
        </w:rPr>
        <w:br w:type="page"/>
      </w:r>
    </w:p>
    <w:p w14:paraId="7C95F499" w14:textId="11A9FE75" w:rsidR="00375656" w:rsidRDefault="00375656" w:rsidP="00990FA2">
      <w:pPr>
        <w:pStyle w:val="Headingb"/>
      </w:pPr>
      <w:r w:rsidRPr="007371BB">
        <w:rPr>
          <w:lang w:val="fr-CH"/>
        </w:rPr>
        <w:lastRenderedPageBreak/>
        <w:t>Propos</w:t>
      </w:r>
      <w:r w:rsidR="00E8157D">
        <w:rPr>
          <w:lang w:val="fr-CH"/>
        </w:rPr>
        <w:t>itions</w:t>
      </w:r>
    </w:p>
    <w:p w14:paraId="6A8170C8" w14:textId="70DF45C9" w:rsidR="00EA6747" w:rsidRDefault="00A51BFC" w:rsidP="001B5D73">
      <w:pPr>
        <w:pStyle w:val="Proposal"/>
      </w:pPr>
      <w:r>
        <w:t>ADD</w:t>
      </w:r>
      <w:r>
        <w:tab/>
        <w:t>ACP/24A24A6/1</w:t>
      </w:r>
    </w:p>
    <w:p w14:paraId="02D09EAC" w14:textId="07313C6C" w:rsidR="00EA6747" w:rsidRDefault="00A51BFC" w:rsidP="00990FA2">
      <w:pPr>
        <w:pStyle w:val="ResNo"/>
      </w:pPr>
      <w:r>
        <w:t>Projet de nouvelle Résolution [ACP-A10-WRC23]</w:t>
      </w:r>
      <w:r w:rsidR="00BE4ADC">
        <w:t xml:space="preserve"> (CMR-19)</w:t>
      </w:r>
    </w:p>
    <w:p w14:paraId="1863E32F" w14:textId="306ACA07" w:rsidR="00EA6747" w:rsidRDefault="00BE4ADC" w:rsidP="00990FA2">
      <w:pPr>
        <w:pStyle w:val="Restitle"/>
      </w:pPr>
      <w:bookmarkStart w:id="7" w:name="_Toc450208829"/>
      <w:r w:rsidRPr="00BE4ADC">
        <w:rPr>
          <w:rFonts w:ascii="Times New Roman"/>
          <w:lang w:val="fr-CH"/>
        </w:rPr>
        <w:t>Ordre du jour pr</w:t>
      </w:r>
      <w:r w:rsidRPr="00BE4ADC">
        <w:rPr>
          <w:rFonts w:ascii="Times New Roman"/>
          <w:lang w:val="fr-CH"/>
        </w:rPr>
        <w:t>é</w:t>
      </w:r>
      <w:r w:rsidRPr="00BE4ADC">
        <w:rPr>
          <w:rFonts w:ascii="Times New Roman"/>
          <w:lang w:val="fr-CH"/>
        </w:rPr>
        <w:t>liminaire de la Conf</w:t>
      </w:r>
      <w:r w:rsidRPr="00BE4ADC">
        <w:rPr>
          <w:rFonts w:ascii="Times New Roman"/>
          <w:lang w:val="fr-CH"/>
        </w:rPr>
        <w:t>é</w:t>
      </w:r>
      <w:r w:rsidRPr="00BE4ADC">
        <w:rPr>
          <w:rFonts w:ascii="Times New Roman"/>
          <w:lang w:val="fr-CH"/>
        </w:rPr>
        <w:t>rence mondiale</w:t>
      </w:r>
      <w:r w:rsidRPr="00BE4ADC">
        <w:rPr>
          <w:rFonts w:ascii="Times New Roman"/>
          <w:lang w:val="fr-CH"/>
        </w:rPr>
        <w:br/>
        <w:t>des radiocommunications de 2023</w:t>
      </w:r>
      <w:bookmarkEnd w:id="7"/>
    </w:p>
    <w:p w14:paraId="39E8A476" w14:textId="501B78DF" w:rsidR="00BE4ADC" w:rsidRPr="00A8034F" w:rsidRDefault="00A8034F" w:rsidP="00990FA2">
      <w:pPr>
        <w:pStyle w:val="Normalaftertitle"/>
        <w:rPr>
          <w:lang w:val="fr-CH"/>
        </w:rPr>
      </w:pPr>
      <w:r w:rsidRPr="00E101E7">
        <w:rPr>
          <w:rFonts w:eastAsia="MS Mincho"/>
          <w:lang w:val="fr-CH" w:eastAsia="zh-CN"/>
        </w:rPr>
        <w:t>La Conférence mondiale des radiocommunications (Charm el-Cheikh, 2019),</w:t>
      </w:r>
      <w:r>
        <w:rPr>
          <w:rFonts w:eastAsia="MS Mincho"/>
          <w:lang w:eastAsia="zh-CN"/>
        </w:rPr>
        <w:t xml:space="preserve"> </w:t>
      </w:r>
    </w:p>
    <w:p w14:paraId="2CFA02EF" w14:textId="77777777" w:rsidR="00BE4ADC" w:rsidRPr="007371BB" w:rsidRDefault="00BE4ADC" w:rsidP="00990FA2">
      <w:pPr>
        <w:pStyle w:val="Normalaftertitle"/>
        <w:rPr>
          <w:lang w:val="fr-CH"/>
        </w:rPr>
      </w:pPr>
      <w:r w:rsidRPr="007371BB">
        <w:rPr>
          <w:lang w:val="fr-CH"/>
        </w:rPr>
        <w:t>…</w:t>
      </w:r>
    </w:p>
    <w:p w14:paraId="5CF454A0" w14:textId="634617F5" w:rsidR="0015474D" w:rsidRDefault="00A8034F" w:rsidP="00990FA2">
      <w:pPr>
        <w:rPr>
          <w:lang w:val="fr-CH"/>
        </w:rPr>
      </w:pPr>
      <w:r>
        <w:rPr>
          <w:lang w:val="fr-CH"/>
        </w:rPr>
        <w:t>1.x</w:t>
      </w:r>
      <w:r w:rsidR="003C32A6">
        <w:rPr>
          <w:lang w:val="fr-CH"/>
        </w:rPr>
        <w:tab/>
      </w:r>
      <w:r w:rsidR="00037BEC" w:rsidRPr="00375656">
        <w:rPr>
          <w:lang w:val="fr-CH"/>
        </w:rPr>
        <w:t>e</w:t>
      </w:r>
      <w:r w:rsidRPr="00375656">
        <w:rPr>
          <w:lang w:val="fr-CH"/>
        </w:rPr>
        <w:t xml:space="preserve">nvisager une attribution au </w:t>
      </w:r>
      <w:r w:rsidRPr="00A8034F">
        <w:rPr>
          <w:lang w:val="fr-CH"/>
        </w:rPr>
        <w:t>service mobile aéronautique (R)</w:t>
      </w:r>
      <w:r>
        <w:rPr>
          <w:lang w:val="fr-CH"/>
        </w:rPr>
        <w:t xml:space="preserve"> </w:t>
      </w:r>
      <w:r w:rsidRPr="00A8034F">
        <w:rPr>
          <w:lang w:val="fr-CH"/>
        </w:rPr>
        <w:t xml:space="preserve">par satellite </w:t>
      </w:r>
      <w:r>
        <w:rPr>
          <w:lang w:val="fr-CH"/>
        </w:rPr>
        <w:t>(</w:t>
      </w:r>
      <w:r w:rsidRPr="00375656">
        <w:rPr>
          <w:lang w:val="fr-CH"/>
        </w:rPr>
        <w:t>SMA(R)</w:t>
      </w:r>
      <w:r>
        <w:rPr>
          <w:lang w:val="fr-CH"/>
        </w:rPr>
        <w:t>S</w:t>
      </w:r>
      <w:r w:rsidR="00037BEC">
        <w:rPr>
          <w:lang w:val="fr-CH"/>
        </w:rPr>
        <w:t>)</w:t>
      </w:r>
      <w:r w:rsidR="00776064">
        <w:rPr>
          <w:lang w:val="fr-CH"/>
        </w:rPr>
        <w:t xml:space="preserve"> </w:t>
      </w:r>
      <w:r>
        <w:rPr>
          <w:lang w:val="fr-CH"/>
        </w:rPr>
        <w:t>conformément à la Résolution</w:t>
      </w:r>
      <w:r w:rsidR="00776064">
        <w:rPr>
          <w:lang w:val="fr-CH"/>
        </w:rPr>
        <w:t xml:space="preserve"> </w:t>
      </w:r>
      <w:r w:rsidRPr="00990FA2">
        <w:rPr>
          <w:b/>
          <w:bCs/>
          <w:lang w:val="fr-CH"/>
        </w:rPr>
        <w:t>[ACP-F10-SPACE BASED VHF] (CMR-19)</w:t>
      </w:r>
      <w:r w:rsidRPr="00A8034F">
        <w:rPr>
          <w:lang w:val="fr-CH"/>
        </w:rPr>
        <w:t xml:space="preserve"> </w:t>
      </w:r>
      <w:r w:rsidRPr="00375656">
        <w:rPr>
          <w:lang w:val="fr-CH"/>
        </w:rPr>
        <w:t xml:space="preserve">pour la liaison montante et la liaison descendante des </w:t>
      </w:r>
      <w:r>
        <w:rPr>
          <w:lang w:val="fr-CH"/>
        </w:rPr>
        <w:t xml:space="preserve">applications </w:t>
      </w:r>
      <w:r w:rsidRPr="00375656">
        <w:rPr>
          <w:lang w:val="fr-CH"/>
        </w:rPr>
        <w:t xml:space="preserve">aéronautiques en ondes métriques dans la bande de fréquences 117,975-137 MHz, </w:t>
      </w:r>
      <w:r>
        <w:rPr>
          <w:lang w:val="fr-CH"/>
        </w:rPr>
        <w:t>t</w:t>
      </w:r>
      <w:r w:rsidRPr="00A8034F">
        <w:rPr>
          <w:lang w:val="fr-CH"/>
        </w:rPr>
        <w:t>out en</w:t>
      </w:r>
      <w:r w:rsidR="00776064">
        <w:rPr>
          <w:lang w:val="fr-CH"/>
        </w:rPr>
        <w:t xml:space="preserve"> </w:t>
      </w:r>
      <w:r w:rsidRPr="00375656">
        <w:rPr>
          <w:lang w:val="fr-CH"/>
        </w:rPr>
        <w:t xml:space="preserve">faisant en sorte qu'aucun brouillage préjudiciable ne soit causé ou qu'aucune contrainte additionnelle ne soit imposée aux services existants dans les mêmes bandes de fréquences ou dans les bandes de fréquences adjacentes, en particulier le </w:t>
      </w:r>
      <w:r w:rsidRPr="00A8034F">
        <w:rPr>
          <w:lang w:val="fr-CH"/>
        </w:rPr>
        <w:t>service mobile aéronautique (R)</w:t>
      </w:r>
      <w:r>
        <w:rPr>
          <w:lang w:val="fr-CH"/>
        </w:rPr>
        <w:t xml:space="preserve"> (</w:t>
      </w:r>
      <w:r w:rsidRPr="00375656">
        <w:rPr>
          <w:lang w:val="fr-CH"/>
        </w:rPr>
        <w:t>SMA(R)</w:t>
      </w:r>
      <w:r>
        <w:rPr>
          <w:lang w:val="fr-CH"/>
        </w:rPr>
        <w:t>)</w:t>
      </w:r>
      <w:r w:rsidRPr="00375656">
        <w:rPr>
          <w:lang w:val="fr-CH"/>
        </w:rPr>
        <w:t xml:space="preserve"> dans la bande de fréquences 117,975-137 MHz et le </w:t>
      </w:r>
      <w:r>
        <w:rPr>
          <w:lang w:val="fr-CH"/>
        </w:rPr>
        <w:t>service de radionavigation aéronautique (</w:t>
      </w:r>
      <w:r w:rsidRPr="00375656">
        <w:rPr>
          <w:lang w:val="fr-CH"/>
        </w:rPr>
        <w:t>SRNA</w:t>
      </w:r>
      <w:r>
        <w:rPr>
          <w:lang w:val="fr-CH"/>
        </w:rPr>
        <w:t>)</w:t>
      </w:r>
      <w:r w:rsidRPr="00375656">
        <w:rPr>
          <w:lang w:val="fr-CH"/>
        </w:rPr>
        <w:t xml:space="preserve"> dans la bande de fréquences 108-117,975 MHz.</w:t>
      </w:r>
      <w:r>
        <w:rPr>
          <w:lang w:val="fr-CH"/>
        </w:rPr>
        <w:t xml:space="preserve"> </w:t>
      </w:r>
    </w:p>
    <w:p w14:paraId="6171FAFF" w14:textId="13AC71E9" w:rsidR="003C32A6" w:rsidRPr="0015474D" w:rsidRDefault="003C32A6" w:rsidP="00990FA2">
      <w:pPr>
        <w:rPr>
          <w:lang w:val="fr-CH"/>
        </w:rPr>
      </w:pPr>
      <w:r>
        <w:rPr>
          <w:lang w:val="fr-CH"/>
        </w:rPr>
        <w:t>...</w:t>
      </w:r>
    </w:p>
    <w:p w14:paraId="24F5E353" w14:textId="3FDBCA54" w:rsidR="00EA6747" w:rsidRPr="00A8034F" w:rsidRDefault="00A51BFC" w:rsidP="00990FA2">
      <w:pPr>
        <w:pStyle w:val="Reasons"/>
        <w:rPr>
          <w:lang w:val="fr-CH"/>
        </w:rPr>
      </w:pPr>
      <w:r w:rsidRPr="00A8034F">
        <w:rPr>
          <w:b/>
          <w:lang w:val="fr-CH"/>
        </w:rPr>
        <w:t>Motifs:</w:t>
      </w:r>
      <w:r w:rsidRPr="00A8034F">
        <w:rPr>
          <w:lang w:val="fr-CH"/>
        </w:rPr>
        <w:tab/>
      </w:r>
      <w:r w:rsidR="00827E82">
        <w:rPr>
          <w:lang w:val="fr-CH"/>
        </w:rPr>
        <w:t>P</w:t>
      </w:r>
      <w:r w:rsidR="00A8034F" w:rsidRPr="001A193E">
        <w:rPr>
          <w:lang w:val="fr-CH"/>
        </w:rPr>
        <w:t>roposition visant à inscrire un nouveau point à l</w:t>
      </w:r>
      <w:r w:rsidR="00990FA2">
        <w:rPr>
          <w:lang w:val="fr-CH"/>
        </w:rPr>
        <w:t>'</w:t>
      </w:r>
      <w:r w:rsidR="00A8034F" w:rsidRPr="001A193E">
        <w:rPr>
          <w:lang w:val="fr-CH"/>
        </w:rPr>
        <w:t>ordre du jour de la</w:t>
      </w:r>
      <w:r w:rsidR="00776064">
        <w:rPr>
          <w:lang w:val="fr-CH"/>
        </w:rPr>
        <w:t xml:space="preserve"> </w:t>
      </w:r>
      <w:r w:rsidR="00A8034F" w:rsidRPr="001A193E">
        <w:rPr>
          <w:lang w:val="fr-CH"/>
        </w:rPr>
        <w:t>CMR-23, en vue</w:t>
      </w:r>
      <w:r w:rsidR="00A8034F">
        <w:rPr>
          <w:lang w:val="fr-CH"/>
        </w:rPr>
        <w:t xml:space="preserve"> d</w:t>
      </w:r>
      <w:r w:rsidR="00990FA2">
        <w:rPr>
          <w:lang w:val="fr-CH"/>
        </w:rPr>
        <w:t>'</w:t>
      </w:r>
      <w:r w:rsidR="00A8034F">
        <w:rPr>
          <w:lang w:val="fr-CH"/>
        </w:rPr>
        <w:t>envisager une attribution au SMA(R)S</w:t>
      </w:r>
      <w:r w:rsidR="00A8034F" w:rsidRPr="00A8034F">
        <w:rPr>
          <w:lang w:val="fr-CH"/>
        </w:rPr>
        <w:t xml:space="preserve"> </w:t>
      </w:r>
      <w:r w:rsidR="00A8034F" w:rsidRPr="00375656">
        <w:rPr>
          <w:lang w:val="fr-CH"/>
        </w:rPr>
        <w:t>pour la liaison montante et la liaison descendante</w:t>
      </w:r>
      <w:r w:rsidR="00A8034F">
        <w:rPr>
          <w:lang w:val="fr-CH"/>
        </w:rPr>
        <w:t xml:space="preserve"> </w:t>
      </w:r>
      <w:r w:rsidR="00A8034F" w:rsidRPr="00375656">
        <w:rPr>
          <w:lang w:val="fr-CH"/>
        </w:rPr>
        <w:t>dans la bande de fréquences</w:t>
      </w:r>
      <w:r w:rsidR="00776064">
        <w:rPr>
          <w:lang w:val="fr-CH"/>
        </w:rPr>
        <w:t xml:space="preserve"> </w:t>
      </w:r>
      <w:r w:rsidR="00BE4ADC" w:rsidRPr="00A8034F">
        <w:rPr>
          <w:lang w:val="fr-CH"/>
        </w:rPr>
        <w:t>117</w:t>
      </w:r>
      <w:r w:rsidR="00990FA2">
        <w:rPr>
          <w:lang w:val="fr-CH"/>
        </w:rPr>
        <w:t>,</w:t>
      </w:r>
      <w:r w:rsidR="00BE4ADC" w:rsidRPr="00A8034F">
        <w:rPr>
          <w:lang w:val="fr-CH"/>
        </w:rPr>
        <w:t>975-137 MHz.</w:t>
      </w:r>
    </w:p>
    <w:p w14:paraId="081EBC6D" w14:textId="77777777" w:rsidR="00EA6747" w:rsidRDefault="00A51BFC" w:rsidP="00990FA2">
      <w:pPr>
        <w:pStyle w:val="Proposal"/>
      </w:pPr>
      <w:r>
        <w:t>ADD</w:t>
      </w:r>
      <w:r>
        <w:tab/>
        <w:t>ACP/24A24A6/2</w:t>
      </w:r>
    </w:p>
    <w:p w14:paraId="1E2F49D6" w14:textId="3D74EB5D" w:rsidR="00EA6747" w:rsidRDefault="00A51BFC" w:rsidP="00990FA2">
      <w:pPr>
        <w:pStyle w:val="ResNo"/>
      </w:pPr>
      <w:r>
        <w:t>Projet de nouvelle Résolution [ACP-F10-SPACE BASED VHF]</w:t>
      </w:r>
      <w:r w:rsidR="00BE4ADC">
        <w:t xml:space="preserve"> (CMR</w:t>
      </w:r>
      <w:r w:rsidR="00BE4ADC">
        <w:noBreakHyphen/>
        <w:t>19)</w:t>
      </w:r>
    </w:p>
    <w:p w14:paraId="17305EFA" w14:textId="340716DB" w:rsidR="00EA6747" w:rsidRDefault="00CE6966" w:rsidP="00990FA2">
      <w:pPr>
        <w:pStyle w:val="Restitle"/>
      </w:pPr>
      <w:bookmarkStart w:id="8" w:name="_Hlk12221551"/>
      <w:r>
        <w:rPr>
          <w:rFonts w:ascii="Times New Roman"/>
        </w:rPr>
        <w:t xml:space="preserve">Applications </w:t>
      </w:r>
      <w:r w:rsidR="00BE4ADC" w:rsidRPr="00BE4ADC">
        <w:rPr>
          <w:rFonts w:ascii="Times New Roman"/>
        </w:rPr>
        <w:t>spatiales en ondes m</w:t>
      </w:r>
      <w:r w:rsidR="00BE4ADC" w:rsidRPr="00BE4ADC">
        <w:rPr>
          <w:rFonts w:ascii="Times New Roman"/>
        </w:rPr>
        <w:t>é</w:t>
      </w:r>
      <w:r w:rsidR="00BE4ADC" w:rsidRPr="00BE4ADC">
        <w:rPr>
          <w:rFonts w:ascii="Times New Roman"/>
        </w:rPr>
        <w:t xml:space="preserve">triques dans </w:t>
      </w:r>
      <w:r w:rsidR="00BE4ADC" w:rsidRPr="00BE4ADC">
        <w:rPr>
          <w:rFonts w:ascii="Times New Roman"/>
        </w:rPr>
        <w:br/>
        <w:t>la bande de fr</w:t>
      </w:r>
      <w:r w:rsidR="00BE4ADC" w:rsidRPr="00BE4ADC">
        <w:rPr>
          <w:rFonts w:ascii="Times New Roman"/>
        </w:rPr>
        <w:t>é</w:t>
      </w:r>
      <w:r w:rsidR="00BE4ADC" w:rsidRPr="00BE4ADC">
        <w:rPr>
          <w:rFonts w:ascii="Times New Roman"/>
        </w:rPr>
        <w:t>quences</w:t>
      </w:r>
      <w:bookmarkEnd w:id="8"/>
      <w:r w:rsidR="00BE4ADC" w:rsidRPr="00BE4ADC">
        <w:rPr>
          <w:rFonts w:ascii="Times New Roman"/>
        </w:rPr>
        <w:t xml:space="preserve"> 117,975-137 MHz</w:t>
      </w:r>
    </w:p>
    <w:p w14:paraId="70833BED" w14:textId="77777777" w:rsidR="009433B9" w:rsidRPr="00BF28F6" w:rsidRDefault="009433B9" w:rsidP="00990FA2">
      <w:pPr>
        <w:pStyle w:val="Normalaftertitle"/>
        <w:rPr>
          <w:lang w:val="fr-CH"/>
        </w:rPr>
      </w:pPr>
      <w:r w:rsidRPr="00BF28F6">
        <w:rPr>
          <w:color w:val="000000"/>
          <w:lang w:val="fr-CH"/>
        </w:rPr>
        <w:t>La Conférence mondiale des radiocommunications (Charm el-Cheikh, 2019),</w:t>
      </w:r>
    </w:p>
    <w:p w14:paraId="759EF1E0" w14:textId="77777777" w:rsidR="009433B9" w:rsidRPr="00BF28F6" w:rsidRDefault="009433B9" w:rsidP="00990FA2">
      <w:pPr>
        <w:pStyle w:val="Call"/>
        <w:rPr>
          <w:lang w:val="fr-CH"/>
        </w:rPr>
      </w:pPr>
      <w:r w:rsidRPr="00BF28F6">
        <w:rPr>
          <w:lang w:val="fr-CH"/>
        </w:rPr>
        <w:t>considérant</w:t>
      </w:r>
    </w:p>
    <w:p w14:paraId="6DB20519" w14:textId="77777777" w:rsidR="009433B9" w:rsidRPr="00BF28F6" w:rsidRDefault="009433B9" w:rsidP="00990FA2">
      <w:pPr>
        <w:rPr>
          <w:lang w:val="fr-CH"/>
        </w:rPr>
      </w:pPr>
      <w:r w:rsidRPr="00BF28F6">
        <w:rPr>
          <w:i/>
          <w:lang w:val="fr-CH"/>
        </w:rPr>
        <w:t>a)</w:t>
      </w:r>
      <w:r w:rsidRPr="00BF28F6">
        <w:rPr>
          <w:i/>
          <w:lang w:val="fr-CH"/>
        </w:rPr>
        <w:tab/>
      </w:r>
      <w:r w:rsidRPr="00BF28F6">
        <w:rPr>
          <w:iCs/>
          <w:lang w:val="fr-CH"/>
        </w:rPr>
        <w:t xml:space="preserve">que </w:t>
      </w:r>
      <w:r w:rsidRPr="00BF28F6">
        <w:rPr>
          <w:lang w:val="fr-CH"/>
        </w:rPr>
        <w:t>le service spatial de communications vocales pour les applications aéronautiques en ondes métriques permettra d'assurer des communications directes contrôleur-pilote (DCPC) dans l'espace aérien, où il est difficile, en raison de l'éloignement géographique, et extrêmement coûteux de fournir et d'assurer des services de communications vocales en ondes métriques de Terre;</w:t>
      </w:r>
    </w:p>
    <w:p w14:paraId="617A917B" w14:textId="77777777" w:rsidR="009433B9" w:rsidRPr="00BF28F6" w:rsidRDefault="009433B9" w:rsidP="00990FA2">
      <w:pPr>
        <w:rPr>
          <w:lang w:val="fr-CH"/>
        </w:rPr>
      </w:pPr>
      <w:r w:rsidRPr="00BF28F6">
        <w:rPr>
          <w:i/>
          <w:lang w:val="fr-CH"/>
        </w:rPr>
        <w:t>b)</w:t>
      </w:r>
      <w:r w:rsidRPr="00BF28F6">
        <w:rPr>
          <w:i/>
          <w:lang w:val="fr-CH"/>
        </w:rPr>
        <w:tab/>
      </w:r>
      <w:r w:rsidRPr="00BF28F6">
        <w:rPr>
          <w:iCs/>
          <w:lang w:val="fr-CH"/>
        </w:rPr>
        <w:t xml:space="preserve">que les techniques </w:t>
      </w:r>
      <w:r w:rsidRPr="00BF28F6">
        <w:rPr>
          <w:lang w:val="fr-CH"/>
        </w:rPr>
        <w:t>de communications spatiales vocales en ondes métriques pour les applications aéronautiques, lorsqu'elles sont utilisées en association avec des systèmes de</w:t>
      </w:r>
      <w:r w:rsidRPr="00BF28F6">
        <w:rPr>
          <w:color w:val="000000"/>
          <w:lang w:val="fr-CH"/>
        </w:rPr>
        <w:t xml:space="preserve"> suivi des vols à l'échelle mondiale</w:t>
      </w:r>
      <w:r w:rsidRPr="00BF28F6">
        <w:rPr>
          <w:lang w:val="fr-CH"/>
        </w:rPr>
        <w:t>, peuvent être employées pour permettre des distances de séparation minimales de type radar et offrent la possibilité d'améliorer la capacité et l'efficacité de l'espace aérien, en particulier au-dessus des zones isolées et océaniques;</w:t>
      </w:r>
    </w:p>
    <w:p w14:paraId="362C1033" w14:textId="5067DBF2" w:rsidR="009433B9" w:rsidRPr="00BF28F6" w:rsidRDefault="009433B9" w:rsidP="00990FA2">
      <w:pPr>
        <w:rPr>
          <w:i/>
          <w:lang w:val="fr-CH"/>
        </w:rPr>
      </w:pPr>
      <w:r w:rsidRPr="00BF28F6">
        <w:rPr>
          <w:i/>
          <w:lang w:val="fr-CH"/>
        </w:rPr>
        <w:lastRenderedPageBreak/>
        <w:t>c)</w:t>
      </w:r>
      <w:r w:rsidRPr="00BF28F6">
        <w:rPr>
          <w:i/>
          <w:lang w:val="fr-CH"/>
        </w:rPr>
        <w:tab/>
      </w:r>
      <w:r w:rsidRPr="00BF28F6">
        <w:rPr>
          <w:iCs/>
          <w:lang w:val="fr-CH"/>
        </w:rPr>
        <w:t xml:space="preserve">que ces techniques </w:t>
      </w:r>
      <w:r w:rsidRPr="00BF28F6">
        <w:rPr>
          <w:lang w:val="fr-CH"/>
        </w:rPr>
        <w:t>p</w:t>
      </w:r>
      <w:r w:rsidR="00CE6966">
        <w:rPr>
          <w:lang w:val="fr-CH"/>
        </w:rPr>
        <w:t>ourraient</w:t>
      </w:r>
      <w:r w:rsidRPr="00BF28F6">
        <w:rPr>
          <w:lang w:val="fr-CH"/>
        </w:rPr>
        <w:t xml:space="preserve"> également être utiles en tant qu'infrastructure de communication d'urgence pour l'espace aérien en cas de catastrophe naturelle, par exemple en cas d'inondation et de tremblement de terre;</w:t>
      </w:r>
    </w:p>
    <w:p w14:paraId="53763950" w14:textId="77777777" w:rsidR="009433B9" w:rsidRPr="00BF28F6" w:rsidRDefault="009433B9" w:rsidP="00990FA2">
      <w:pPr>
        <w:rPr>
          <w:i/>
          <w:lang w:val="fr-CH"/>
        </w:rPr>
      </w:pPr>
      <w:r w:rsidRPr="00BF28F6">
        <w:rPr>
          <w:i/>
          <w:lang w:val="fr-CH"/>
        </w:rPr>
        <w:t>d)</w:t>
      </w:r>
      <w:r w:rsidRPr="00BF28F6">
        <w:rPr>
          <w:i/>
          <w:lang w:val="fr-CH"/>
        </w:rPr>
        <w:tab/>
      </w:r>
      <w:r w:rsidRPr="00BF28F6">
        <w:rPr>
          <w:iCs/>
          <w:lang w:val="fr-CH"/>
        </w:rPr>
        <w:t>que la bande de fréquences pour la réception par satellite d'informations sur la surveillance et la position des aéronefs a été attribuée par la CMR-15 pour permettre le suivi des vols à l'échelle mondiale;</w:t>
      </w:r>
    </w:p>
    <w:p w14:paraId="79818228" w14:textId="5477EE40" w:rsidR="009433B9" w:rsidRPr="00BF28F6" w:rsidRDefault="009433B9" w:rsidP="00990FA2">
      <w:pPr>
        <w:rPr>
          <w:i/>
          <w:lang w:val="fr-CH"/>
        </w:rPr>
      </w:pPr>
      <w:r w:rsidRPr="00BF28F6">
        <w:rPr>
          <w:i/>
          <w:lang w:val="fr-CH"/>
        </w:rPr>
        <w:t>e)</w:t>
      </w:r>
      <w:r w:rsidRPr="00BF28F6">
        <w:rPr>
          <w:i/>
          <w:lang w:val="fr-CH"/>
        </w:rPr>
        <w:tab/>
      </w:r>
      <w:r w:rsidRPr="00BF28F6">
        <w:rPr>
          <w:iCs/>
          <w:lang w:val="fr-CH"/>
        </w:rPr>
        <w:t xml:space="preserve">qu'à l'heure actuelle, la bande de fréquences en ondes métriques </w:t>
      </w:r>
      <w:r w:rsidRPr="00BF28F6">
        <w:rPr>
          <w:lang w:val="fr-CH"/>
        </w:rPr>
        <w:t xml:space="preserve">117,975-137 MHz </w:t>
      </w:r>
      <w:r w:rsidRPr="00BF28F6">
        <w:rPr>
          <w:iCs/>
          <w:lang w:val="fr-CH"/>
        </w:rPr>
        <w:t>attribuée au service mobile aéronautique</w:t>
      </w:r>
      <w:r w:rsidRPr="00BF28F6">
        <w:rPr>
          <w:i/>
          <w:lang w:val="fr-CH"/>
        </w:rPr>
        <w:t xml:space="preserve"> </w:t>
      </w:r>
      <w:r w:rsidRPr="00BF28F6">
        <w:rPr>
          <w:lang w:val="fr-CH"/>
        </w:rPr>
        <w:t xml:space="preserve">(R) (SMA(R)) est utilisée pour les </w:t>
      </w:r>
      <w:r w:rsidRPr="00BF28F6">
        <w:rPr>
          <w:color w:val="000000"/>
          <w:lang w:val="fr-CH"/>
        </w:rPr>
        <w:t>communications relatives au trafic aérien et à l'exploitation des lignes aériennes dans l'espace aérien de Terre</w:t>
      </w:r>
      <w:r w:rsidR="00112980">
        <w:rPr>
          <w:color w:val="000000"/>
          <w:lang w:val="fr-CH"/>
        </w:rPr>
        <w:t>,</w:t>
      </w:r>
      <w:r w:rsidRPr="00BF28F6">
        <w:rPr>
          <w:lang w:val="fr-CH"/>
        </w:rPr>
        <w:t xml:space="preserve"> et que les canaux en ondes métriques arrivent à saturation dans certaines régions du monde où le trafic aérien est intense,</w:t>
      </w:r>
    </w:p>
    <w:p w14:paraId="786B3F66" w14:textId="77777777" w:rsidR="009433B9" w:rsidRPr="00BF28F6" w:rsidRDefault="009433B9" w:rsidP="00990FA2">
      <w:pPr>
        <w:pStyle w:val="Call"/>
        <w:rPr>
          <w:lang w:val="fr-CH"/>
        </w:rPr>
      </w:pPr>
      <w:r w:rsidRPr="00BF28F6">
        <w:rPr>
          <w:lang w:val="fr-CH"/>
        </w:rPr>
        <w:t>reconnaissant</w:t>
      </w:r>
    </w:p>
    <w:p w14:paraId="456C2A75" w14:textId="50F3B848" w:rsidR="009433B9" w:rsidRPr="00BF28F6" w:rsidRDefault="009433B9" w:rsidP="00990FA2">
      <w:pPr>
        <w:rPr>
          <w:lang w:val="fr-CH"/>
        </w:rPr>
      </w:pPr>
      <w:r w:rsidRPr="009433B9">
        <w:rPr>
          <w:i/>
          <w:iCs/>
          <w:lang w:val="fr-CH"/>
        </w:rPr>
        <w:t>a)</w:t>
      </w:r>
      <w:r>
        <w:rPr>
          <w:lang w:val="fr-CH"/>
        </w:rPr>
        <w:tab/>
      </w:r>
      <w:r w:rsidRPr="00BF28F6">
        <w:rPr>
          <w:lang w:val="fr-CH"/>
        </w:rPr>
        <w:t>que dans le Règlement des radiocommunications, la bande d'ondes métriques considérée est attribuée aux applications aéronautiques,</w:t>
      </w:r>
    </w:p>
    <w:p w14:paraId="61A5B4D3" w14:textId="77777777" w:rsidR="009433B9" w:rsidRPr="00BF28F6" w:rsidRDefault="009433B9" w:rsidP="00990FA2">
      <w:pPr>
        <w:pStyle w:val="Call"/>
        <w:rPr>
          <w:iCs/>
          <w:lang w:val="fr-CH"/>
        </w:rPr>
      </w:pPr>
      <w:r w:rsidRPr="00BF28F6">
        <w:rPr>
          <w:lang w:val="fr-CH"/>
        </w:rPr>
        <w:t>notant</w:t>
      </w:r>
    </w:p>
    <w:p w14:paraId="2D16F931" w14:textId="08D17289" w:rsidR="009433B9" w:rsidRPr="00BF28F6" w:rsidRDefault="009433B9" w:rsidP="00990FA2">
      <w:pPr>
        <w:rPr>
          <w:lang w:val="fr-CH"/>
        </w:rPr>
      </w:pPr>
      <w:r w:rsidRPr="00BF28F6">
        <w:rPr>
          <w:i/>
          <w:lang w:val="fr-CH"/>
        </w:rPr>
        <w:t>a)</w:t>
      </w:r>
      <w:r w:rsidRPr="00BF28F6">
        <w:rPr>
          <w:lang w:val="fr-CH"/>
        </w:rPr>
        <w:tab/>
        <w:t xml:space="preserve">que la bande d'ondes métriques attribuée </w:t>
      </w:r>
      <w:r w:rsidR="00827E82">
        <w:rPr>
          <w:lang w:val="fr-CH"/>
        </w:rPr>
        <w:t>aux</w:t>
      </w:r>
      <w:r w:rsidRPr="00BF28F6">
        <w:rPr>
          <w:lang w:val="fr-CH"/>
        </w:rPr>
        <w:t xml:space="preserve"> applications aéronautiques constitue la principale bande pour les radiocommunications utilisées par les centres de contrôle des aéronefs et du trafic aérien aux fins des</w:t>
      </w:r>
      <w:r w:rsidRPr="00BF28F6">
        <w:rPr>
          <w:color w:val="000000"/>
          <w:lang w:val="fr-CH"/>
        </w:rPr>
        <w:t xml:space="preserve"> communications vocales air-sol</w:t>
      </w:r>
      <w:r w:rsidRPr="00BF28F6">
        <w:rPr>
          <w:lang w:val="fr-CH"/>
        </w:rPr>
        <w:t xml:space="preserve"> durant le vol, l'approche et l'atterrissage;</w:t>
      </w:r>
    </w:p>
    <w:p w14:paraId="65628DE9" w14:textId="66D01294" w:rsidR="009433B9" w:rsidRPr="00BF28F6" w:rsidRDefault="009433B9" w:rsidP="00990FA2">
      <w:pPr>
        <w:rPr>
          <w:lang w:val="fr-CH"/>
        </w:rPr>
      </w:pPr>
      <w:r w:rsidRPr="00BF28F6">
        <w:rPr>
          <w:i/>
          <w:iCs/>
          <w:lang w:val="fr-CH"/>
        </w:rPr>
        <w:t>b)</w:t>
      </w:r>
      <w:r w:rsidRPr="00BF28F6">
        <w:rPr>
          <w:lang w:val="fr-CH"/>
        </w:rPr>
        <w:tab/>
        <w:t xml:space="preserve">que </w:t>
      </w:r>
      <w:r w:rsidR="00112980" w:rsidRPr="00112980">
        <w:rPr>
          <w:lang w:val="fr-CH"/>
        </w:rPr>
        <w:t>l'Organisation de l'aviation civile internationale (OACI)</w:t>
      </w:r>
      <w:r w:rsidR="00112980">
        <w:rPr>
          <w:lang w:val="fr-CH"/>
        </w:rPr>
        <w:t xml:space="preserve"> </w:t>
      </w:r>
      <w:r w:rsidRPr="00BF28F6">
        <w:rPr>
          <w:lang w:val="fr-CH"/>
        </w:rPr>
        <w:t xml:space="preserve">a élaboré </w:t>
      </w:r>
      <w:r w:rsidRPr="00BF28F6">
        <w:rPr>
          <w:color w:val="000000"/>
          <w:lang w:val="fr-CH"/>
        </w:rPr>
        <w:t>des normes et pratiques recommandées (SARP), qui donnent des précisions sur les critères de planification des assignations de fréquence pour les systèmes de communication air-sol</w:t>
      </w:r>
      <w:r w:rsidRPr="00BF28F6">
        <w:rPr>
          <w:lang w:val="fr-CH"/>
        </w:rPr>
        <w:t xml:space="preserve"> </w:t>
      </w:r>
      <w:r w:rsidRPr="00BF28F6">
        <w:rPr>
          <w:color w:val="000000"/>
          <w:lang w:val="fr-CH"/>
        </w:rPr>
        <w:t>en ondes métriques,</w:t>
      </w:r>
    </w:p>
    <w:p w14:paraId="10EB1DEE" w14:textId="77777777" w:rsidR="009433B9" w:rsidRPr="00BF28F6" w:rsidRDefault="009433B9" w:rsidP="00990FA2">
      <w:pPr>
        <w:pStyle w:val="Call"/>
        <w:rPr>
          <w:lang w:val="fr-CH"/>
        </w:rPr>
      </w:pPr>
      <w:r w:rsidRPr="00BF28F6">
        <w:rPr>
          <w:lang w:val="fr-CH"/>
        </w:rPr>
        <w:t>décide d'inviter l'UIT-R</w:t>
      </w:r>
    </w:p>
    <w:p w14:paraId="26E7F7B9" w14:textId="7FB55CFF" w:rsidR="009433B9" w:rsidRPr="00BF28F6" w:rsidRDefault="009433B9" w:rsidP="00990FA2">
      <w:pPr>
        <w:rPr>
          <w:lang w:val="fr-CH"/>
        </w:rPr>
      </w:pPr>
      <w:r w:rsidRPr="00BF28F6">
        <w:rPr>
          <w:lang w:val="fr-CH"/>
        </w:rPr>
        <w:t>1</w:t>
      </w:r>
      <w:r w:rsidRPr="00BF28F6">
        <w:rPr>
          <w:lang w:val="fr-CH"/>
        </w:rPr>
        <w:tab/>
        <w:t xml:space="preserve">à mener, à temps pour la CMR-23, les études de partage qui pourraient être nécessaires concernant les systèmes existants fonctionnant dans les mêmes bandes de fréquences ou dans </w:t>
      </w:r>
      <w:r w:rsidR="00827E82">
        <w:rPr>
          <w:lang w:val="fr-CH"/>
        </w:rPr>
        <w:t>l</w:t>
      </w:r>
      <w:r w:rsidRPr="00BF28F6">
        <w:rPr>
          <w:lang w:val="fr-CH"/>
        </w:rPr>
        <w:t>es bandes de fréquences adjacentes, afin de déterminer la protection réglementaire qui pourrait être nécessaire sans imposer de contraintes inutiles aux services existants;</w:t>
      </w:r>
    </w:p>
    <w:p w14:paraId="2C1739E4" w14:textId="77777777" w:rsidR="009433B9" w:rsidRPr="00BF28F6" w:rsidRDefault="009433B9" w:rsidP="00990FA2">
      <w:pPr>
        <w:rPr>
          <w:lang w:val="fr-CH"/>
        </w:rPr>
      </w:pPr>
      <w:r w:rsidRPr="00BF28F6">
        <w:rPr>
          <w:lang w:val="fr-CH"/>
        </w:rPr>
        <w:t>2</w:t>
      </w:r>
      <w:r w:rsidRPr="00BF28F6">
        <w:rPr>
          <w:lang w:val="fr-CH"/>
        </w:rPr>
        <w:tab/>
        <w:t>à élaborer des Recommandations et des rapports de l'UIT</w:t>
      </w:r>
      <w:r w:rsidRPr="00BF28F6">
        <w:rPr>
          <w:lang w:val="fr-CH"/>
        </w:rPr>
        <w:noBreakHyphen/>
        <w:t xml:space="preserve">R, selon le cas, compte tenu du point 1 du </w:t>
      </w:r>
      <w:r w:rsidRPr="00BF28F6">
        <w:rPr>
          <w:i/>
          <w:lang w:val="fr-CH"/>
        </w:rPr>
        <w:t>décide d'inviter l'UIT-R</w:t>
      </w:r>
      <w:r w:rsidRPr="00BF28F6">
        <w:rPr>
          <w:lang w:val="fr-CH"/>
        </w:rPr>
        <w:t xml:space="preserve"> ci-dessus,</w:t>
      </w:r>
    </w:p>
    <w:p w14:paraId="1214B6D3" w14:textId="77777777" w:rsidR="009433B9" w:rsidRPr="00BF28F6" w:rsidRDefault="009433B9" w:rsidP="00990FA2">
      <w:pPr>
        <w:pStyle w:val="Call"/>
        <w:rPr>
          <w:lang w:val="fr-CH"/>
        </w:rPr>
      </w:pPr>
      <w:r w:rsidRPr="00BF28F6">
        <w:rPr>
          <w:lang w:val="fr-CH"/>
        </w:rPr>
        <w:t>décide en outre d'inviter la CMR</w:t>
      </w:r>
      <w:r w:rsidRPr="00BF28F6">
        <w:rPr>
          <w:lang w:val="fr-CH"/>
        </w:rPr>
        <w:noBreakHyphen/>
        <w:t>23</w:t>
      </w:r>
    </w:p>
    <w:p w14:paraId="35B85431" w14:textId="77759A22" w:rsidR="00EA6747" w:rsidRDefault="009433B9" w:rsidP="00990FA2">
      <w:r w:rsidRPr="00BF28F6">
        <w:rPr>
          <w:lang w:val="fr-CH"/>
        </w:rPr>
        <w:t>à examiner, compte tenu des résultats des études ci-dessus</w:t>
      </w:r>
      <w:r w:rsidR="00776064">
        <w:rPr>
          <w:lang w:val="fr-CH"/>
        </w:rPr>
        <w:t xml:space="preserve"> </w:t>
      </w:r>
      <w:r w:rsidRPr="00BF28F6">
        <w:rPr>
          <w:lang w:val="fr-CH"/>
        </w:rPr>
        <w:t>et sans imposer de contraintes additionnelles aux services existants, les dispositions réglementaires nécessaires, selon qu'il conviendra.</w:t>
      </w:r>
    </w:p>
    <w:p w14:paraId="7B82BE8E" w14:textId="571EDB2B" w:rsidR="00EA6747" w:rsidRPr="00112980" w:rsidRDefault="00A51BFC" w:rsidP="00990FA2">
      <w:pPr>
        <w:pStyle w:val="Reasons"/>
        <w:rPr>
          <w:lang w:val="fr-CH"/>
        </w:rPr>
      </w:pPr>
      <w:r w:rsidRPr="00112980">
        <w:rPr>
          <w:b/>
          <w:lang w:val="fr-CH"/>
        </w:rPr>
        <w:t>Motifs:</w:t>
      </w:r>
      <w:r w:rsidRPr="00112980">
        <w:rPr>
          <w:lang w:val="fr-CH"/>
        </w:rPr>
        <w:tab/>
      </w:r>
      <w:r w:rsidR="00112980">
        <w:rPr>
          <w:lang w:val="fr-CH"/>
        </w:rPr>
        <w:t>Veuillez</w:t>
      </w:r>
      <w:r w:rsidR="003C32A6">
        <w:rPr>
          <w:lang w:val="fr-CH"/>
        </w:rPr>
        <w:t xml:space="preserve"> </w:t>
      </w:r>
      <w:r w:rsidR="00112980">
        <w:rPr>
          <w:lang w:val="fr-CH"/>
        </w:rPr>
        <w:t>vous reporter au tableau ci-dessous.</w:t>
      </w:r>
    </w:p>
    <w:p w14:paraId="204C4490" w14:textId="57E3F9FD" w:rsidR="009433B9" w:rsidRPr="00112980" w:rsidRDefault="009433B9" w:rsidP="00990FA2">
      <w:pPr>
        <w:tabs>
          <w:tab w:val="clear" w:pos="1134"/>
          <w:tab w:val="clear" w:pos="1871"/>
          <w:tab w:val="clear" w:pos="2268"/>
        </w:tabs>
        <w:overflowPunct/>
        <w:autoSpaceDE/>
        <w:autoSpaceDN/>
        <w:adjustRightInd/>
        <w:spacing w:before="0"/>
        <w:textAlignment w:val="auto"/>
        <w:rPr>
          <w:lang w:val="fr-CH"/>
        </w:rPr>
      </w:pPr>
      <w:r w:rsidRPr="00112980">
        <w:rPr>
          <w:lang w:val="fr-CH"/>
        </w:rPr>
        <w:br w:type="page"/>
      </w:r>
    </w:p>
    <w:tbl>
      <w:tblPr>
        <w:tblW w:w="968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205"/>
        <w:gridCol w:w="5477"/>
      </w:tblGrid>
      <w:tr w:rsidR="001F2664" w:rsidRPr="00F6294F" w14:paraId="249E11CC" w14:textId="77777777" w:rsidTr="00990FA2">
        <w:tc>
          <w:tcPr>
            <w:tcW w:w="9682" w:type="dxa"/>
            <w:gridSpan w:val="2"/>
            <w:tcBorders>
              <w:top w:val="nil"/>
              <w:left w:val="nil"/>
              <w:right w:val="nil"/>
            </w:tcBorders>
          </w:tcPr>
          <w:p w14:paraId="55391AEC" w14:textId="77777777" w:rsidR="00990FA2" w:rsidRPr="00990FA2" w:rsidRDefault="001F2664" w:rsidP="00990FA2">
            <w:pPr>
              <w:widowControl w:val="0"/>
              <w:spacing w:before="40" w:after="40"/>
              <w:rPr>
                <w:b/>
                <w:bCs/>
                <w:sz w:val="22"/>
                <w:szCs w:val="22"/>
                <w:lang w:val="fr-CH"/>
              </w:rPr>
            </w:pPr>
            <w:r w:rsidRPr="00990FA2">
              <w:rPr>
                <w:b/>
                <w:bCs/>
                <w:i/>
                <w:iCs/>
                <w:sz w:val="22"/>
                <w:szCs w:val="22"/>
                <w:lang w:val="fr-CH"/>
              </w:rPr>
              <w:lastRenderedPageBreak/>
              <w:t>Objet:</w:t>
            </w:r>
            <w:r w:rsidRPr="00990FA2">
              <w:rPr>
                <w:b/>
                <w:bCs/>
                <w:sz w:val="22"/>
                <w:szCs w:val="22"/>
                <w:lang w:val="fr-CH"/>
              </w:rPr>
              <w:t xml:space="preserve"> </w:t>
            </w:r>
          </w:p>
          <w:p w14:paraId="45B0A45B" w14:textId="67044C76" w:rsidR="001F2664" w:rsidRPr="00990FA2" w:rsidRDefault="001F2664" w:rsidP="00990FA2">
            <w:pPr>
              <w:widowControl w:val="0"/>
              <w:spacing w:before="40" w:after="40"/>
              <w:rPr>
                <w:b/>
                <w:sz w:val="22"/>
                <w:szCs w:val="22"/>
                <w:lang w:val="fr-CH"/>
              </w:rPr>
            </w:pPr>
            <w:r w:rsidRPr="00990FA2">
              <w:rPr>
                <w:sz w:val="22"/>
                <w:szCs w:val="22"/>
              </w:rPr>
              <w:t>Proposition au titre du point 10 de l'ordre du jour de la CMR-19 visant à envisager l'identification de bandes de fréquences en ondes métriques pour les</w:t>
            </w:r>
            <w:r w:rsidR="00112980" w:rsidRPr="00990FA2">
              <w:rPr>
                <w:sz w:val="22"/>
                <w:szCs w:val="22"/>
              </w:rPr>
              <w:t xml:space="preserve"> applications </w:t>
            </w:r>
            <w:r w:rsidRPr="00990FA2">
              <w:rPr>
                <w:sz w:val="22"/>
                <w:szCs w:val="22"/>
              </w:rPr>
              <w:t xml:space="preserve">aéronautiques </w:t>
            </w:r>
            <w:r w:rsidR="00112980" w:rsidRPr="00990FA2">
              <w:rPr>
                <w:sz w:val="22"/>
                <w:szCs w:val="22"/>
              </w:rPr>
              <w:t xml:space="preserve">spatiales </w:t>
            </w:r>
            <w:r w:rsidRPr="00990FA2">
              <w:rPr>
                <w:sz w:val="22"/>
                <w:szCs w:val="22"/>
              </w:rPr>
              <w:t>lors de la CMR</w:t>
            </w:r>
            <w:r w:rsidR="00990FA2" w:rsidRPr="00990FA2">
              <w:rPr>
                <w:sz w:val="22"/>
                <w:szCs w:val="22"/>
              </w:rPr>
              <w:noBreakHyphen/>
            </w:r>
            <w:r w:rsidRPr="00990FA2">
              <w:rPr>
                <w:sz w:val="22"/>
                <w:szCs w:val="22"/>
              </w:rPr>
              <w:t>23.</w:t>
            </w:r>
          </w:p>
        </w:tc>
      </w:tr>
      <w:tr w:rsidR="001F2664" w:rsidRPr="00F6294F" w14:paraId="0D509627" w14:textId="77777777" w:rsidTr="00990FA2">
        <w:trPr>
          <w:trHeight w:val="152"/>
        </w:trPr>
        <w:tc>
          <w:tcPr>
            <w:tcW w:w="9682" w:type="dxa"/>
            <w:gridSpan w:val="2"/>
            <w:tcBorders>
              <w:left w:val="nil"/>
              <w:right w:val="nil"/>
            </w:tcBorders>
          </w:tcPr>
          <w:p w14:paraId="1E2E232D" w14:textId="77777777" w:rsidR="00990FA2" w:rsidRPr="00990FA2" w:rsidRDefault="001F2664" w:rsidP="00990FA2">
            <w:pPr>
              <w:widowControl w:val="0"/>
              <w:spacing w:before="40" w:after="40"/>
              <w:rPr>
                <w:b/>
                <w:sz w:val="22"/>
                <w:szCs w:val="22"/>
                <w:lang w:val="fr-CH"/>
              </w:rPr>
            </w:pPr>
            <w:r w:rsidRPr="00990FA2">
              <w:rPr>
                <w:b/>
                <w:i/>
                <w:iCs/>
                <w:sz w:val="22"/>
                <w:szCs w:val="22"/>
                <w:lang w:val="fr-CH"/>
              </w:rPr>
              <w:t>Origine:</w:t>
            </w:r>
            <w:r w:rsidRPr="00990FA2">
              <w:rPr>
                <w:b/>
                <w:sz w:val="22"/>
                <w:szCs w:val="22"/>
                <w:lang w:val="fr-CH"/>
              </w:rPr>
              <w:t xml:space="preserve"> </w:t>
            </w:r>
          </w:p>
          <w:p w14:paraId="5F1D97AC" w14:textId="0ACAB929" w:rsidR="001F2664" w:rsidRPr="00990FA2" w:rsidRDefault="00112980" w:rsidP="00990FA2">
            <w:pPr>
              <w:widowControl w:val="0"/>
              <w:spacing w:before="40" w:after="40"/>
              <w:rPr>
                <w:b/>
                <w:sz w:val="22"/>
                <w:szCs w:val="22"/>
                <w:lang w:val="fr-CH"/>
              </w:rPr>
            </w:pPr>
            <w:r w:rsidRPr="00990FA2">
              <w:rPr>
                <w:sz w:val="22"/>
                <w:szCs w:val="22"/>
                <w:lang w:val="fr-CH"/>
              </w:rPr>
              <w:t xml:space="preserve">Télécommunauté Asie-Pacifique </w:t>
            </w:r>
            <w:r w:rsidR="001F2664" w:rsidRPr="00990FA2">
              <w:rPr>
                <w:rFonts w:eastAsia="MS Mincho"/>
                <w:sz w:val="22"/>
                <w:szCs w:val="22"/>
                <w:lang w:val="fr-CH"/>
              </w:rPr>
              <w:t>(APT)</w:t>
            </w:r>
          </w:p>
        </w:tc>
      </w:tr>
      <w:tr w:rsidR="001F2664" w:rsidRPr="00F6294F" w14:paraId="1F39A4D0" w14:textId="77777777" w:rsidTr="00990FA2">
        <w:trPr>
          <w:trHeight w:val="1510"/>
        </w:trPr>
        <w:tc>
          <w:tcPr>
            <w:tcW w:w="9682" w:type="dxa"/>
            <w:gridSpan w:val="2"/>
            <w:tcBorders>
              <w:left w:val="nil"/>
              <w:right w:val="nil"/>
            </w:tcBorders>
          </w:tcPr>
          <w:p w14:paraId="36C78DA6" w14:textId="77777777" w:rsidR="00990FA2" w:rsidRPr="00990FA2" w:rsidRDefault="001F2664" w:rsidP="00990FA2">
            <w:pPr>
              <w:pStyle w:val="Headingb"/>
              <w:keepNext w:val="0"/>
              <w:widowControl w:val="0"/>
              <w:spacing w:before="40" w:after="40"/>
              <w:rPr>
                <w:i/>
                <w:iCs/>
                <w:sz w:val="22"/>
                <w:szCs w:val="22"/>
                <w:lang w:val="fr-CH"/>
              </w:rPr>
            </w:pPr>
            <w:r w:rsidRPr="00990FA2">
              <w:rPr>
                <w:i/>
                <w:iCs/>
                <w:sz w:val="22"/>
                <w:szCs w:val="22"/>
                <w:lang w:val="fr-CH"/>
              </w:rPr>
              <w:t>Proposition:</w:t>
            </w:r>
            <w:r w:rsidR="003C32A6" w:rsidRPr="00990FA2">
              <w:rPr>
                <w:i/>
                <w:iCs/>
                <w:sz w:val="22"/>
                <w:szCs w:val="22"/>
                <w:lang w:val="fr-CH"/>
              </w:rPr>
              <w:t xml:space="preserve"> </w:t>
            </w:r>
          </w:p>
          <w:p w14:paraId="0D76BCE7" w14:textId="6B08418C" w:rsidR="001F2664" w:rsidRPr="00990FA2" w:rsidRDefault="001F2664" w:rsidP="00990FA2">
            <w:pPr>
              <w:pStyle w:val="Headingb"/>
              <w:keepNext w:val="0"/>
              <w:widowControl w:val="0"/>
              <w:spacing w:before="40" w:after="40"/>
              <w:rPr>
                <w:i/>
                <w:sz w:val="22"/>
                <w:szCs w:val="22"/>
                <w:lang w:val="fr-CH"/>
              </w:rPr>
            </w:pPr>
            <w:r w:rsidRPr="00990FA2">
              <w:rPr>
                <w:b w:val="0"/>
                <w:bCs/>
                <w:sz w:val="22"/>
                <w:szCs w:val="22"/>
                <w:lang w:val="fr-CH"/>
              </w:rPr>
              <w:t xml:space="preserve">Envisager une attribution au SMA(R)S </w:t>
            </w:r>
            <w:r w:rsidRPr="00990FA2">
              <w:rPr>
                <w:b w:val="0"/>
                <w:bCs/>
                <w:color w:val="000000"/>
                <w:sz w:val="22"/>
                <w:szCs w:val="22"/>
                <w:lang w:val="fr-CH"/>
              </w:rPr>
              <w:t xml:space="preserve">pour la liaison montante et la liaison descendante des </w:t>
            </w:r>
            <w:r w:rsidR="00827E82" w:rsidRPr="00990FA2">
              <w:rPr>
                <w:b w:val="0"/>
                <w:bCs/>
                <w:sz w:val="22"/>
                <w:szCs w:val="22"/>
                <w:lang w:val="fr-CH"/>
              </w:rPr>
              <w:t>applications</w:t>
            </w:r>
            <w:r w:rsidRPr="00990FA2">
              <w:rPr>
                <w:b w:val="0"/>
                <w:bCs/>
                <w:sz w:val="22"/>
                <w:szCs w:val="22"/>
                <w:lang w:val="fr-CH"/>
              </w:rPr>
              <w:t xml:space="preserve"> </w:t>
            </w:r>
            <w:r w:rsidRPr="00990FA2">
              <w:rPr>
                <w:b w:val="0"/>
                <w:bCs/>
                <w:color w:val="000000"/>
                <w:sz w:val="22"/>
                <w:szCs w:val="22"/>
                <w:lang w:val="fr-CH"/>
              </w:rPr>
              <w:t>aéronautiques en ondes métriques</w:t>
            </w:r>
            <w:r w:rsidRPr="00990FA2">
              <w:rPr>
                <w:b w:val="0"/>
                <w:bCs/>
                <w:sz w:val="22"/>
                <w:szCs w:val="22"/>
                <w:lang w:val="fr-CH"/>
              </w:rPr>
              <w:t xml:space="preserve"> dans la bande de fréquences 117,975-137 MHz, </w:t>
            </w:r>
            <w:r w:rsidR="00827E82" w:rsidRPr="00990FA2">
              <w:rPr>
                <w:b w:val="0"/>
                <w:bCs/>
                <w:sz w:val="22"/>
                <w:szCs w:val="22"/>
                <w:lang w:val="fr-CH"/>
              </w:rPr>
              <w:t xml:space="preserve">tout </w:t>
            </w:r>
            <w:r w:rsidRPr="00990FA2">
              <w:rPr>
                <w:b w:val="0"/>
                <w:bCs/>
                <w:sz w:val="22"/>
                <w:szCs w:val="22"/>
                <w:lang w:val="fr-CH"/>
              </w:rPr>
              <w:t xml:space="preserve">en faisant en sorte qu'aucun brouillage préjudiciable ne soit causé ou qu'aucune contrainte additionnelle ne soit imposée aux services existants dans les mêmes bandes de fréquences ou dans les bandes de fréquences adjacentes, en particulier le SMA(R) dans la bande de fréquences 117,975-137 MHz et le SRNA dans la bande de fréquences 108-117,975 MHz. La coordination des assignations de fréquence sera effectuée par l'OACI conformément </w:t>
            </w:r>
            <w:r w:rsidRPr="00990FA2">
              <w:rPr>
                <w:b w:val="0"/>
                <w:bCs/>
                <w:color w:val="000000"/>
                <w:sz w:val="22"/>
                <w:szCs w:val="22"/>
                <w:lang w:val="fr-CH"/>
              </w:rPr>
              <w:t>à la pratique actuelle.</w:t>
            </w:r>
          </w:p>
        </w:tc>
      </w:tr>
      <w:tr w:rsidR="001F2664" w:rsidRPr="00F6294F" w14:paraId="3404C64D" w14:textId="77777777" w:rsidTr="00990FA2">
        <w:tc>
          <w:tcPr>
            <w:tcW w:w="9682" w:type="dxa"/>
            <w:gridSpan w:val="2"/>
            <w:tcBorders>
              <w:left w:val="nil"/>
              <w:right w:val="nil"/>
            </w:tcBorders>
          </w:tcPr>
          <w:p w14:paraId="2D65B498" w14:textId="77777777" w:rsidR="001B5D73" w:rsidRDefault="001F2664" w:rsidP="00990FA2">
            <w:pPr>
              <w:pStyle w:val="Headingb"/>
              <w:keepNext w:val="0"/>
              <w:widowControl w:val="0"/>
              <w:spacing w:before="40" w:after="40"/>
              <w:rPr>
                <w:i/>
                <w:iCs/>
                <w:sz w:val="22"/>
                <w:szCs w:val="22"/>
                <w:lang w:val="fr-CH"/>
              </w:rPr>
            </w:pPr>
            <w:r w:rsidRPr="00990FA2">
              <w:rPr>
                <w:i/>
                <w:iCs/>
                <w:sz w:val="22"/>
                <w:szCs w:val="22"/>
                <w:lang w:val="fr-CH"/>
              </w:rPr>
              <w:t>Contexte/</w:t>
            </w:r>
            <w:proofErr w:type="gramStart"/>
            <w:r w:rsidRPr="00990FA2">
              <w:rPr>
                <w:i/>
                <w:iCs/>
                <w:sz w:val="22"/>
                <w:szCs w:val="22"/>
                <w:lang w:val="fr-CH"/>
              </w:rPr>
              <w:t>motif:</w:t>
            </w:r>
            <w:proofErr w:type="gramEnd"/>
            <w:r w:rsidR="003C32A6" w:rsidRPr="00990FA2">
              <w:rPr>
                <w:i/>
                <w:iCs/>
                <w:sz w:val="22"/>
                <w:szCs w:val="22"/>
                <w:lang w:val="fr-CH"/>
              </w:rPr>
              <w:t xml:space="preserve"> </w:t>
            </w:r>
          </w:p>
          <w:p w14:paraId="6FDAA559" w14:textId="51330578" w:rsidR="001F2664" w:rsidRPr="00990FA2" w:rsidRDefault="001F2664" w:rsidP="00990FA2">
            <w:pPr>
              <w:pStyle w:val="Headingb"/>
              <w:keepNext w:val="0"/>
              <w:widowControl w:val="0"/>
              <w:spacing w:before="40" w:after="40"/>
              <w:rPr>
                <w:i/>
                <w:iCs/>
                <w:sz w:val="22"/>
                <w:szCs w:val="22"/>
                <w:lang w:val="fr-CH"/>
              </w:rPr>
            </w:pPr>
            <w:r w:rsidRPr="00990FA2">
              <w:rPr>
                <w:b w:val="0"/>
                <w:bCs/>
                <w:sz w:val="22"/>
                <w:szCs w:val="22"/>
                <w:lang w:val="fr-CH"/>
              </w:rPr>
              <w:t xml:space="preserve">Le service spatial de communications vocales en ondes métriques pour les applications aéronautiques permettra d'assurer des communications directes contrôleur-pilote </w:t>
            </w:r>
            <w:proofErr w:type="gramStart"/>
            <w:r w:rsidRPr="00990FA2">
              <w:rPr>
                <w:b w:val="0"/>
                <w:bCs/>
                <w:sz w:val="22"/>
                <w:szCs w:val="22"/>
                <w:lang w:val="fr-CH"/>
              </w:rPr>
              <w:t>(«DCPC</w:t>
            </w:r>
            <w:proofErr w:type="gramEnd"/>
            <w:r w:rsidRPr="00990FA2">
              <w:rPr>
                <w:b w:val="0"/>
                <w:bCs/>
                <w:sz w:val="22"/>
                <w:szCs w:val="22"/>
                <w:lang w:val="fr-CH"/>
              </w:rPr>
              <w:t>») dans l'espace aérien</w:t>
            </w:r>
            <w:r w:rsidR="00112980" w:rsidRPr="00990FA2">
              <w:rPr>
                <w:b w:val="0"/>
                <w:bCs/>
                <w:sz w:val="22"/>
                <w:szCs w:val="22"/>
                <w:lang w:val="fr-CH"/>
              </w:rPr>
              <w:t>,</w:t>
            </w:r>
            <w:r w:rsidR="00776064" w:rsidRPr="00990FA2">
              <w:rPr>
                <w:b w:val="0"/>
                <w:bCs/>
                <w:sz w:val="22"/>
                <w:szCs w:val="22"/>
                <w:lang w:val="fr-CH"/>
              </w:rPr>
              <w:t xml:space="preserve"> </w:t>
            </w:r>
            <w:r w:rsidRPr="00990FA2">
              <w:rPr>
                <w:b w:val="0"/>
                <w:bCs/>
                <w:sz w:val="22"/>
                <w:szCs w:val="22"/>
                <w:lang w:val="fr-CH"/>
              </w:rPr>
              <w:t>où il est difficile, en raison de l'éloignement géographique, et extrêmement coûteux de fournir et d'assurer des services de communications vocales en ondes métriques de Terre. Lorsqu'elle est utilisée en association avec des systèmes de surveillance des services liés au trafic aérien, cette technologie peut être employée pour permettre des distances de séparation minimales de type radar et offre la possibilité d'améliorer la capacité et l'efficacité de l'espace aérien, en particulier au-dessus des zones isolées et océaniques. Cette technologie peut également être utile en tant qu'infrastructure de communication d'urgence pour l'espace aérien en cas de catastrophe naturelle, par exemple en cas d'inondation et de tremblement de terre.</w:t>
            </w:r>
          </w:p>
          <w:p w14:paraId="32063AA6" w14:textId="77777777" w:rsidR="001F2664" w:rsidRPr="00990FA2" w:rsidRDefault="001F2664" w:rsidP="00990FA2">
            <w:pPr>
              <w:widowControl w:val="0"/>
              <w:spacing w:before="40" w:after="40"/>
              <w:rPr>
                <w:sz w:val="22"/>
                <w:szCs w:val="22"/>
                <w:lang w:val="fr-CH"/>
              </w:rPr>
            </w:pPr>
            <w:r w:rsidRPr="00990FA2">
              <w:rPr>
                <w:sz w:val="22"/>
                <w:szCs w:val="22"/>
                <w:lang w:val="fr-CH"/>
              </w:rPr>
              <w:t>La bande de fréquences 117,975-137 MHz est attribuée au service mobile aéronautique (R). Pour que les émetteurs-récepteurs en ondes métriques puissent émettre et recevoir des communications aéronautiques à bord de satellites, une attribution au SMA(R)S sera nécessaire dans une partie ou la totalité de la bande de fréquences.</w:t>
            </w:r>
          </w:p>
        </w:tc>
      </w:tr>
      <w:tr w:rsidR="001F2664" w:rsidRPr="00F6294F" w14:paraId="1700B083" w14:textId="77777777" w:rsidTr="00990FA2">
        <w:tc>
          <w:tcPr>
            <w:tcW w:w="9682" w:type="dxa"/>
            <w:gridSpan w:val="2"/>
            <w:tcBorders>
              <w:left w:val="nil"/>
              <w:right w:val="nil"/>
            </w:tcBorders>
          </w:tcPr>
          <w:p w14:paraId="74046A17" w14:textId="77777777" w:rsidR="001B5D73" w:rsidRDefault="001F2664" w:rsidP="00990FA2">
            <w:pPr>
              <w:pStyle w:val="Headingb"/>
              <w:keepNext w:val="0"/>
              <w:widowControl w:val="0"/>
              <w:spacing w:before="40" w:after="40"/>
              <w:rPr>
                <w:i/>
                <w:iCs/>
                <w:sz w:val="22"/>
                <w:szCs w:val="22"/>
                <w:lang w:val="fr-CH"/>
              </w:rPr>
            </w:pPr>
            <w:r w:rsidRPr="00990FA2">
              <w:rPr>
                <w:i/>
                <w:iCs/>
                <w:sz w:val="22"/>
                <w:szCs w:val="22"/>
                <w:lang w:val="fr-CH"/>
              </w:rPr>
              <w:t xml:space="preserve">Services de radiocommunication </w:t>
            </w:r>
            <w:proofErr w:type="gramStart"/>
            <w:r w:rsidRPr="00990FA2">
              <w:rPr>
                <w:i/>
                <w:iCs/>
                <w:sz w:val="22"/>
                <w:szCs w:val="22"/>
                <w:lang w:val="fr-CH"/>
              </w:rPr>
              <w:t>concernés:</w:t>
            </w:r>
            <w:proofErr w:type="gramEnd"/>
            <w:r w:rsidR="003C32A6" w:rsidRPr="00990FA2">
              <w:rPr>
                <w:i/>
                <w:iCs/>
                <w:sz w:val="22"/>
                <w:szCs w:val="22"/>
                <w:lang w:val="fr-CH"/>
              </w:rPr>
              <w:t xml:space="preserve"> </w:t>
            </w:r>
          </w:p>
          <w:p w14:paraId="2776E374" w14:textId="48515A5C" w:rsidR="001F2664" w:rsidRPr="00990FA2" w:rsidRDefault="001F2664" w:rsidP="00990FA2">
            <w:pPr>
              <w:pStyle w:val="Headingb"/>
              <w:keepNext w:val="0"/>
              <w:widowControl w:val="0"/>
              <w:spacing w:before="40" w:after="40"/>
              <w:rPr>
                <w:sz w:val="22"/>
                <w:szCs w:val="22"/>
                <w:lang w:val="fr-CH"/>
              </w:rPr>
            </w:pPr>
            <w:r w:rsidRPr="00990FA2">
              <w:rPr>
                <w:b w:val="0"/>
                <w:bCs/>
                <w:sz w:val="22"/>
                <w:szCs w:val="22"/>
                <w:lang w:val="fr-CH"/>
              </w:rPr>
              <w:t xml:space="preserve">Service mobile aéronautique (R), service mobile </w:t>
            </w:r>
            <w:proofErr w:type="gramStart"/>
            <w:r w:rsidRPr="00990FA2">
              <w:rPr>
                <w:b w:val="0"/>
                <w:bCs/>
                <w:sz w:val="22"/>
                <w:szCs w:val="22"/>
                <w:lang w:val="fr-CH"/>
              </w:rPr>
              <w:t>aéronautique(</w:t>
            </w:r>
            <w:proofErr w:type="gramEnd"/>
            <w:r w:rsidRPr="00990FA2">
              <w:rPr>
                <w:b w:val="0"/>
                <w:bCs/>
                <w:sz w:val="22"/>
                <w:szCs w:val="22"/>
                <w:lang w:val="fr-CH"/>
              </w:rPr>
              <w:t>OR),</w:t>
            </w:r>
            <w:r w:rsidRPr="00990FA2">
              <w:rPr>
                <w:b w:val="0"/>
                <w:bCs/>
                <w:iCs/>
                <w:sz w:val="22"/>
                <w:szCs w:val="22"/>
                <w:lang w:val="fr-CH"/>
              </w:rPr>
              <w:t xml:space="preserve"> </w:t>
            </w:r>
            <w:r w:rsidRPr="00990FA2">
              <w:rPr>
                <w:b w:val="0"/>
                <w:bCs/>
                <w:sz w:val="22"/>
                <w:szCs w:val="22"/>
                <w:lang w:val="fr-CH"/>
              </w:rPr>
              <w:t>services de radionavigation aéronautique (SRNA),</w:t>
            </w:r>
            <w:r w:rsidRPr="00990FA2">
              <w:rPr>
                <w:b w:val="0"/>
                <w:bCs/>
                <w:iCs/>
                <w:sz w:val="22"/>
                <w:szCs w:val="22"/>
                <w:lang w:val="fr-CH"/>
              </w:rPr>
              <w:t xml:space="preserve"> service mobile maritime et autres services</w:t>
            </w:r>
          </w:p>
        </w:tc>
      </w:tr>
      <w:tr w:rsidR="001F2664" w:rsidRPr="00F6294F" w14:paraId="310F7BD0" w14:textId="77777777" w:rsidTr="00990FA2">
        <w:trPr>
          <w:trHeight w:val="20"/>
        </w:trPr>
        <w:tc>
          <w:tcPr>
            <w:tcW w:w="9682" w:type="dxa"/>
            <w:gridSpan w:val="2"/>
            <w:tcBorders>
              <w:left w:val="nil"/>
              <w:right w:val="nil"/>
            </w:tcBorders>
          </w:tcPr>
          <w:p w14:paraId="7BF75646" w14:textId="77777777" w:rsidR="001B5D73" w:rsidRDefault="001F2664" w:rsidP="00990FA2">
            <w:pPr>
              <w:pStyle w:val="Headingb"/>
              <w:keepNext w:val="0"/>
              <w:widowControl w:val="0"/>
              <w:spacing w:before="40" w:after="40"/>
              <w:rPr>
                <w:i/>
                <w:iCs/>
                <w:sz w:val="22"/>
                <w:szCs w:val="22"/>
                <w:lang w:val="fr-CH"/>
              </w:rPr>
            </w:pPr>
            <w:r w:rsidRPr="00990FA2">
              <w:rPr>
                <w:i/>
                <w:iCs/>
                <w:sz w:val="22"/>
                <w:szCs w:val="22"/>
                <w:lang w:val="fr-CH"/>
              </w:rPr>
              <w:t xml:space="preserve">Indication des difficultés </w:t>
            </w:r>
            <w:proofErr w:type="gramStart"/>
            <w:r w:rsidRPr="00990FA2">
              <w:rPr>
                <w:i/>
                <w:iCs/>
                <w:sz w:val="22"/>
                <w:szCs w:val="22"/>
                <w:lang w:val="fr-CH"/>
              </w:rPr>
              <w:t>éventuelles:</w:t>
            </w:r>
            <w:proofErr w:type="gramEnd"/>
            <w:r w:rsidR="003C32A6" w:rsidRPr="00990FA2">
              <w:rPr>
                <w:i/>
                <w:iCs/>
                <w:sz w:val="22"/>
                <w:szCs w:val="22"/>
                <w:lang w:val="fr-CH"/>
              </w:rPr>
              <w:t xml:space="preserve"> </w:t>
            </w:r>
          </w:p>
          <w:p w14:paraId="22B5BC8F" w14:textId="4CA1F315" w:rsidR="001F2664" w:rsidRPr="00990FA2" w:rsidRDefault="001F2664" w:rsidP="00990FA2">
            <w:pPr>
              <w:pStyle w:val="Headingb"/>
              <w:keepNext w:val="0"/>
              <w:widowControl w:val="0"/>
              <w:spacing w:before="40" w:after="40"/>
              <w:rPr>
                <w:i/>
                <w:iCs/>
                <w:sz w:val="22"/>
                <w:szCs w:val="22"/>
                <w:lang w:val="fr-CH"/>
              </w:rPr>
            </w:pPr>
            <w:r w:rsidRPr="00990FA2">
              <w:rPr>
                <w:b w:val="0"/>
                <w:bCs/>
                <w:iCs/>
                <w:sz w:val="22"/>
                <w:szCs w:val="22"/>
                <w:lang w:val="fr-CH"/>
              </w:rPr>
              <w:t xml:space="preserve">Études de partage avec le SMA(R), le </w:t>
            </w:r>
            <w:r w:rsidRPr="00990FA2">
              <w:rPr>
                <w:b w:val="0"/>
                <w:bCs/>
                <w:color w:val="000000"/>
                <w:sz w:val="22"/>
                <w:szCs w:val="22"/>
                <w:lang w:val="fr-CH"/>
              </w:rPr>
              <w:t>SRNA</w:t>
            </w:r>
            <w:r w:rsidRPr="00990FA2">
              <w:rPr>
                <w:b w:val="0"/>
                <w:bCs/>
                <w:iCs/>
                <w:sz w:val="22"/>
                <w:szCs w:val="22"/>
                <w:lang w:val="fr-CH"/>
              </w:rPr>
              <w:t xml:space="preserve"> et </w:t>
            </w:r>
            <w:r w:rsidR="00827E82" w:rsidRPr="00990FA2">
              <w:rPr>
                <w:b w:val="0"/>
                <w:bCs/>
                <w:iCs/>
                <w:sz w:val="22"/>
                <w:szCs w:val="22"/>
                <w:lang w:val="fr-CH"/>
              </w:rPr>
              <w:t>d'</w:t>
            </w:r>
            <w:r w:rsidRPr="00990FA2">
              <w:rPr>
                <w:b w:val="0"/>
                <w:bCs/>
                <w:iCs/>
                <w:sz w:val="22"/>
                <w:szCs w:val="22"/>
                <w:lang w:val="fr-CH"/>
              </w:rPr>
              <w:t>autres services dans les bandes adjacentes</w:t>
            </w:r>
          </w:p>
        </w:tc>
      </w:tr>
      <w:tr w:rsidR="001F2664" w:rsidRPr="00F6294F" w14:paraId="1F0AADAA" w14:textId="77777777" w:rsidTr="00990FA2">
        <w:tc>
          <w:tcPr>
            <w:tcW w:w="9682" w:type="dxa"/>
            <w:gridSpan w:val="2"/>
            <w:tcBorders>
              <w:left w:val="nil"/>
              <w:right w:val="nil"/>
            </w:tcBorders>
          </w:tcPr>
          <w:p w14:paraId="5DE05699" w14:textId="77777777" w:rsidR="001B5D73" w:rsidRDefault="001F2664" w:rsidP="00990FA2">
            <w:pPr>
              <w:pStyle w:val="Headingb"/>
              <w:keepNext w:val="0"/>
              <w:widowControl w:val="0"/>
              <w:spacing w:before="40" w:after="40"/>
              <w:rPr>
                <w:i/>
                <w:iCs/>
                <w:sz w:val="22"/>
                <w:szCs w:val="22"/>
                <w:lang w:val="fr-CH"/>
              </w:rPr>
            </w:pPr>
            <w:r w:rsidRPr="00990FA2">
              <w:rPr>
                <w:i/>
                <w:iCs/>
                <w:sz w:val="22"/>
                <w:szCs w:val="22"/>
                <w:lang w:val="fr-CH"/>
              </w:rPr>
              <w:t xml:space="preserve">Études précédentes ou en cours sur la </w:t>
            </w:r>
            <w:proofErr w:type="gramStart"/>
            <w:r w:rsidRPr="00990FA2">
              <w:rPr>
                <w:i/>
                <w:iCs/>
                <w:sz w:val="22"/>
                <w:szCs w:val="22"/>
                <w:lang w:val="fr-CH"/>
              </w:rPr>
              <w:t>question:</w:t>
            </w:r>
            <w:proofErr w:type="gramEnd"/>
          </w:p>
          <w:p w14:paraId="38DD5B77" w14:textId="0992C01A" w:rsidR="001F2664" w:rsidRPr="00990FA2" w:rsidRDefault="001F2664" w:rsidP="00990FA2">
            <w:pPr>
              <w:pStyle w:val="Headingb"/>
              <w:keepNext w:val="0"/>
              <w:widowControl w:val="0"/>
              <w:spacing w:before="40" w:after="40"/>
              <w:rPr>
                <w:sz w:val="22"/>
                <w:szCs w:val="22"/>
                <w:lang w:val="fr-CH"/>
              </w:rPr>
            </w:pPr>
            <w:r w:rsidRPr="00990FA2">
              <w:rPr>
                <w:b w:val="0"/>
                <w:bCs/>
                <w:iCs/>
                <w:sz w:val="22"/>
                <w:szCs w:val="22"/>
                <w:lang w:val="fr-CH"/>
              </w:rPr>
              <w:t>Sans objet</w:t>
            </w:r>
          </w:p>
        </w:tc>
      </w:tr>
      <w:tr w:rsidR="001F2664" w:rsidRPr="00F6294F" w14:paraId="2D339AD0" w14:textId="77777777" w:rsidTr="00990FA2">
        <w:tc>
          <w:tcPr>
            <w:tcW w:w="4205" w:type="dxa"/>
            <w:tcBorders>
              <w:left w:val="nil"/>
            </w:tcBorders>
          </w:tcPr>
          <w:p w14:paraId="654DA1ED" w14:textId="77777777" w:rsidR="001B5D73" w:rsidRDefault="001F2664" w:rsidP="00990FA2">
            <w:pPr>
              <w:pStyle w:val="Headingb"/>
              <w:keepNext w:val="0"/>
              <w:widowControl w:val="0"/>
              <w:spacing w:before="40" w:after="40"/>
              <w:rPr>
                <w:i/>
                <w:iCs/>
                <w:sz w:val="22"/>
                <w:szCs w:val="22"/>
                <w:lang w:val="fr-CH"/>
              </w:rPr>
            </w:pPr>
            <w:r w:rsidRPr="00990FA2">
              <w:rPr>
                <w:i/>
                <w:iCs/>
                <w:sz w:val="22"/>
                <w:szCs w:val="22"/>
                <w:lang w:val="fr-CH"/>
              </w:rPr>
              <w:t xml:space="preserve">Études devant être réalisées </w:t>
            </w:r>
            <w:proofErr w:type="gramStart"/>
            <w:r w:rsidRPr="00990FA2">
              <w:rPr>
                <w:i/>
                <w:iCs/>
                <w:sz w:val="22"/>
                <w:szCs w:val="22"/>
                <w:lang w:val="fr-CH"/>
              </w:rPr>
              <w:t>par:</w:t>
            </w:r>
            <w:proofErr w:type="gramEnd"/>
            <w:r w:rsidR="003C32A6" w:rsidRPr="00990FA2">
              <w:rPr>
                <w:i/>
                <w:iCs/>
                <w:sz w:val="22"/>
                <w:szCs w:val="22"/>
                <w:lang w:val="fr-CH"/>
              </w:rPr>
              <w:t xml:space="preserve"> </w:t>
            </w:r>
          </w:p>
          <w:p w14:paraId="76C87CF3" w14:textId="462DC78F" w:rsidR="001F2664" w:rsidRPr="00990FA2" w:rsidRDefault="001F2664" w:rsidP="00990FA2">
            <w:pPr>
              <w:pStyle w:val="Headingb"/>
              <w:keepNext w:val="0"/>
              <w:widowControl w:val="0"/>
              <w:spacing w:before="40" w:after="40"/>
              <w:rPr>
                <w:iCs/>
                <w:sz w:val="22"/>
                <w:szCs w:val="22"/>
                <w:lang w:val="fr-CH"/>
              </w:rPr>
            </w:pPr>
            <w:r w:rsidRPr="00990FA2">
              <w:rPr>
                <w:b w:val="0"/>
                <w:bCs/>
                <w:iCs/>
                <w:sz w:val="22"/>
                <w:szCs w:val="22"/>
                <w:lang w:val="fr-CH"/>
              </w:rPr>
              <w:t>Groupe de travail de l'UIT-R</w:t>
            </w:r>
          </w:p>
        </w:tc>
        <w:tc>
          <w:tcPr>
            <w:tcW w:w="5477" w:type="dxa"/>
            <w:tcBorders>
              <w:right w:val="nil"/>
            </w:tcBorders>
          </w:tcPr>
          <w:p w14:paraId="2A1E4EED" w14:textId="77777777" w:rsidR="001B5D73" w:rsidRDefault="001F2664" w:rsidP="00990FA2">
            <w:pPr>
              <w:pStyle w:val="Headingb"/>
              <w:keepNext w:val="0"/>
              <w:widowControl w:val="0"/>
              <w:spacing w:before="40" w:after="40"/>
              <w:rPr>
                <w:i/>
                <w:iCs/>
                <w:sz w:val="22"/>
                <w:szCs w:val="22"/>
                <w:lang w:val="fr-CH"/>
              </w:rPr>
            </w:pPr>
            <w:proofErr w:type="gramStart"/>
            <w:r w:rsidRPr="00990FA2">
              <w:rPr>
                <w:i/>
                <w:iCs/>
                <w:sz w:val="22"/>
                <w:szCs w:val="22"/>
                <w:lang w:val="fr-CH"/>
              </w:rPr>
              <w:t>avec</w:t>
            </w:r>
            <w:proofErr w:type="gramEnd"/>
            <w:r w:rsidRPr="00990FA2">
              <w:rPr>
                <w:i/>
                <w:iCs/>
                <w:sz w:val="22"/>
                <w:szCs w:val="22"/>
                <w:lang w:val="fr-CH"/>
              </w:rPr>
              <w:t xml:space="preserve"> la participation de:</w:t>
            </w:r>
            <w:r w:rsidR="003C32A6" w:rsidRPr="00990FA2">
              <w:rPr>
                <w:i/>
                <w:iCs/>
                <w:sz w:val="22"/>
                <w:szCs w:val="22"/>
                <w:lang w:val="fr-CH"/>
              </w:rPr>
              <w:t xml:space="preserve"> </w:t>
            </w:r>
          </w:p>
          <w:p w14:paraId="1A403B67" w14:textId="7A6259DC" w:rsidR="001F2664" w:rsidRPr="00990FA2" w:rsidRDefault="001F2664" w:rsidP="00990FA2">
            <w:pPr>
              <w:pStyle w:val="Headingb"/>
              <w:keepNext w:val="0"/>
              <w:widowControl w:val="0"/>
              <w:spacing w:before="40" w:after="40"/>
              <w:rPr>
                <w:sz w:val="22"/>
                <w:szCs w:val="22"/>
                <w:lang w:val="fr-CH"/>
              </w:rPr>
            </w:pPr>
            <w:r w:rsidRPr="00990FA2">
              <w:rPr>
                <w:b w:val="0"/>
                <w:bCs/>
                <w:iCs/>
                <w:sz w:val="22"/>
                <w:szCs w:val="22"/>
                <w:lang w:val="fr-CH"/>
              </w:rPr>
              <w:t>Administrations, Membres du Secteur de l'UIT-R, OACI et autorités aéronautiques</w:t>
            </w:r>
          </w:p>
        </w:tc>
      </w:tr>
      <w:tr w:rsidR="001F2664" w:rsidRPr="00F6294F" w14:paraId="06624535" w14:textId="77777777" w:rsidTr="00990FA2">
        <w:tc>
          <w:tcPr>
            <w:tcW w:w="9682" w:type="dxa"/>
            <w:gridSpan w:val="2"/>
            <w:tcBorders>
              <w:left w:val="nil"/>
              <w:right w:val="nil"/>
            </w:tcBorders>
          </w:tcPr>
          <w:p w14:paraId="38852F17" w14:textId="77777777" w:rsidR="001B5D73" w:rsidRDefault="001F2664" w:rsidP="00990FA2">
            <w:pPr>
              <w:pStyle w:val="Headingb"/>
              <w:keepNext w:val="0"/>
              <w:widowControl w:val="0"/>
              <w:spacing w:before="40" w:after="40"/>
              <w:rPr>
                <w:i/>
                <w:iCs/>
                <w:sz w:val="22"/>
                <w:szCs w:val="22"/>
                <w:lang w:val="fr-CH"/>
              </w:rPr>
            </w:pPr>
            <w:r w:rsidRPr="00990FA2">
              <w:rPr>
                <w:i/>
                <w:iCs/>
                <w:sz w:val="22"/>
                <w:szCs w:val="22"/>
                <w:lang w:val="fr-CH"/>
              </w:rPr>
              <w:t xml:space="preserve">Commissions d'études de l'UIT-R </w:t>
            </w:r>
            <w:proofErr w:type="gramStart"/>
            <w:r w:rsidRPr="00990FA2">
              <w:rPr>
                <w:i/>
                <w:iCs/>
                <w:sz w:val="22"/>
                <w:szCs w:val="22"/>
                <w:lang w:val="fr-CH"/>
              </w:rPr>
              <w:t>concernées:</w:t>
            </w:r>
            <w:proofErr w:type="gramEnd"/>
            <w:r w:rsidR="003C32A6" w:rsidRPr="00990FA2">
              <w:rPr>
                <w:i/>
                <w:iCs/>
                <w:sz w:val="22"/>
                <w:szCs w:val="22"/>
                <w:lang w:val="fr-CH"/>
              </w:rPr>
              <w:t xml:space="preserve"> </w:t>
            </w:r>
          </w:p>
          <w:p w14:paraId="7B9E63A9" w14:textId="22D3F5B0" w:rsidR="001F2664" w:rsidRPr="00990FA2" w:rsidRDefault="001F2664" w:rsidP="00990FA2">
            <w:pPr>
              <w:pStyle w:val="Headingb"/>
              <w:keepNext w:val="0"/>
              <w:widowControl w:val="0"/>
              <w:spacing w:before="40" w:after="40"/>
              <w:rPr>
                <w:sz w:val="22"/>
                <w:szCs w:val="22"/>
                <w:lang w:val="fr-CH"/>
              </w:rPr>
            </w:pPr>
            <w:r w:rsidRPr="00990FA2">
              <w:rPr>
                <w:b w:val="0"/>
                <w:bCs/>
                <w:iCs/>
                <w:sz w:val="22"/>
                <w:szCs w:val="22"/>
                <w:lang w:val="fr-CH"/>
              </w:rPr>
              <w:t>CE 4 et 5 de l'UIT-R</w:t>
            </w:r>
          </w:p>
        </w:tc>
      </w:tr>
      <w:tr w:rsidR="001F2664" w:rsidRPr="00F6294F" w14:paraId="694B13E1" w14:textId="77777777" w:rsidTr="00990FA2">
        <w:tc>
          <w:tcPr>
            <w:tcW w:w="9682" w:type="dxa"/>
            <w:gridSpan w:val="2"/>
            <w:tcBorders>
              <w:left w:val="nil"/>
              <w:right w:val="nil"/>
            </w:tcBorders>
          </w:tcPr>
          <w:p w14:paraId="4A36F9DB" w14:textId="77777777" w:rsidR="001B5D73" w:rsidRDefault="001F2664" w:rsidP="00990FA2">
            <w:pPr>
              <w:pStyle w:val="Headingb"/>
              <w:keepNext w:val="0"/>
              <w:widowControl w:val="0"/>
              <w:spacing w:before="40" w:after="40"/>
              <w:rPr>
                <w:i/>
                <w:iCs/>
                <w:sz w:val="22"/>
                <w:szCs w:val="22"/>
                <w:lang w:val="fr-CH"/>
              </w:rPr>
            </w:pPr>
            <w:r w:rsidRPr="00990FA2">
              <w:rPr>
                <w:i/>
                <w:iCs/>
                <w:sz w:val="22"/>
                <w:szCs w:val="22"/>
                <w:lang w:val="fr-CH"/>
              </w:rPr>
              <w:t>Répercussions au niveau des ressources de l'UIT, y compris incidences financières</w:t>
            </w:r>
            <w:r w:rsidRPr="00990FA2">
              <w:rPr>
                <w:i/>
                <w:iCs/>
                <w:sz w:val="22"/>
                <w:szCs w:val="22"/>
                <w:lang w:val="fr-CH"/>
              </w:rPr>
              <w:br/>
              <w:t>(voir le numéro 126 de la Convention</w:t>
            </w:r>
            <w:proofErr w:type="gramStart"/>
            <w:r w:rsidRPr="00990FA2">
              <w:rPr>
                <w:i/>
                <w:iCs/>
                <w:sz w:val="22"/>
                <w:szCs w:val="22"/>
                <w:lang w:val="fr-CH"/>
              </w:rPr>
              <w:t>):</w:t>
            </w:r>
            <w:proofErr w:type="gramEnd"/>
          </w:p>
          <w:p w14:paraId="0B702BC0" w14:textId="1D65172E" w:rsidR="001F2664" w:rsidRPr="00990FA2" w:rsidRDefault="001F2664" w:rsidP="00990FA2">
            <w:pPr>
              <w:pStyle w:val="Headingb"/>
              <w:keepNext w:val="0"/>
              <w:widowControl w:val="0"/>
              <w:spacing w:before="40" w:after="40"/>
              <w:rPr>
                <w:sz w:val="22"/>
                <w:szCs w:val="22"/>
                <w:lang w:val="fr-CH"/>
              </w:rPr>
            </w:pPr>
            <w:r w:rsidRPr="00990FA2">
              <w:rPr>
                <w:b w:val="0"/>
                <w:bCs/>
                <w:sz w:val="22"/>
                <w:szCs w:val="22"/>
                <w:lang w:val="fr-CH"/>
              </w:rPr>
              <w:t>Ce point de l'ordre du jour proposé sera étudié dans le cadre des procédures normales et du budget prévu de l'UIT</w:t>
            </w:r>
            <w:r w:rsidRPr="00990FA2">
              <w:rPr>
                <w:b w:val="0"/>
                <w:bCs/>
                <w:sz w:val="22"/>
                <w:szCs w:val="22"/>
                <w:lang w:val="fr-CH"/>
              </w:rPr>
              <w:noBreakHyphen/>
              <w:t>R.</w:t>
            </w:r>
          </w:p>
        </w:tc>
      </w:tr>
      <w:tr w:rsidR="001F2664" w:rsidRPr="00F6294F" w14:paraId="579B8803" w14:textId="77777777" w:rsidTr="009F0DF3">
        <w:trPr>
          <w:trHeight w:val="612"/>
        </w:trPr>
        <w:tc>
          <w:tcPr>
            <w:tcW w:w="4205" w:type="dxa"/>
            <w:tcBorders>
              <w:left w:val="nil"/>
              <w:bottom w:val="single" w:sz="4" w:space="0" w:color="auto"/>
            </w:tcBorders>
          </w:tcPr>
          <w:p w14:paraId="0D555D96" w14:textId="77777777" w:rsidR="001B5D73" w:rsidRDefault="001F2664" w:rsidP="00990FA2">
            <w:pPr>
              <w:pStyle w:val="Headingb"/>
              <w:keepNext w:val="0"/>
              <w:widowControl w:val="0"/>
              <w:spacing w:before="40" w:after="40"/>
              <w:rPr>
                <w:i/>
                <w:iCs/>
                <w:sz w:val="22"/>
                <w:szCs w:val="22"/>
                <w:lang w:val="fr-CH"/>
              </w:rPr>
            </w:pPr>
            <w:r w:rsidRPr="00990FA2">
              <w:rPr>
                <w:i/>
                <w:iCs/>
                <w:sz w:val="22"/>
                <w:szCs w:val="22"/>
                <w:lang w:val="fr-CH"/>
              </w:rPr>
              <w:t xml:space="preserve">Proposition régionale </w:t>
            </w:r>
            <w:proofErr w:type="gramStart"/>
            <w:r w:rsidRPr="00990FA2">
              <w:rPr>
                <w:i/>
                <w:iCs/>
                <w:sz w:val="22"/>
                <w:szCs w:val="22"/>
                <w:lang w:val="fr-CH"/>
              </w:rPr>
              <w:t>commune:</w:t>
            </w:r>
            <w:proofErr w:type="gramEnd"/>
            <w:r w:rsidR="003C32A6" w:rsidRPr="00990FA2">
              <w:rPr>
                <w:i/>
                <w:iCs/>
                <w:sz w:val="22"/>
                <w:szCs w:val="22"/>
                <w:lang w:val="fr-CH"/>
              </w:rPr>
              <w:t xml:space="preserve"> </w:t>
            </w:r>
          </w:p>
          <w:p w14:paraId="2F71830A" w14:textId="63CEBDD4" w:rsidR="001F2664" w:rsidRPr="00990FA2" w:rsidRDefault="001F2664" w:rsidP="00990FA2">
            <w:pPr>
              <w:pStyle w:val="Headingb"/>
              <w:keepNext w:val="0"/>
              <w:widowControl w:val="0"/>
              <w:spacing w:before="40" w:after="40"/>
              <w:rPr>
                <w:sz w:val="22"/>
                <w:szCs w:val="22"/>
                <w:lang w:val="fr-CH"/>
              </w:rPr>
            </w:pPr>
            <w:r w:rsidRPr="00990FA2">
              <w:rPr>
                <w:b w:val="0"/>
                <w:bCs/>
                <w:sz w:val="22"/>
                <w:szCs w:val="22"/>
                <w:lang w:val="fr-CH"/>
              </w:rPr>
              <w:t>[Oui]</w:t>
            </w:r>
          </w:p>
        </w:tc>
        <w:tc>
          <w:tcPr>
            <w:tcW w:w="5477" w:type="dxa"/>
            <w:tcBorders>
              <w:bottom w:val="single" w:sz="4" w:space="0" w:color="auto"/>
              <w:right w:val="nil"/>
            </w:tcBorders>
          </w:tcPr>
          <w:p w14:paraId="5BF1EB8C" w14:textId="0BEDF4D1" w:rsidR="001F2664" w:rsidRPr="00990FA2" w:rsidRDefault="001F2664" w:rsidP="00990FA2">
            <w:pPr>
              <w:pStyle w:val="Headingb"/>
              <w:keepNext w:val="0"/>
              <w:widowControl w:val="0"/>
              <w:spacing w:before="40" w:after="40"/>
              <w:rPr>
                <w:sz w:val="22"/>
                <w:szCs w:val="22"/>
                <w:lang w:val="fr-CH"/>
              </w:rPr>
            </w:pPr>
            <w:r w:rsidRPr="00990FA2">
              <w:rPr>
                <w:i/>
                <w:iCs/>
                <w:sz w:val="22"/>
                <w:szCs w:val="22"/>
                <w:lang w:val="fr-CH"/>
              </w:rPr>
              <w:t>Proposition soumise par plusieurs pays:</w:t>
            </w:r>
            <w:r w:rsidRPr="00990FA2">
              <w:rPr>
                <w:b w:val="0"/>
                <w:bCs/>
                <w:sz w:val="22"/>
                <w:szCs w:val="22"/>
                <w:lang w:val="fr-CH"/>
              </w:rPr>
              <w:t>[Non]</w:t>
            </w:r>
          </w:p>
          <w:p w14:paraId="1F2E8B1D" w14:textId="2DE76327" w:rsidR="001F2664" w:rsidRPr="00990FA2" w:rsidRDefault="001F2664" w:rsidP="00990FA2">
            <w:pPr>
              <w:pStyle w:val="Headingb"/>
              <w:keepNext w:val="0"/>
              <w:widowControl w:val="0"/>
              <w:spacing w:before="40" w:after="40"/>
              <w:rPr>
                <w:sz w:val="22"/>
                <w:szCs w:val="22"/>
                <w:lang w:val="fr-CH"/>
              </w:rPr>
            </w:pPr>
            <w:r w:rsidRPr="00990FA2">
              <w:rPr>
                <w:i/>
                <w:iCs/>
                <w:sz w:val="22"/>
                <w:szCs w:val="22"/>
                <w:lang w:val="fr-CH"/>
              </w:rPr>
              <w:t>Nombre de pays:</w:t>
            </w:r>
          </w:p>
        </w:tc>
      </w:tr>
      <w:tr w:rsidR="001F2664" w:rsidRPr="00F6294F" w14:paraId="445DC28C" w14:textId="77777777" w:rsidTr="009F0DF3">
        <w:tc>
          <w:tcPr>
            <w:tcW w:w="9682" w:type="dxa"/>
            <w:gridSpan w:val="2"/>
            <w:tcBorders>
              <w:left w:val="nil"/>
              <w:bottom w:val="nil"/>
              <w:right w:val="nil"/>
            </w:tcBorders>
          </w:tcPr>
          <w:p w14:paraId="7FD25D99" w14:textId="7950B7B5" w:rsidR="001F2664" w:rsidRPr="00990FA2" w:rsidRDefault="001F2664" w:rsidP="00990FA2">
            <w:pPr>
              <w:pStyle w:val="Headingb"/>
              <w:keepNext w:val="0"/>
              <w:widowControl w:val="0"/>
              <w:spacing w:before="40" w:after="40"/>
              <w:rPr>
                <w:sz w:val="22"/>
                <w:szCs w:val="22"/>
                <w:lang w:val="fr-CH"/>
              </w:rPr>
            </w:pPr>
            <w:r w:rsidRPr="00990FA2">
              <w:rPr>
                <w:i/>
                <w:iCs/>
                <w:sz w:val="22"/>
                <w:szCs w:val="22"/>
                <w:lang w:val="fr-CH"/>
              </w:rPr>
              <w:t>Observations</w:t>
            </w:r>
          </w:p>
        </w:tc>
      </w:tr>
    </w:tbl>
    <w:p w14:paraId="35ECDCF7" w14:textId="77777777" w:rsidR="00037BEC" w:rsidRDefault="00037BEC" w:rsidP="00990FA2">
      <w:pPr>
        <w:jc w:val="center"/>
      </w:pPr>
    </w:p>
    <w:p w14:paraId="7A3473D2" w14:textId="131208EB" w:rsidR="001F2664" w:rsidRDefault="001F2664" w:rsidP="00990FA2">
      <w:pPr>
        <w:jc w:val="center"/>
      </w:pPr>
      <w:r>
        <w:t>______________</w:t>
      </w:r>
    </w:p>
    <w:sectPr w:rsidR="001F2664">
      <w:headerReference w:type="default" r:id="rId12"/>
      <w:footerReference w:type="even" r:id="rId13"/>
      <w:footerReference w:type="default" r:id="rId14"/>
      <w:footerReference w:type="first" r:id="rId15"/>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6C146F" w14:textId="77777777" w:rsidR="0070076C" w:rsidRDefault="0070076C">
      <w:r>
        <w:separator/>
      </w:r>
    </w:p>
  </w:endnote>
  <w:endnote w:type="continuationSeparator" w:id="0">
    <w:p w14:paraId="10F1298D" w14:textId="77777777" w:rsidR="0070076C" w:rsidRDefault="00700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0B6CC" w14:textId="160EE150" w:rsidR="00936D25" w:rsidRDefault="00936D25">
    <w:pPr>
      <w:rPr>
        <w:lang w:val="en-US"/>
      </w:rPr>
    </w:pPr>
    <w:r>
      <w:fldChar w:fldCharType="begin"/>
    </w:r>
    <w:r>
      <w:rPr>
        <w:lang w:val="en-US"/>
      </w:rPr>
      <w:instrText xml:space="preserve"> FILENAME \p  \* MERGEFORMAT </w:instrText>
    </w:r>
    <w:r>
      <w:fldChar w:fldCharType="separate"/>
    </w:r>
    <w:r w:rsidR="00D30A79">
      <w:rPr>
        <w:noProof/>
        <w:lang w:val="en-US"/>
      </w:rPr>
      <w:t>P:\FRA\ITU-R\CONF-R\CMR19\000\024ADD24ADD06F.docx</w:t>
    </w:r>
    <w:r>
      <w:fldChar w:fldCharType="end"/>
    </w:r>
    <w:r>
      <w:rPr>
        <w:lang w:val="en-US"/>
      </w:rPr>
      <w:tab/>
    </w:r>
    <w:r>
      <w:fldChar w:fldCharType="begin"/>
    </w:r>
    <w:r>
      <w:instrText xml:space="preserve"> SAVEDATE \@ DD.MM.YY </w:instrText>
    </w:r>
    <w:r>
      <w:fldChar w:fldCharType="separate"/>
    </w:r>
    <w:r w:rsidR="00D30A79">
      <w:rPr>
        <w:noProof/>
      </w:rPr>
      <w:t>01.10.19</w:t>
    </w:r>
    <w:r>
      <w:fldChar w:fldCharType="end"/>
    </w:r>
    <w:r>
      <w:rPr>
        <w:lang w:val="en-US"/>
      </w:rPr>
      <w:tab/>
    </w:r>
    <w:r>
      <w:fldChar w:fldCharType="begin"/>
    </w:r>
    <w:r>
      <w:instrText xml:space="preserve"> PRINTDATE \@ DD.MM.YY </w:instrText>
    </w:r>
    <w:r>
      <w:fldChar w:fldCharType="separate"/>
    </w:r>
    <w:r w:rsidR="00D30A79">
      <w:rPr>
        <w:noProof/>
      </w:rPr>
      <w:t>01.10.19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FFEFE" w14:textId="4BF3828F" w:rsidR="00936D25" w:rsidRDefault="00936D25" w:rsidP="007B2C34">
    <w:pPr>
      <w:pStyle w:val="Footer"/>
      <w:rPr>
        <w:lang w:val="en-US"/>
      </w:rPr>
    </w:pPr>
    <w:r>
      <w:fldChar w:fldCharType="begin"/>
    </w:r>
    <w:r>
      <w:rPr>
        <w:lang w:val="en-US"/>
      </w:rPr>
      <w:instrText xml:space="preserve"> FILENAME \p  \* MERGEFORMAT </w:instrText>
    </w:r>
    <w:r>
      <w:fldChar w:fldCharType="separate"/>
    </w:r>
    <w:r w:rsidR="00D30A79">
      <w:rPr>
        <w:lang w:val="en-US"/>
      </w:rPr>
      <w:t>P:\FRA\ITU-R\CONF-R\CMR19\000\024ADD24ADD06F.docx</w:t>
    </w:r>
    <w:r>
      <w:fldChar w:fldCharType="end"/>
    </w:r>
    <w:r w:rsidR="00375656" w:rsidRPr="007371BB">
      <w:rPr>
        <w:lang w:val="en-US"/>
      </w:rPr>
      <w:t xml:space="preserve"> (461087)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B8CC3" w14:textId="7745122B" w:rsidR="00936D25" w:rsidRDefault="00A743F7" w:rsidP="00A743F7">
    <w:pPr>
      <w:pStyle w:val="Footer"/>
      <w:rPr>
        <w:lang w:val="en-US"/>
      </w:rPr>
    </w:pPr>
    <w:r>
      <w:fldChar w:fldCharType="begin"/>
    </w:r>
    <w:r w:rsidRPr="00A743F7">
      <w:rPr>
        <w:lang w:val="en-GB"/>
      </w:rPr>
      <w:instrText xml:space="preserve"> FILENAME \p  \* MERGEFORMAT </w:instrText>
    </w:r>
    <w:r>
      <w:fldChar w:fldCharType="separate"/>
    </w:r>
    <w:r w:rsidR="00D30A79">
      <w:rPr>
        <w:lang w:val="en-GB"/>
      </w:rPr>
      <w:t>P:\FRA\ITU-R\CONF-R\CMR19\000\024ADD24ADD06F.docx</w:t>
    </w:r>
    <w:r>
      <w:fldChar w:fldCharType="end"/>
    </w:r>
    <w:r w:rsidRPr="00A743F7">
      <w:rPr>
        <w:lang w:val="en-GB"/>
      </w:rPr>
      <w:t xml:space="preserve"> </w:t>
    </w:r>
    <w:r w:rsidR="00375656" w:rsidRPr="007371BB">
      <w:rPr>
        <w:lang w:val="en-US"/>
      </w:rPr>
      <w:t>(461087)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4B0FCD" w14:textId="77777777" w:rsidR="0070076C" w:rsidRDefault="0070076C">
      <w:r>
        <w:rPr>
          <w:b/>
        </w:rPr>
        <w:t>_______________</w:t>
      </w:r>
    </w:p>
  </w:footnote>
  <w:footnote w:type="continuationSeparator" w:id="0">
    <w:p w14:paraId="770FF7E6" w14:textId="77777777" w:rsidR="0070076C" w:rsidRDefault="007007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FB677" w14:textId="77777777" w:rsidR="004F1F8E" w:rsidRDefault="004F1F8E" w:rsidP="004F1F8E">
    <w:pPr>
      <w:pStyle w:val="Header"/>
    </w:pPr>
    <w:r>
      <w:fldChar w:fldCharType="begin"/>
    </w:r>
    <w:r>
      <w:instrText xml:space="preserve"> PAGE </w:instrText>
    </w:r>
    <w:r>
      <w:fldChar w:fldCharType="separate"/>
    </w:r>
    <w:r w:rsidR="007B2C34">
      <w:rPr>
        <w:noProof/>
      </w:rPr>
      <w:t>2</w:t>
    </w:r>
    <w:r>
      <w:fldChar w:fldCharType="end"/>
    </w:r>
  </w:p>
  <w:p w14:paraId="1A97D8B0" w14:textId="77777777" w:rsidR="004F1F8E" w:rsidRDefault="004F1F8E" w:rsidP="00FD7AA3">
    <w:pPr>
      <w:pStyle w:val="Header"/>
    </w:pPr>
    <w:r>
      <w:t>CMR1</w:t>
    </w:r>
    <w:r w:rsidR="00FD7AA3">
      <w:t>9</w:t>
    </w:r>
    <w:r>
      <w:t>/</w:t>
    </w:r>
    <w:r w:rsidR="006A4B45">
      <w:t>24(Add.24)(Add.6)-</w:t>
    </w:r>
    <w:r w:rsidR="00010B43" w:rsidRPr="00010B43">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7366621E"/>
    <w:multiLevelType w:val="hybridMultilevel"/>
    <w:tmpl w:val="BC3CF4CC"/>
    <w:lvl w:ilvl="0" w:tplc="BBBCB1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D819507-8B8A-4CA9-9927-A69E89E85FD0}"/>
    <w:docVar w:name="dgnword-eventsink" w:val="1411335783584"/>
  </w:docVars>
  <w:rsids>
    <w:rsidRoot w:val="00BB1D82"/>
    <w:rsid w:val="00007EC7"/>
    <w:rsid w:val="00010B43"/>
    <w:rsid w:val="00016648"/>
    <w:rsid w:val="0003522F"/>
    <w:rsid w:val="00037BEC"/>
    <w:rsid w:val="00063A1F"/>
    <w:rsid w:val="00080E2C"/>
    <w:rsid w:val="00081366"/>
    <w:rsid w:val="000863B3"/>
    <w:rsid w:val="000A4755"/>
    <w:rsid w:val="000A55AE"/>
    <w:rsid w:val="000B2E0C"/>
    <w:rsid w:val="000B3D0C"/>
    <w:rsid w:val="000F373B"/>
    <w:rsid w:val="00112980"/>
    <w:rsid w:val="001167B9"/>
    <w:rsid w:val="001267A0"/>
    <w:rsid w:val="0015203F"/>
    <w:rsid w:val="0015474D"/>
    <w:rsid w:val="00160C64"/>
    <w:rsid w:val="0018169B"/>
    <w:rsid w:val="0019352B"/>
    <w:rsid w:val="001960D0"/>
    <w:rsid w:val="001A11F6"/>
    <w:rsid w:val="001B5D73"/>
    <w:rsid w:val="001F17E8"/>
    <w:rsid w:val="001F2664"/>
    <w:rsid w:val="00204306"/>
    <w:rsid w:val="00232FD2"/>
    <w:rsid w:val="0025231D"/>
    <w:rsid w:val="0026554E"/>
    <w:rsid w:val="002A1461"/>
    <w:rsid w:val="002A4622"/>
    <w:rsid w:val="002A6F8F"/>
    <w:rsid w:val="002B17E5"/>
    <w:rsid w:val="002C0EBF"/>
    <w:rsid w:val="002C28A4"/>
    <w:rsid w:val="002D7E0A"/>
    <w:rsid w:val="00315AFE"/>
    <w:rsid w:val="003606A6"/>
    <w:rsid w:val="0036650C"/>
    <w:rsid w:val="00375656"/>
    <w:rsid w:val="00393ACD"/>
    <w:rsid w:val="003A583E"/>
    <w:rsid w:val="003C32A6"/>
    <w:rsid w:val="003E112B"/>
    <w:rsid w:val="003E1D1C"/>
    <w:rsid w:val="003E7B05"/>
    <w:rsid w:val="003F3719"/>
    <w:rsid w:val="003F6F2D"/>
    <w:rsid w:val="00457E56"/>
    <w:rsid w:val="00466211"/>
    <w:rsid w:val="00483196"/>
    <w:rsid w:val="004834A9"/>
    <w:rsid w:val="004D01FC"/>
    <w:rsid w:val="004E28C3"/>
    <w:rsid w:val="004F1F8E"/>
    <w:rsid w:val="00512A32"/>
    <w:rsid w:val="005343DA"/>
    <w:rsid w:val="00537697"/>
    <w:rsid w:val="00560874"/>
    <w:rsid w:val="00567340"/>
    <w:rsid w:val="00586CF2"/>
    <w:rsid w:val="005A7C75"/>
    <w:rsid w:val="005C3768"/>
    <w:rsid w:val="005C6C3F"/>
    <w:rsid w:val="00613635"/>
    <w:rsid w:val="0062093D"/>
    <w:rsid w:val="00637ECF"/>
    <w:rsid w:val="00647B59"/>
    <w:rsid w:val="00690C7B"/>
    <w:rsid w:val="006A4B45"/>
    <w:rsid w:val="006D4724"/>
    <w:rsid w:val="006F5FA2"/>
    <w:rsid w:val="0070076C"/>
    <w:rsid w:val="00701BAE"/>
    <w:rsid w:val="00721F04"/>
    <w:rsid w:val="00730E95"/>
    <w:rsid w:val="007371BB"/>
    <w:rsid w:val="007426B9"/>
    <w:rsid w:val="00764342"/>
    <w:rsid w:val="00774362"/>
    <w:rsid w:val="00776064"/>
    <w:rsid w:val="00786598"/>
    <w:rsid w:val="00790C74"/>
    <w:rsid w:val="007A04E8"/>
    <w:rsid w:val="007B2C34"/>
    <w:rsid w:val="00827E82"/>
    <w:rsid w:val="00830086"/>
    <w:rsid w:val="00851625"/>
    <w:rsid w:val="00863C0A"/>
    <w:rsid w:val="008A3120"/>
    <w:rsid w:val="008A4B97"/>
    <w:rsid w:val="008C5B8E"/>
    <w:rsid w:val="008C5DD5"/>
    <w:rsid w:val="008D41BE"/>
    <w:rsid w:val="008D58D3"/>
    <w:rsid w:val="008E3BC9"/>
    <w:rsid w:val="00923064"/>
    <w:rsid w:val="00930FFD"/>
    <w:rsid w:val="00936D25"/>
    <w:rsid w:val="00941EA5"/>
    <w:rsid w:val="009433B9"/>
    <w:rsid w:val="00964700"/>
    <w:rsid w:val="00966C16"/>
    <w:rsid w:val="0098732F"/>
    <w:rsid w:val="00990FA2"/>
    <w:rsid w:val="009A045F"/>
    <w:rsid w:val="009A6A2B"/>
    <w:rsid w:val="009C7E7C"/>
    <w:rsid w:val="009F0DF3"/>
    <w:rsid w:val="00A00473"/>
    <w:rsid w:val="00A03C9B"/>
    <w:rsid w:val="00A37105"/>
    <w:rsid w:val="00A51BFC"/>
    <w:rsid w:val="00A606C3"/>
    <w:rsid w:val="00A743F7"/>
    <w:rsid w:val="00A8034F"/>
    <w:rsid w:val="00A83B09"/>
    <w:rsid w:val="00A84541"/>
    <w:rsid w:val="00AC5E12"/>
    <w:rsid w:val="00AE36A0"/>
    <w:rsid w:val="00B00294"/>
    <w:rsid w:val="00B3749C"/>
    <w:rsid w:val="00B64FD0"/>
    <w:rsid w:val="00BA5BD0"/>
    <w:rsid w:val="00BB1D82"/>
    <w:rsid w:val="00BD51C5"/>
    <w:rsid w:val="00BE4ADC"/>
    <w:rsid w:val="00BF26E7"/>
    <w:rsid w:val="00C53FCA"/>
    <w:rsid w:val="00C76BAF"/>
    <w:rsid w:val="00C814B9"/>
    <w:rsid w:val="00CD516F"/>
    <w:rsid w:val="00CE6966"/>
    <w:rsid w:val="00D119A7"/>
    <w:rsid w:val="00D25FBA"/>
    <w:rsid w:val="00D30A79"/>
    <w:rsid w:val="00D32B28"/>
    <w:rsid w:val="00D42954"/>
    <w:rsid w:val="00D66EAC"/>
    <w:rsid w:val="00D730DF"/>
    <w:rsid w:val="00D772F0"/>
    <w:rsid w:val="00D77BDC"/>
    <w:rsid w:val="00DC146C"/>
    <w:rsid w:val="00DC402B"/>
    <w:rsid w:val="00DE0932"/>
    <w:rsid w:val="00E03A27"/>
    <w:rsid w:val="00E049F1"/>
    <w:rsid w:val="00E37A25"/>
    <w:rsid w:val="00E537FF"/>
    <w:rsid w:val="00E6539B"/>
    <w:rsid w:val="00E70A31"/>
    <w:rsid w:val="00E723A7"/>
    <w:rsid w:val="00E8157D"/>
    <w:rsid w:val="00EA3F38"/>
    <w:rsid w:val="00EA5AB6"/>
    <w:rsid w:val="00EA6747"/>
    <w:rsid w:val="00EC7615"/>
    <w:rsid w:val="00ED16AA"/>
    <w:rsid w:val="00ED6B8D"/>
    <w:rsid w:val="00EE3D7B"/>
    <w:rsid w:val="00EF662E"/>
    <w:rsid w:val="00F10064"/>
    <w:rsid w:val="00F148F1"/>
    <w:rsid w:val="00F6294F"/>
    <w:rsid w:val="00F711A7"/>
    <w:rsid w:val="00FA3BBF"/>
    <w:rsid w:val="00FC41F8"/>
    <w:rsid w:val="00FD7AA3"/>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10CFA20"/>
  <w15:docId w15:val="{E64EFC77-0A4D-4241-A40B-28A73453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link w:val="CallChar"/>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qFormat/>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560874"/>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8C5DD5"/>
    <w:rPr>
      <w:b/>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Headingsplit">
    <w:name w:val="Heading_split"/>
    <w:basedOn w:val="Headingi"/>
    <w:qFormat/>
    <w:rsid w:val="00ED6B8D"/>
  </w:style>
  <w:style w:type="paragraph" w:customStyle="1" w:styleId="Normalsplit">
    <w:name w:val="Normal_split"/>
    <w:basedOn w:val="Normal"/>
    <w:next w:val="Normal"/>
    <w:qFormat/>
    <w:rsid w:val="00ED6B8D"/>
  </w:style>
  <w:style w:type="character" w:customStyle="1" w:styleId="Provsplit">
    <w:name w:val="Prov_split"/>
    <w:basedOn w:val="DefaultParagraphFont"/>
    <w:uiPriority w:val="1"/>
    <w:qFormat/>
    <w:rsid w:val="00ED6B8D"/>
  </w:style>
  <w:style w:type="paragraph" w:customStyle="1" w:styleId="Tablesplit">
    <w:name w:val="Table_split"/>
    <w:basedOn w:val="Normal"/>
    <w:qFormat/>
    <w:rsid w:val="00ED6B8D"/>
    <w:pPr>
      <w:tabs>
        <w:tab w:val="clear" w:pos="1134"/>
        <w:tab w:val="clear" w:pos="1871"/>
        <w:tab w:val="clear" w:pos="2268"/>
        <w:tab w:val="left" w:pos="7825"/>
      </w:tabs>
      <w:spacing w:before="40" w:after="40"/>
    </w:pPr>
    <w:rPr>
      <w:b/>
      <w:sz w:val="20"/>
      <w:lang w:val="en-GB"/>
    </w:rPr>
  </w:style>
  <w:style w:type="paragraph" w:customStyle="1" w:styleId="MethodHeadingb">
    <w:name w:val="Method_Headingb"/>
    <w:basedOn w:val="Headingb"/>
    <w:qFormat/>
    <w:rsid w:val="009A6A2B"/>
  </w:style>
  <w:style w:type="paragraph" w:customStyle="1" w:styleId="Methodheading1">
    <w:name w:val="Method_heading1"/>
    <w:basedOn w:val="Heading1"/>
    <w:next w:val="Normal"/>
    <w:qFormat/>
    <w:rsid w:val="005A7C75"/>
  </w:style>
  <w:style w:type="paragraph" w:customStyle="1" w:styleId="Methodheading2">
    <w:name w:val="Method_heading2"/>
    <w:basedOn w:val="Heading2"/>
    <w:next w:val="Normal"/>
    <w:qFormat/>
    <w:rsid w:val="005A7C75"/>
  </w:style>
  <w:style w:type="paragraph" w:customStyle="1" w:styleId="Methodheading3">
    <w:name w:val="Method_heading3"/>
    <w:basedOn w:val="Heading3"/>
    <w:next w:val="Normal"/>
    <w:qFormat/>
    <w:rsid w:val="005A7C75"/>
  </w:style>
  <w:style w:type="paragraph" w:customStyle="1" w:styleId="Methodheading4">
    <w:name w:val="Method_heading4"/>
    <w:basedOn w:val="Heading4"/>
    <w:next w:val="Normal"/>
    <w:qFormat/>
    <w:rsid w:val="005A7C75"/>
  </w:style>
  <w:style w:type="character" w:styleId="Hyperlink">
    <w:name w:val="Hyperlink"/>
    <w:basedOn w:val="DefaultParagraphFont"/>
    <w:uiPriority w:val="99"/>
    <w:semiHidden/>
    <w:unhideWhenUsed/>
    <w:rPr>
      <w:color w:val="0000FF" w:themeColor="hyperlink"/>
      <w:u w:val="single"/>
    </w:rPr>
  </w:style>
  <w:style w:type="character" w:customStyle="1" w:styleId="CallChar">
    <w:name w:val="Call Char"/>
    <w:basedOn w:val="DefaultParagraphFont"/>
    <w:link w:val="Call"/>
    <w:locked/>
    <w:rsid w:val="009433B9"/>
    <w:rPr>
      <w:rFonts w:ascii="Times New Roman" w:hAnsi="Times New Roman"/>
      <w:i/>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R16-WRC19-C-0024!A24-A6!MSW-F</DPM_x0020_File_x0020_name>
    <DPM_x0020_Author xmlns="32a1a8c5-2265-4ebc-b7a0-2071e2c5c9bb" xsi:nil="false">DPM</DPM_x0020_Author>
    <DPM_x0020_Version xmlns="32a1a8c5-2265-4ebc-b7a0-2071e2c5c9bb" xsi:nil="false">DPM_2019.08.19.01</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F6794C1-6B1B-4970-8EC4-62BFC6AC3386}">
  <ds:schemaRefs>
    <ds:schemaRef ds:uri="http://schemas.microsoft.com/office/2006/documentManagement/types"/>
    <ds:schemaRef ds:uri="http://schemas.microsoft.com/office/infopath/2007/PartnerControls"/>
    <ds:schemaRef ds:uri="http://purl.org/dc/dcmitype/"/>
    <ds:schemaRef ds:uri="http://purl.org/dc/elements/1.1/"/>
    <ds:schemaRef ds:uri="http://purl.org/dc/terms/"/>
    <ds:schemaRef ds:uri="http://www.w3.org/XML/1998/namespace"/>
    <ds:schemaRef ds:uri="http://schemas.openxmlformats.org/package/2006/metadata/core-properties"/>
    <ds:schemaRef ds:uri="32a1a8c5-2265-4ebc-b7a0-2071e2c5c9bb"/>
    <ds:schemaRef ds:uri="996b2e75-67fd-4955-a3b0-5ab9934cb50b"/>
    <ds:schemaRef ds:uri="http://schemas.microsoft.com/office/2006/metadata/properties"/>
  </ds:schemaRefs>
</ds:datastoreItem>
</file>

<file path=customXml/itemProps2.xml><?xml version="1.0" encoding="utf-8"?>
<ds:datastoreItem xmlns:ds="http://schemas.openxmlformats.org/officeDocument/2006/customXml" ds:itemID="{EDC13805-1FB2-4856-9D86-C259A543D9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F3D6C4-419A-4BE0-87AF-650D4775DE90}">
  <ds:schemaRefs>
    <ds:schemaRef ds:uri="http://schemas.microsoft.com/sharepoint/v3/contenttype/forms"/>
  </ds:schemaRefs>
</ds:datastoreItem>
</file>

<file path=customXml/itemProps4.xml><?xml version="1.0" encoding="utf-8"?>
<ds:datastoreItem xmlns:ds="http://schemas.openxmlformats.org/officeDocument/2006/customXml" ds:itemID="{06B15F63-C17A-4B3A-8BA8-7EA960B4DE6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4</Pages>
  <Words>1307</Words>
  <Characters>7870</Characters>
  <Application>Microsoft Office Word</Application>
  <DocSecurity>0</DocSecurity>
  <Lines>157</Lines>
  <Paragraphs>82</Paragraphs>
  <ScaleCrop>false</ScaleCrop>
  <HeadingPairs>
    <vt:vector size="2" baseType="variant">
      <vt:variant>
        <vt:lpstr>Title</vt:lpstr>
      </vt:variant>
      <vt:variant>
        <vt:i4>1</vt:i4>
      </vt:variant>
    </vt:vector>
  </HeadingPairs>
  <TitlesOfParts>
    <vt:vector size="1" baseType="lpstr">
      <vt:lpstr>R16-WRC19-C-0024!A24-A6!MSW-F</vt:lpstr>
    </vt:vector>
  </TitlesOfParts>
  <Manager>Secrétariat général - Pool</Manager>
  <Company>Union internationale des télécommunications (UIT)</Company>
  <LinksUpToDate>false</LinksUpToDate>
  <CharactersWithSpaces>9095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R16-WRC19-C-0024!A24-A6!MSW-F</dc:title>
  <dc:subject>Conférence mondiale des radiocommunications - 2019</dc:subject>
  <dc:creator>Documents Proposals Manager (DPM)</dc:creator>
  <cp:keywords>DPM_v2019.9.25.1_prod</cp:keywords>
  <dc:description/>
  <cp:lastModifiedBy>Barbier, Marie-Claire</cp:lastModifiedBy>
  <cp:revision>12</cp:revision>
  <cp:lastPrinted>2019-10-01T07:20:00Z</cp:lastPrinted>
  <dcterms:created xsi:type="dcterms:W3CDTF">2019-09-30T11:34:00Z</dcterms:created>
  <dcterms:modified xsi:type="dcterms:W3CDTF">2019-10-01T07:20:00Z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