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AF31A3" w14:paraId="1C04E3BE" w14:textId="77777777" w:rsidTr="0050008E">
        <w:trPr>
          <w:cantSplit/>
        </w:trPr>
        <w:tc>
          <w:tcPr>
            <w:tcW w:w="6911" w:type="dxa"/>
          </w:tcPr>
          <w:p w14:paraId="4FEC5C11" w14:textId="77777777" w:rsidR="00BB1D82" w:rsidRPr="00AF31A3" w:rsidRDefault="00851625" w:rsidP="00760C2E">
            <w:pPr>
              <w:spacing w:before="400" w:after="48"/>
              <w:rPr>
                <w:rFonts w:ascii="Verdana" w:hAnsi="Verdana"/>
                <w:b/>
                <w:bCs/>
                <w:sz w:val="20"/>
              </w:rPr>
            </w:pPr>
            <w:r w:rsidRPr="00AF31A3">
              <w:rPr>
                <w:rFonts w:ascii="Verdana" w:hAnsi="Verdana"/>
                <w:b/>
                <w:bCs/>
                <w:sz w:val="20"/>
              </w:rPr>
              <w:t>Conférence mondiale des radiocommunications (CMR-1</w:t>
            </w:r>
            <w:r w:rsidR="00FD7AA3" w:rsidRPr="00AF31A3">
              <w:rPr>
                <w:rFonts w:ascii="Verdana" w:hAnsi="Verdana"/>
                <w:b/>
                <w:bCs/>
                <w:sz w:val="20"/>
              </w:rPr>
              <w:t>9</w:t>
            </w:r>
            <w:r w:rsidRPr="00AF31A3">
              <w:rPr>
                <w:rFonts w:ascii="Verdana" w:hAnsi="Verdana"/>
                <w:b/>
                <w:bCs/>
                <w:sz w:val="20"/>
              </w:rPr>
              <w:t>)</w:t>
            </w:r>
            <w:r w:rsidRPr="00AF31A3">
              <w:rPr>
                <w:rFonts w:ascii="Verdana" w:hAnsi="Verdana"/>
                <w:b/>
                <w:bCs/>
                <w:sz w:val="20"/>
              </w:rPr>
              <w:br/>
            </w:r>
            <w:r w:rsidR="00063A1F" w:rsidRPr="00AF31A3">
              <w:rPr>
                <w:rFonts w:ascii="Verdana" w:hAnsi="Verdana"/>
                <w:b/>
                <w:bCs/>
                <w:sz w:val="18"/>
                <w:szCs w:val="18"/>
              </w:rPr>
              <w:t xml:space="preserve">Charm el-Cheikh, </w:t>
            </w:r>
            <w:r w:rsidR="00081366" w:rsidRPr="00AF31A3">
              <w:rPr>
                <w:rFonts w:ascii="Verdana" w:hAnsi="Verdana"/>
                <w:b/>
                <w:bCs/>
                <w:sz w:val="18"/>
                <w:szCs w:val="18"/>
              </w:rPr>
              <w:t>É</w:t>
            </w:r>
            <w:r w:rsidR="00063A1F" w:rsidRPr="00AF31A3">
              <w:rPr>
                <w:rFonts w:ascii="Verdana" w:hAnsi="Verdana"/>
                <w:b/>
                <w:bCs/>
                <w:sz w:val="18"/>
                <w:szCs w:val="18"/>
              </w:rPr>
              <w:t>gypte</w:t>
            </w:r>
            <w:r w:rsidRPr="00AF31A3">
              <w:rPr>
                <w:rFonts w:ascii="Verdana" w:hAnsi="Verdana"/>
                <w:b/>
                <w:bCs/>
                <w:sz w:val="18"/>
                <w:szCs w:val="18"/>
              </w:rPr>
              <w:t>,</w:t>
            </w:r>
            <w:r w:rsidR="00E537FF" w:rsidRPr="00AF31A3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AF31A3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AF31A3">
              <w:rPr>
                <w:rFonts w:ascii="Verdana" w:hAnsi="Verdana"/>
                <w:b/>
                <w:bCs/>
                <w:sz w:val="18"/>
                <w:szCs w:val="18"/>
              </w:rPr>
              <w:t xml:space="preserve">8 octobre </w:t>
            </w:r>
            <w:r w:rsidR="00F10064" w:rsidRPr="00AF31A3">
              <w:rPr>
                <w:rFonts w:ascii="Verdana" w:hAnsi="Verdana"/>
                <w:b/>
                <w:bCs/>
                <w:sz w:val="18"/>
                <w:szCs w:val="18"/>
              </w:rPr>
              <w:t>–</w:t>
            </w:r>
            <w:r w:rsidR="00FD7AA3" w:rsidRPr="00AF31A3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AF31A3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00FD7AA3" w:rsidRPr="00AF31A3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AF31A3">
              <w:rPr>
                <w:rFonts w:ascii="Verdana" w:hAnsi="Verdana"/>
                <w:b/>
                <w:bCs/>
                <w:sz w:val="18"/>
                <w:szCs w:val="18"/>
              </w:rPr>
              <w:t xml:space="preserve"> novembre 201</w:t>
            </w:r>
            <w:r w:rsidR="00FD7AA3" w:rsidRPr="00AF31A3">
              <w:rPr>
                <w:rFonts w:ascii="Verdana" w:hAnsi="Verdana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120" w:type="dxa"/>
          </w:tcPr>
          <w:p w14:paraId="3994C98C" w14:textId="77777777" w:rsidR="00BB1D82" w:rsidRPr="00AF31A3" w:rsidRDefault="000A55AE" w:rsidP="00760C2E">
            <w:pPr>
              <w:spacing w:before="0"/>
              <w:jc w:val="right"/>
            </w:pPr>
            <w:bookmarkStart w:id="0" w:name="ditulogo"/>
            <w:bookmarkEnd w:id="0"/>
            <w:r w:rsidRPr="00AF31A3">
              <w:rPr>
                <w:rFonts w:ascii="Verdana" w:hAnsi="Verdana"/>
                <w:b/>
                <w:bCs/>
                <w:noProof/>
                <w:lang w:eastAsia="zh-CN"/>
              </w:rPr>
              <w:drawing>
                <wp:inline distT="0" distB="0" distL="0" distR="0" wp14:anchorId="6F153142" wp14:editId="1B0F9DB3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AF31A3" w14:paraId="38D44F45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02A1A860" w14:textId="77777777" w:rsidR="00BB1D82" w:rsidRPr="00AF31A3" w:rsidRDefault="00BB1D82" w:rsidP="00760C2E">
            <w:pPr>
              <w:spacing w:before="0" w:after="48"/>
              <w:rPr>
                <w:b/>
                <w:smallCaps/>
                <w:szCs w:val="24"/>
              </w:rPr>
            </w:pPr>
            <w:bookmarkStart w:id="1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0EC50EC5" w14:textId="77777777" w:rsidR="00BB1D82" w:rsidRPr="00AF31A3" w:rsidRDefault="00BB1D82" w:rsidP="00760C2E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BB1D82" w:rsidRPr="00AF31A3" w14:paraId="427A4BDB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43F1E148" w14:textId="77777777" w:rsidR="00BB1D82" w:rsidRPr="00AF31A3" w:rsidRDefault="00BB1D82" w:rsidP="00760C2E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315C717B" w14:textId="77777777" w:rsidR="00BB1D82" w:rsidRPr="00AF31A3" w:rsidRDefault="00BB1D82" w:rsidP="00760C2E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BB1D82" w:rsidRPr="00AF31A3" w14:paraId="515F2D0F" w14:textId="77777777" w:rsidTr="00BB1D82">
        <w:trPr>
          <w:cantSplit/>
        </w:trPr>
        <w:tc>
          <w:tcPr>
            <w:tcW w:w="6911" w:type="dxa"/>
          </w:tcPr>
          <w:p w14:paraId="68BCF808" w14:textId="77777777" w:rsidR="00BB1D82" w:rsidRPr="00AF31A3" w:rsidRDefault="006D4724" w:rsidP="00760C2E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F31A3">
              <w:rPr>
                <w:rFonts w:ascii="Verdana" w:hAnsi="Verdana"/>
                <w:b/>
                <w:sz w:val="20"/>
              </w:rPr>
              <w:t>SÉANCE PLÉNIÈRE</w:t>
            </w:r>
          </w:p>
        </w:tc>
        <w:tc>
          <w:tcPr>
            <w:tcW w:w="3120" w:type="dxa"/>
          </w:tcPr>
          <w:p w14:paraId="34844531" w14:textId="77777777" w:rsidR="00BB1D82" w:rsidRPr="00AF31A3" w:rsidRDefault="006D4724" w:rsidP="00760C2E">
            <w:pPr>
              <w:spacing w:before="0"/>
              <w:rPr>
                <w:rFonts w:ascii="Verdana" w:hAnsi="Verdana"/>
                <w:sz w:val="20"/>
              </w:rPr>
            </w:pPr>
            <w:r w:rsidRPr="00AF31A3">
              <w:rPr>
                <w:rFonts w:ascii="Verdana" w:hAnsi="Verdana"/>
                <w:b/>
                <w:sz w:val="20"/>
              </w:rPr>
              <w:t>Addendum 5 au</w:t>
            </w:r>
            <w:r w:rsidRPr="00AF31A3">
              <w:rPr>
                <w:rFonts w:ascii="Verdana" w:hAnsi="Verdana"/>
                <w:b/>
                <w:sz w:val="20"/>
              </w:rPr>
              <w:br/>
              <w:t>Document 24(Add.24)</w:t>
            </w:r>
            <w:r w:rsidR="00BB1D82" w:rsidRPr="00AF31A3">
              <w:rPr>
                <w:rFonts w:ascii="Verdana" w:hAnsi="Verdana"/>
                <w:b/>
                <w:sz w:val="20"/>
              </w:rPr>
              <w:t>-</w:t>
            </w:r>
            <w:r w:rsidRPr="00AF31A3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1"/>
      <w:tr w:rsidR="00690C7B" w:rsidRPr="00AF31A3" w14:paraId="406B6E68" w14:textId="77777777" w:rsidTr="00BB1D82">
        <w:trPr>
          <w:cantSplit/>
        </w:trPr>
        <w:tc>
          <w:tcPr>
            <w:tcW w:w="6911" w:type="dxa"/>
          </w:tcPr>
          <w:p w14:paraId="4B50847F" w14:textId="77777777" w:rsidR="00690C7B" w:rsidRPr="00AF31A3" w:rsidRDefault="00690C7B" w:rsidP="00760C2E">
            <w:pPr>
              <w:spacing w:before="0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14:paraId="6AF7D320" w14:textId="77777777" w:rsidR="00690C7B" w:rsidRPr="00AF31A3" w:rsidRDefault="00690C7B" w:rsidP="00760C2E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F31A3">
              <w:rPr>
                <w:rFonts w:ascii="Verdana" w:hAnsi="Verdana"/>
                <w:b/>
                <w:sz w:val="20"/>
              </w:rPr>
              <w:t>20 septembre 2019</w:t>
            </w:r>
          </w:p>
        </w:tc>
      </w:tr>
      <w:tr w:rsidR="00690C7B" w:rsidRPr="00AF31A3" w14:paraId="5C219DED" w14:textId="77777777" w:rsidTr="00BB1D82">
        <w:trPr>
          <w:cantSplit/>
        </w:trPr>
        <w:tc>
          <w:tcPr>
            <w:tcW w:w="6911" w:type="dxa"/>
          </w:tcPr>
          <w:p w14:paraId="74776851" w14:textId="77777777" w:rsidR="00690C7B" w:rsidRPr="00AF31A3" w:rsidRDefault="00690C7B" w:rsidP="00760C2E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</w:tcPr>
          <w:p w14:paraId="23E9D1C8" w14:textId="77777777" w:rsidR="00690C7B" w:rsidRPr="00AF31A3" w:rsidRDefault="00690C7B" w:rsidP="00760C2E">
            <w:pPr>
              <w:spacing w:before="0"/>
              <w:rPr>
                <w:rFonts w:ascii="Verdana" w:hAnsi="Verdana"/>
                <w:b/>
                <w:sz w:val="20"/>
              </w:rPr>
            </w:pPr>
            <w:r w:rsidRPr="00AF31A3">
              <w:rPr>
                <w:rFonts w:ascii="Verdana" w:hAnsi="Verdana"/>
                <w:b/>
                <w:sz w:val="20"/>
              </w:rPr>
              <w:t>Original: anglais</w:t>
            </w:r>
          </w:p>
        </w:tc>
      </w:tr>
      <w:tr w:rsidR="00690C7B" w:rsidRPr="00AF31A3" w14:paraId="763C5B92" w14:textId="77777777" w:rsidTr="00C11970">
        <w:trPr>
          <w:cantSplit/>
        </w:trPr>
        <w:tc>
          <w:tcPr>
            <w:tcW w:w="10031" w:type="dxa"/>
            <w:gridSpan w:val="2"/>
          </w:tcPr>
          <w:p w14:paraId="10B476C0" w14:textId="77777777" w:rsidR="00690C7B" w:rsidRPr="00AF31A3" w:rsidRDefault="00690C7B" w:rsidP="00760C2E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690C7B" w:rsidRPr="00AF31A3" w14:paraId="69D4D912" w14:textId="77777777" w:rsidTr="0050008E">
        <w:trPr>
          <w:cantSplit/>
        </w:trPr>
        <w:tc>
          <w:tcPr>
            <w:tcW w:w="10031" w:type="dxa"/>
            <w:gridSpan w:val="2"/>
          </w:tcPr>
          <w:p w14:paraId="0491D63F" w14:textId="77777777" w:rsidR="00690C7B" w:rsidRPr="00AF31A3" w:rsidRDefault="00690C7B" w:rsidP="00760C2E">
            <w:pPr>
              <w:pStyle w:val="Source"/>
            </w:pPr>
            <w:bookmarkStart w:id="2" w:name="dsource" w:colFirst="0" w:colLast="0"/>
            <w:r w:rsidRPr="00AF31A3">
              <w:t>Propositions communes de la Télécommunauté Asie-Pacifique</w:t>
            </w:r>
          </w:p>
        </w:tc>
      </w:tr>
      <w:tr w:rsidR="00690C7B" w:rsidRPr="00AF31A3" w14:paraId="6360A673" w14:textId="77777777" w:rsidTr="0050008E">
        <w:trPr>
          <w:cantSplit/>
        </w:trPr>
        <w:tc>
          <w:tcPr>
            <w:tcW w:w="10031" w:type="dxa"/>
            <w:gridSpan w:val="2"/>
          </w:tcPr>
          <w:p w14:paraId="25986B7F" w14:textId="371D05F8" w:rsidR="00690C7B" w:rsidRPr="00AF31A3" w:rsidRDefault="00822397" w:rsidP="00760C2E">
            <w:pPr>
              <w:pStyle w:val="Title1"/>
            </w:pPr>
            <w:bookmarkStart w:id="3" w:name="dtitle1" w:colFirst="0" w:colLast="0"/>
            <w:bookmarkEnd w:id="2"/>
            <w:r w:rsidRPr="00AF31A3">
              <w:t>propositions pour les travaux de la confÉrence</w:t>
            </w:r>
          </w:p>
        </w:tc>
      </w:tr>
      <w:tr w:rsidR="00690C7B" w:rsidRPr="00AF31A3" w14:paraId="2A6C35DF" w14:textId="77777777" w:rsidTr="0050008E">
        <w:trPr>
          <w:cantSplit/>
        </w:trPr>
        <w:tc>
          <w:tcPr>
            <w:tcW w:w="10031" w:type="dxa"/>
            <w:gridSpan w:val="2"/>
          </w:tcPr>
          <w:p w14:paraId="0DDE7647" w14:textId="77777777" w:rsidR="00690C7B" w:rsidRPr="00AF31A3" w:rsidRDefault="00690C7B" w:rsidP="00760C2E">
            <w:pPr>
              <w:pStyle w:val="Title2"/>
            </w:pPr>
            <w:bookmarkStart w:id="4" w:name="dtitle2" w:colFirst="0" w:colLast="0"/>
            <w:bookmarkEnd w:id="3"/>
          </w:p>
        </w:tc>
      </w:tr>
      <w:tr w:rsidR="00690C7B" w:rsidRPr="00AF31A3" w14:paraId="11CCA02E" w14:textId="77777777" w:rsidTr="0050008E">
        <w:trPr>
          <w:cantSplit/>
        </w:trPr>
        <w:tc>
          <w:tcPr>
            <w:tcW w:w="10031" w:type="dxa"/>
            <w:gridSpan w:val="2"/>
          </w:tcPr>
          <w:p w14:paraId="145B68B5" w14:textId="77777777" w:rsidR="00690C7B" w:rsidRPr="00AF31A3" w:rsidRDefault="00690C7B" w:rsidP="00760C2E">
            <w:pPr>
              <w:pStyle w:val="Agendaitem"/>
              <w:rPr>
                <w:lang w:val="fr-FR"/>
              </w:rPr>
            </w:pPr>
            <w:bookmarkStart w:id="5" w:name="dtitle3" w:colFirst="0" w:colLast="0"/>
            <w:bookmarkEnd w:id="4"/>
            <w:r w:rsidRPr="00AF31A3">
              <w:rPr>
                <w:lang w:val="fr-FR"/>
              </w:rPr>
              <w:t>Point 10 de l'ordre du jour</w:t>
            </w:r>
          </w:p>
        </w:tc>
      </w:tr>
    </w:tbl>
    <w:bookmarkEnd w:id="5"/>
    <w:p w14:paraId="7229AF91" w14:textId="77777777" w:rsidR="001C0E40" w:rsidRPr="00AF31A3" w:rsidRDefault="007D78F1" w:rsidP="00760C2E">
      <w:r w:rsidRPr="00AF31A3">
        <w:t>10</w:t>
      </w:r>
      <w:r w:rsidRPr="00AF31A3">
        <w:tab/>
        <w:t>recommander au Conseil des points à inscrire à l'ordre du jour de la CMR suivante et exposer ses vues sur l'ordre du jour préliminaire de la conférence ultérieure ainsi que sur des points éventuels à inscrire à l'ordre du jour de conférences futures, conformément à l'article 7 de la Convention,</w:t>
      </w:r>
    </w:p>
    <w:p w14:paraId="31566527" w14:textId="77777777" w:rsidR="009339E2" w:rsidRPr="00AF31A3" w:rsidRDefault="009339E2" w:rsidP="00760C2E">
      <w:pPr>
        <w:pStyle w:val="Headingb"/>
      </w:pPr>
      <w:r w:rsidRPr="00AF31A3">
        <w:t>Introduction</w:t>
      </w:r>
    </w:p>
    <w:p w14:paraId="5A735119" w14:textId="6B883BC6" w:rsidR="009339E2" w:rsidRPr="00AF31A3" w:rsidRDefault="008E69FE" w:rsidP="00760C2E">
      <w:r w:rsidRPr="00AF31A3">
        <w:t>Les Membres de l</w:t>
      </w:r>
      <w:r w:rsidR="008D2B12" w:rsidRPr="00AF31A3">
        <w:t>'</w:t>
      </w:r>
      <w:r w:rsidRPr="00AF31A3">
        <w:t>APT sont favorables à l</w:t>
      </w:r>
      <w:r w:rsidR="008D2B12" w:rsidRPr="00AF31A3">
        <w:t>'</w:t>
      </w:r>
      <w:r w:rsidRPr="00AF31A3">
        <w:t>inscription du point ci-après à l</w:t>
      </w:r>
      <w:r w:rsidR="008D2B12" w:rsidRPr="00AF31A3">
        <w:t>'</w:t>
      </w:r>
      <w:r w:rsidRPr="00AF31A3">
        <w:t>ordre du jour de la CMR</w:t>
      </w:r>
      <w:r w:rsidR="00760C2E" w:rsidRPr="00AF31A3">
        <w:noBreakHyphen/>
      </w:r>
      <w:r w:rsidRPr="00AF31A3">
        <w:t>23:</w:t>
      </w:r>
    </w:p>
    <w:p w14:paraId="14FB144F" w14:textId="646A1A28" w:rsidR="009339E2" w:rsidRPr="00AF31A3" w:rsidRDefault="00841D4B" w:rsidP="00841D4B">
      <w:pPr>
        <w:pStyle w:val="enumlev1"/>
      </w:pPr>
      <w:r w:rsidRPr="00AF31A3">
        <w:t>–</w:t>
      </w:r>
      <w:r w:rsidR="009339E2" w:rsidRPr="00AF31A3">
        <w:tab/>
      </w:r>
      <w:r w:rsidR="008E69FE" w:rsidRPr="00AF31A3">
        <w:t>envisager d</w:t>
      </w:r>
      <w:r w:rsidR="008D2B12" w:rsidRPr="00AF31A3">
        <w:t>'</w:t>
      </w:r>
      <w:r w:rsidR="008E69FE" w:rsidRPr="00AF31A3">
        <w:t>améliorer l</w:t>
      </w:r>
      <w:r w:rsidR="008D2B12" w:rsidRPr="00AF31A3">
        <w:t>'</w:t>
      </w:r>
      <w:r w:rsidR="008E69FE" w:rsidRPr="00AF31A3">
        <w:t>efficacité d</w:t>
      </w:r>
      <w:r w:rsidR="008D2B12" w:rsidRPr="00AF31A3">
        <w:t>'</w:t>
      </w:r>
      <w:r w:rsidR="008E69FE" w:rsidRPr="00AF31A3">
        <w:t xml:space="preserve">utilisation des </w:t>
      </w:r>
      <w:r w:rsidR="008E69FE" w:rsidRPr="00AF31A3">
        <w:rPr>
          <w:color w:val="000000"/>
        </w:rPr>
        <w:t xml:space="preserve">bandes de fréquences en ondes métriques </w:t>
      </w:r>
      <w:r w:rsidR="009339E2" w:rsidRPr="00AF31A3">
        <w:t xml:space="preserve">156,0125-157,4375 MHz </w:t>
      </w:r>
      <w:r w:rsidR="008E69FE" w:rsidRPr="00AF31A3">
        <w:t>et</w:t>
      </w:r>
      <w:r w:rsidR="009339E2" w:rsidRPr="00AF31A3">
        <w:t xml:space="preserve"> 160,6125-162,0375 MHz</w:t>
      </w:r>
      <w:r w:rsidR="008E69FE" w:rsidRPr="00AF31A3">
        <w:rPr>
          <w:color w:val="000000"/>
        </w:rPr>
        <w:t xml:space="preserve"> attribuées au service mobile maritime.</w:t>
      </w:r>
    </w:p>
    <w:p w14:paraId="7F3FEE77" w14:textId="77777777" w:rsidR="004C2685" w:rsidRDefault="004C2685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</w:rPr>
      </w:pPr>
      <w:r>
        <w:br w:type="page"/>
      </w:r>
    </w:p>
    <w:p w14:paraId="3D2E2D17" w14:textId="6E4F9CD1" w:rsidR="003A583E" w:rsidRPr="00AF31A3" w:rsidRDefault="009339E2" w:rsidP="00760C2E">
      <w:pPr>
        <w:pStyle w:val="Headingb"/>
      </w:pPr>
      <w:r w:rsidRPr="00AF31A3">
        <w:lastRenderedPageBreak/>
        <w:t>Propos</w:t>
      </w:r>
      <w:r w:rsidR="008E69FE" w:rsidRPr="00AF31A3">
        <w:t>itions</w:t>
      </w:r>
    </w:p>
    <w:p w14:paraId="0F3AFB68" w14:textId="77777777" w:rsidR="00991BC3" w:rsidRPr="00AF31A3" w:rsidRDefault="007D78F1" w:rsidP="00760C2E">
      <w:pPr>
        <w:pStyle w:val="Proposal"/>
      </w:pPr>
      <w:r w:rsidRPr="00AF31A3">
        <w:t>ADD</w:t>
      </w:r>
      <w:r w:rsidRPr="00AF31A3">
        <w:tab/>
        <w:t>ACP/24A24A5/1</w:t>
      </w:r>
    </w:p>
    <w:p w14:paraId="64CB8A8A" w14:textId="4B4EDDC9" w:rsidR="00991BC3" w:rsidRPr="00AF31A3" w:rsidRDefault="007D78F1" w:rsidP="00760C2E">
      <w:pPr>
        <w:pStyle w:val="ResNo"/>
      </w:pPr>
      <w:r w:rsidRPr="00AF31A3">
        <w:t>Projet de nouvelle Résolution [ACP-A10-</w:t>
      </w:r>
      <w:r w:rsidR="00760C2E" w:rsidRPr="00AF31A3">
        <w:t>CMR</w:t>
      </w:r>
      <w:r w:rsidRPr="00AF31A3">
        <w:t>23]</w:t>
      </w:r>
      <w:r w:rsidR="009339E2" w:rsidRPr="00AF31A3">
        <w:t xml:space="preserve"> (</w:t>
      </w:r>
      <w:r w:rsidR="008E69FE" w:rsidRPr="00AF31A3">
        <w:t>CMR</w:t>
      </w:r>
      <w:r w:rsidR="009339E2" w:rsidRPr="00AF31A3">
        <w:t>-19)</w:t>
      </w:r>
    </w:p>
    <w:p w14:paraId="6F8EAE17" w14:textId="2A21D0EF" w:rsidR="00991BC3" w:rsidRPr="00AF31A3" w:rsidRDefault="002A53D1" w:rsidP="00760C2E">
      <w:pPr>
        <w:pStyle w:val="Restitle"/>
      </w:pPr>
      <w:bookmarkStart w:id="6" w:name="_Toc319401926"/>
      <w:bookmarkStart w:id="7" w:name="_Toc450048857"/>
      <w:r w:rsidRPr="00AF31A3">
        <w:rPr>
          <w:color w:val="000000"/>
        </w:rPr>
        <w:t>Ordre du jour de la Conférence mondiale des radiocommunications de 2023</w:t>
      </w:r>
      <w:bookmarkEnd w:id="6"/>
      <w:bookmarkEnd w:id="7"/>
    </w:p>
    <w:p w14:paraId="0EDE9468" w14:textId="2B9F587D" w:rsidR="009339E2" w:rsidRPr="00AF31A3" w:rsidRDefault="002A53D1" w:rsidP="00760C2E">
      <w:pPr>
        <w:pStyle w:val="Normalaftertitle"/>
      </w:pPr>
      <w:r w:rsidRPr="00AF31A3">
        <w:rPr>
          <w:color w:val="000000"/>
        </w:rPr>
        <w:t>La Conférence mondiale des radiocommunications (Charm el-Cheikh, 2019),</w:t>
      </w:r>
    </w:p>
    <w:p w14:paraId="0BF015CD" w14:textId="77777777" w:rsidR="009339E2" w:rsidRPr="00AF31A3" w:rsidRDefault="009339E2" w:rsidP="00841D4B">
      <w:r w:rsidRPr="00AF31A3">
        <w:t>…</w:t>
      </w:r>
    </w:p>
    <w:p w14:paraId="4FB9A004" w14:textId="1FF93214" w:rsidR="00991BC3" w:rsidRPr="00AF31A3" w:rsidRDefault="009339E2" w:rsidP="00841D4B">
      <w:r w:rsidRPr="00AF31A3">
        <w:t>1.x</w:t>
      </w:r>
      <w:r w:rsidRPr="00AF31A3">
        <w:tab/>
      </w:r>
      <w:r w:rsidR="002A53D1" w:rsidRPr="00AF31A3">
        <w:t>examiner l</w:t>
      </w:r>
      <w:r w:rsidR="008D2B12" w:rsidRPr="00AF31A3">
        <w:t>'</w:t>
      </w:r>
      <w:r w:rsidR="002A53D1" w:rsidRPr="00AF31A3">
        <w:t>efficacité d</w:t>
      </w:r>
      <w:r w:rsidR="008D2B12" w:rsidRPr="00AF31A3">
        <w:t>'</w:t>
      </w:r>
      <w:r w:rsidR="002A53D1" w:rsidRPr="00AF31A3">
        <w:t xml:space="preserve">utilisation des </w:t>
      </w:r>
      <w:r w:rsidR="002A53D1" w:rsidRPr="00AF31A3">
        <w:rPr>
          <w:color w:val="000000"/>
        </w:rPr>
        <w:t xml:space="preserve">bandes de fréquences en ondes métriques </w:t>
      </w:r>
      <w:r w:rsidR="002A53D1" w:rsidRPr="00AF31A3">
        <w:t>156,0125-157,4375 MHz et 160,6125-162,0375 MHz</w:t>
      </w:r>
      <w:r w:rsidR="002A53D1" w:rsidRPr="00AF31A3">
        <w:rPr>
          <w:color w:val="000000"/>
        </w:rPr>
        <w:t xml:space="preserve"> attribuées au</w:t>
      </w:r>
      <w:r w:rsidR="00760C2E" w:rsidRPr="00AF31A3">
        <w:rPr>
          <w:color w:val="000000"/>
        </w:rPr>
        <w:t xml:space="preserve"> </w:t>
      </w:r>
      <w:r w:rsidR="002A53D1" w:rsidRPr="00AF31A3">
        <w:rPr>
          <w:color w:val="000000"/>
        </w:rPr>
        <w:t>service</w:t>
      </w:r>
      <w:r w:rsidR="00760C2E" w:rsidRPr="00AF31A3">
        <w:rPr>
          <w:color w:val="000000"/>
        </w:rPr>
        <w:t xml:space="preserve"> </w:t>
      </w:r>
      <w:r w:rsidR="002A53D1" w:rsidRPr="00AF31A3">
        <w:rPr>
          <w:color w:val="000000"/>
        </w:rPr>
        <w:t>mobile maritime</w:t>
      </w:r>
      <w:r w:rsidR="008D2B12" w:rsidRPr="00AF31A3">
        <w:rPr>
          <w:color w:val="000000"/>
        </w:rPr>
        <w:t>,</w:t>
      </w:r>
      <w:r w:rsidR="00760C2E" w:rsidRPr="00AF31A3">
        <w:rPr>
          <w:color w:val="000000"/>
        </w:rPr>
        <w:t xml:space="preserve"> </w:t>
      </w:r>
      <w:r w:rsidR="002A53D1" w:rsidRPr="00AF31A3">
        <w:rPr>
          <w:iCs/>
        </w:rPr>
        <w:t xml:space="preserve">conformément à la Résolution </w:t>
      </w:r>
      <w:r w:rsidRPr="00AF31A3">
        <w:rPr>
          <w:b/>
          <w:iCs/>
        </w:rPr>
        <w:t>[ACP-E10-MARINE VHF]</w:t>
      </w:r>
      <w:r w:rsidRPr="00AF31A3">
        <w:t xml:space="preserve"> </w:t>
      </w:r>
      <w:r w:rsidRPr="00AF31A3">
        <w:rPr>
          <w:b/>
          <w:bCs/>
        </w:rPr>
        <w:t>(</w:t>
      </w:r>
      <w:r w:rsidR="008E69FE" w:rsidRPr="00AF31A3">
        <w:rPr>
          <w:b/>
          <w:bCs/>
        </w:rPr>
        <w:t>CMR</w:t>
      </w:r>
      <w:r w:rsidRPr="00AF31A3">
        <w:rPr>
          <w:b/>
          <w:bCs/>
        </w:rPr>
        <w:t>-19)</w:t>
      </w:r>
      <w:r w:rsidRPr="00AF31A3">
        <w:rPr>
          <w:iCs/>
        </w:rPr>
        <w:t>;</w:t>
      </w:r>
    </w:p>
    <w:p w14:paraId="44AE2D38" w14:textId="77777777" w:rsidR="00CD7129" w:rsidRPr="00AF31A3" w:rsidRDefault="00CD7129" w:rsidP="00CD7129">
      <w:r w:rsidRPr="00AF31A3">
        <w:t>…</w:t>
      </w:r>
    </w:p>
    <w:p w14:paraId="1F3C9671" w14:textId="4A4454C4" w:rsidR="00991BC3" w:rsidRPr="00AF31A3" w:rsidRDefault="007D78F1" w:rsidP="00760C2E">
      <w:pPr>
        <w:pStyle w:val="Reasons"/>
      </w:pPr>
      <w:r w:rsidRPr="00AF31A3">
        <w:rPr>
          <w:b/>
        </w:rPr>
        <w:t>Motifs:</w:t>
      </w:r>
      <w:r w:rsidRPr="00AF31A3">
        <w:tab/>
      </w:r>
      <w:r w:rsidR="002A53D1" w:rsidRPr="00AF31A3">
        <w:t>Proposition visant à inscrire un nouveau point à l</w:t>
      </w:r>
      <w:r w:rsidR="008D2B12" w:rsidRPr="00AF31A3">
        <w:t>'</w:t>
      </w:r>
      <w:r w:rsidR="002A53D1" w:rsidRPr="00AF31A3">
        <w:t>ordre du jour de la CMR-23</w:t>
      </w:r>
      <w:r w:rsidR="00760C2E" w:rsidRPr="00AF31A3">
        <w:t xml:space="preserve"> </w:t>
      </w:r>
      <w:r w:rsidR="002A53D1" w:rsidRPr="00AF31A3">
        <w:t>pour</w:t>
      </w:r>
      <w:r w:rsidR="001F2E01" w:rsidRPr="00AF31A3">
        <w:t xml:space="preserve"> </w:t>
      </w:r>
      <w:r w:rsidR="002A53D1" w:rsidRPr="00AF31A3">
        <w:t>examiner l</w:t>
      </w:r>
      <w:r w:rsidR="008D2B12" w:rsidRPr="00AF31A3">
        <w:t>'</w:t>
      </w:r>
      <w:r w:rsidR="002A53D1" w:rsidRPr="00AF31A3">
        <w:t>efficacité d</w:t>
      </w:r>
      <w:r w:rsidR="008D2B12" w:rsidRPr="00AF31A3">
        <w:t>'</w:t>
      </w:r>
      <w:r w:rsidR="002A53D1" w:rsidRPr="00AF31A3">
        <w:t xml:space="preserve">utilisation des </w:t>
      </w:r>
      <w:r w:rsidR="002A53D1" w:rsidRPr="00AF31A3">
        <w:rPr>
          <w:color w:val="000000"/>
        </w:rPr>
        <w:t xml:space="preserve">bandes de fréquences en ondes métriques </w:t>
      </w:r>
      <w:r w:rsidR="002A53D1" w:rsidRPr="00AF31A3">
        <w:t>156,0125</w:t>
      </w:r>
      <w:r w:rsidR="001F2E01" w:rsidRPr="00AF31A3">
        <w:noBreakHyphen/>
      </w:r>
      <w:r w:rsidR="002A53D1" w:rsidRPr="00AF31A3">
        <w:t>157,4375</w:t>
      </w:r>
      <w:r w:rsidR="001F2E01" w:rsidRPr="00AF31A3">
        <w:t> </w:t>
      </w:r>
      <w:r w:rsidR="002A53D1" w:rsidRPr="00AF31A3">
        <w:t>MHz et 160,6125-162,0375 MHz</w:t>
      </w:r>
      <w:r w:rsidR="002A53D1" w:rsidRPr="00AF31A3">
        <w:rPr>
          <w:color w:val="000000"/>
        </w:rPr>
        <w:t xml:space="preserve"> attribuées au</w:t>
      </w:r>
      <w:r w:rsidR="00760C2E" w:rsidRPr="00AF31A3">
        <w:rPr>
          <w:color w:val="000000"/>
        </w:rPr>
        <w:t xml:space="preserve"> </w:t>
      </w:r>
      <w:r w:rsidR="002A53D1" w:rsidRPr="00AF31A3">
        <w:rPr>
          <w:color w:val="000000"/>
        </w:rPr>
        <w:t>service</w:t>
      </w:r>
      <w:r w:rsidR="00760C2E" w:rsidRPr="00AF31A3">
        <w:rPr>
          <w:color w:val="000000"/>
        </w:rPr>
        <w:t xml:space="preserve"> </w:t>
      </w:r>
      <w:r w:rsidR="002A53D1" w:rsidRPr="00AF31A3">
        <w:rPr>
          <w:color w:val="000000"/>
        </w:rPr>
        <w:t>mobile maritime</w:t>
      </w:r>
      <w:r w:rsidR="00760C2E" w:rsidRPr="00AF31A3">
        <w:rPr>
          <w:color w:val="000000"/>
        </w:rPr>
        <w:t>.</w:t>
      </w:r>
    </w:p>
    <w:p w14:paraId="7264307C" w14:textId="77777777" w:rsidR="00991BC3" w:rsidRPr="00AF31A3" w:rsidRDefault="007D78F1" w:rsidP="00760C2E">
      <w:pPr>
        <w:pStyle w:val="Proposal"/>
      </w:pPr>
      <w:r w:rsidRPr="00AF31A3">
        <w:t>ADD</w:t>
      </w:r>
      <w:r w:rsidRPr="00AF31A3">
        <w:tab/>
        <w:t>ACP/24A24A5/2</w:t>
      </w:r>
    </w:p>
    <w:p w14:paraId="15C33EEA" w14:textId="7D0D85A4" w:rsidR="002A53D1" w:rsidRPr="00AF31A3" w:rsidRDefault="007D78F1" w:rsidP="00760C2E">
      <w:pPr>
        <w:pStyle w:val="ResNo"/>
      </w:pPr>
      <w:r w:rsidRPr="00AF31A3">
        <w:t>Projet de nouvelle Résolution [ACP-E10-MARINE VHF]</w:t>
      </w:r>
      <w:r w:rsidR="009339E2" w:rsidRPr="00AF31A3">
        <w:rPr>
          <w:caps w:val="0"/>
          <w:sz w:val="24"/>
        </w:rPr>
        <w:t xml:space="preserve"> </w:t>
      </w:r>
      <w:r w:rsidR="009339E2" w:rsidRPr="00AF31A3">
        <w:t>(</w:t>
      </w:r>
      <w:r w:rsidR="008E69FE" w:rsidRPr="00AF31A3">
        <w:t>CMR</w:t>
      </w:r>
      <w:r w:rsidR="009339E2" w:rsidRPr="00AF31A3">
        <w:t>-19)</w:t>
      </w:r>
    </w:p>
    <w:p w14:paraId="3AC4DCA8" w14:textId="69098460" w:rsidR="00991BC3" w:rsidRPr="00AF31A3" w:rsidRDefault="002A53D1" w:rsidP="00760C2E">
      <w:pPr>
        <w:pStyle w:val="Restitle"/>
      </w:pPr>
      <w:r w:rsidRPr="00AF31A3">
        <w:t>Envisager d</w:t>
      </w:r>
      <w:r w:rsidR="008D2B12" w:rsidRPr="00AF31A3">
        <w:t>'</w:t>
      </w:r>
      <w:r w:rsidRPr="00AF31A3">
        <w:t>améliorer l</w:t>
      </w:r>
      <w:r w:rsidR="008D2B12" w:rsidRPr="00AF31A3">
        <w:t>'</w:t>
      </w:r>
      <w:r w:rsidRPr="00AF31A3">
        <w:t>efficacité d</w:t>
      </w:r>
      <w:r w:rsidR="008D2B12" w:rsidRPr="00AF31A3">
        <w:t>'</w:t>
      </w:r>
      <w:r w:rsidRPr="00AF31A3">
        <w:t xml:space="preserve">utilisation des </w:t>
      </w:r>
      <w:r w:rsidRPr="00AF31A3">
        <w:rPr>
          <w:color w:val="000000"/>
        </w:rPr>
        <w:t xml:space="preserve">bandes de fréquences </w:t>
      </w:r>
      <w:r w:rsidR="00CD7129">
        <w:rPr>
          <w:color w:val="000000"/>
        </w:rPr>
        <w:br/>
      </w:r>
      <w:r w:rsidRPr="00AF31A3">
        <w:rPr>
          <w:color w:val="000000"/>
        </w:rPr>
        <w:t xml:space="preserve">en ondes métriques </w:t>
      </w:r>
      <w:r w:rsidRPr="00AF31A3">
        <w:t>156,0125-157,4375 MHz et 160,6125-162,0375 MHz</w:t>
      </w:r>
      <w:r w:rsidRPr="00AF31A3">
        <w:rPr>
          <w:color w:val="000000"/>
        </w:rPr>
        <w:t xml:space="preserve"> attribuées au</w:t>
      </w:r>
      <w:r w:rsidR="00760C2E" w:rsidRPr="00AF31A3">
        <w:rPr>
          <w:color w:val="000000"/>
        </w:rPr>
        <w:t xml:space="preserve"> </w:t>
      </w:r>
      <w:r w:rsidRPr="00AF31A3">
        <w:rPr>
          <w:color w:val="000000"/>
        </w:rPr>
        <w:t>service</w:t>
      </w:r>
      <w:r w:rsidR="00760C2E" w:rsidRPr="00AF31A3">
        <w:rPr>
          <w:color w:val="000000"/>
        </w:rPr>
        <w:t xml:space="preserve"> </w:t>
      </w:r>
      <w:r w:rsidRPr="00AF31A3">
        <w:rPr>
          <w:color w:val="000000"/>
        </w:rPr>
        <w:t>mobile maritime</w:t>
      </w:r>
    </w:p>
    <w:p w14:paraId="485A79C7" w14:textId="5D04E05F" w:rsidR="009339E2" w:rsidRPr="00AF31A3" w:rsidRDefault="002A53D1" w:rsidP="00760C2E">
      <w:pPr>
        <w:pStyle w:val="Normalaftertitle"/>
      </w:pPr>
      <w:r w:rsidRPr="00AF31A3">
        <w:rPr>
          <w:color w:val="000000"/>
        </w:rPr>
        <w:t>La Conférence mondiale des radiocommunications (Charm el-Cheikh, 2019),</w:t>
      </w:r>
    </w:p>
    <w:p w14:paraId="51FEB31D" w14:textId="1F209274" w:rsidR="009339E2" w:rsidRPr="00AF31A3" w:rsidRDefault="002A53D1" w:rsidP="00760C2E">
      <w:pPr>
        <w:pStyle w:val="Call"/>
      </w:pPr>
      <w:r w:rsidRPr="00AF31A3">
        <w:t>considérant</w:t>
      </w:r>
    </w:p>
    <w:p w14:paraId="332A47FC" w14:textId="374E9F8C" w:rsidR="009339E2" w:rsidRPr="00AF31A3" w:rsidRDefault="009339E2" w:rsidP="00760C2E">
      <w:r w:rsidRPr="00AF31A3">
        <w:rPr>
          <w:i/>
          <w:iCs/>
        </w:rPr>
        <w:t>a)</w:t>
      </w:r>
      <w:r w:rsidRPr="00AF31A3">
        <w:tab/>
      </w:r>
      <w:r w:rsidR="002A53D1" w:rsidRPr="00AF31A3">
        <w:t>que l</w:t>
      </w:r>
      <w:r w:rsidR="008D2B12" w:rsidRPr="00AF31A3">
        <w:t>'</w:t>
      </w:r>
      <w:r w:rsidR="002A53D1" w:rsidRPr="00AF31A3">
        <w:t xml:space="preserve">Appendice </w:t>
      </w:r>
      <w:r w:rsidRPr="00AF31A3">
        <w:rPr>
          <w:b/>
        </w:rPr>
        <w:t>18</w:t>
      </w:r>
      <w:r w:rsidR="002A53D1" w:rsidRPr="00AF31A3">
        <w:t xml:space="preserve"> identifie les fréquences à utiliser au niveau international pour les communications de détresse et de sécurité et les autres communications maritimes</w:t>
      </w:r>
      <w:r w:rsidR="00760C2E" w:rsidRPr="00AF31A3">
        <w:t>;</w:t>
      </w:r>
    </w:p>
    <w:p w14:paraId="78187053" w14:textId="1194150E" w:rsidR="009339E2" w:rsidRPr="00AF31A3" w:rsidRDefault="009339E2" w:rsidP="00760C2E">
      <w:r w:rsidRPr="00AF31A3">
        <w:rPr>
          <w:i/>
          <w:iCs/>
        </w:rPr>
        <w:t>b)</w:t>
      </w:r>
      <w:r w:rsidRPr="00AF31A3">
        <w:tab/>
      </w:r>
      <w:r w:rsidR="002A53D1" w:rsidRPr="00AF31A3">
        <w:t>que l'encombrement des fréquences de l</w:t>
      </w:r>
      <w:r w:rsidR="008D2B12" w:rsidRPr="00AF31A3">
        <w:t>'</w:t>
      </w:r>
      <w:r w:rsidR="002A53D1" w:rsidRPr="00AF31A3">
        <w:t xml:space="preserve">Appendice </w:t>
      </w:r>
      <w:r w:rsidR="002A53D1" w:rsidRPr="00AF31A3">
        <w:rPr>
          <w:b/>
        </w:rPr>
        <w:t>18</w:t>
      </w:r>
      <w:r w:rsidR="002A53D1" w:rsidRPr="00AF31A3">
        <w:t xml:space="preserve"> appelle l</w:t>
      </w:r>
      <w:r w:rsidR="008D2B12" w:rsidRPr="00AF31A3">
        <w:t xml:space="preserve">'examen </w:t>
      </w:r>
      <w:r w:rsidR="002A53D1" w:rsidRPr="00AF31A3">
        <w:t>de nouvelles techniques efficaces;</w:t>
      </w:r>
    </w:p>
    <w:p w14:paraId="5C9A21ED" w14:textId="20AFC137" w:rsidR="009339E2" w:rsidRPr="00AF31A3" w:rsidRDefault="009339E2" w:rsidP="00760C2E">
      <w:r w:rsidRPr="00AF31A3">
        <w:rPr>
          <w:i/>
        </w:rPr>
        <w:t>c)</w:t>
      </w:r>
      <w:r w:rsidRPr="00AF31A3">
        <w:tab/>
      </w:r>
      <w:r w:rsidR="002A53D1" w:rsidRPr="00AF31A3">
        <w:t>que l'UIT-R procède à des études sur l'amélioration de l'efficacité d'utilisation de l</w:t>
      </w:r>
      <w:r w:rsidR="008D2B12" w:rsidRPr="00AF31A3">
        <w:t>'</w:t>
      </w:r>
      <w:r w:rsidR="002A53D1" w:rsidRPr="00AF31A3">
        <w:t xml:space="preserve">Appendice </w:t>
      </w:r>
      <w:r w:rsidR="002A53D1" w:rsidRPr="00AF31A3">
        <w:rPr>
          <w:b/>
        </w:rPr>
        <w:t>18</w:t>
      </w:r>
      <w:r w:rsidR="002A53D1" w:rsidRPr="00AF31A3">
        <w:t xml:space="preserve"> et que ces études se poursuivent actuellement;</w:t>
      </w:r>
    </w:p>
    <w:p w14:paraId="2D51F14C" w14:textId="7715F6F3" w:rsidR="00991BC3" w:rsidRPr="00AF31A3" w:rsidRDefault="009339E2" w:rsidP="00760C2E">
      <w:r w:rsidRPr="00AF31A3">
        <w:rPr>
          <w:i/>
        </w:rPr>
        <w:t>d)</w:t>
      </w:r>
      <w:r w:rsidRPr="00AF31A3">
        <w:tab/>
      </w:r>
      <w:r w:rsidR="00D57AE8" w:rsidRPr="00AF31A3">
        <w:t>que le recours aux techniques numériques permettra de répondre à la demande de nouvelles utilisations que l</w:t>
      </w:r>
      <w:r w:rsidR="008D2B12" w:rsidRPr="00AF31A3">
        <w:t>'</w:t>
      </w:r>
      <w:r w:rsidR="00D57AE8" w:rsidRPr="00AF31A3">
        <w:t>on observe actuellement et de réduire l</w:t>
      </w:r>
      <w:r w:rsidR="008D2B12" w:rsidRPr="00AF31A3">
        <w:t>'</w:t>
      </w:r>
      <w:r w:rsidR="00D57AE8" w:rsidRPr="00AF31A3">
        <w:t>encombrement;</w:t>
      </w:r>
    </w:p>
    <w:p w14:paraId="1ED817EF" w14:textId="431045BB" w:rsidR="00B958FB" w:rsidRPr="00AF31A3" w:rsidRDefault="00B958FB" w:rsidP="00760C2E">
      <w:r w:rsidRPr="00AF31A3">
        <w:rPr>
          <w:i/>
          <w:iCs/>
        </w:rPr>
        <w:t>e)</w:t>
      </w:r>
      <w:r w:rsidRPr="00AF31A3">
        <w:tab/>
        <w:t xml:space="preserve">qu'il serait préférable, lorsque cela est possible, d'utiliser les attributions </w:t>
      </w:r>
      <w:r w:rsidR="00DD5529" w:rsidRPr="00AF31A3">
        <w:t xml:space="preserve">existantes </w:t>
      </w:r>
      <w:r w:rsidRPr="00AF31A3">
        <w:t>au service mobile maritime pour garantir la sécurité des navires et des ports et renforcer la sécurité maritime, en particulier lorsque l'interopérabilité est nécessaire au niveau international;</w:t>
      </w:r>
    </w:p>
    <w:p w14:paraId="30D29195" w14:textId="78F864CB" w:rsidR="00B958FB" w:rsidRPr="00AF31A3" w:rsidRDefault="00B958FB" w:rsidP="00760C2E">
      <w:r w:rsidRPr="00AF31A3">
        <w:rPr>
          <w:i/>
        </w:rPr>
        <w:t>f)</w:t>
      </w:r>
      <w:r w:rsidRPr="00AF31A3">
        <w:tab/>
      </w:r>
      <w:r w:rsidR="00DD5529" w:rsidRPr="00AF31A3">
        <w:t>que les modifications apportées à l</w:t>
      </w:r>
      <w:r w:rsidR="008D2B12" w:rsidRPr="00AF31A3">
        <w:t>'</w:t>
      </w:r>
      <w:r w:rsidR="00DD5529" w:rsidRPr="00AF31A3">
        <w:t xml:space="preserve">Appendice </w:t>
      </w:r>
      <w:r w:rsidR="00DD5529" w:rsidRPr="00AF31A3">
        <w:rPr>
          <w:b/>
        </w:rPr>
        <w:t>18</w:t>
      </w:r>
      <w:r w:rsidR="00DD5529" w:rsidRPr="00AF31A3">
        <w:t xml:space="preserve"> ne devraient pas compromettre l'utilisation future de ces fréquences, ni les possibilités des systèmes ou des nouvelles applications appelés à être utilisés par le service mobile maritime;</w:t>
      </w:r>
    </w:p>
    <w:p w14:paraId="4C8D3A3F" w14:textId="6C3FAE1D" w:rsidR="00B958FB" w:rsidRPr="00AF31A3" w:rsidRDefault="00B958FB" w:rsidP="00760C2E">
      <w:r w:rsidRPr="00AF31A3">
        <w:rPr>
          <w:i/>
        </w:rPr>
        <w:lastRenderedPageBreak/>
        <w:t>g)</w:t>
      </w:r>
      <w:r w:rsidRPr="00AF31A3">
        <w:tab/>
      </w:r>
      <w:r w:rsidR="008B3E6D" w:rsidRPr="00AF31A3">
        <w:t>que l</w:t>
      </w:r>
      <w:r w:rsidR="008D2B12" w:rsidRPr="00AF31A3">
        <w:t>'</w:t>
      </w:r>
      <w:r w:rsidR="008B3E6D" w:rsidRPr="00AF31A3">
        <w:t>OMI</w:t>
      </w:r>
      <w:r w:rsidRPr="00AF31A3">
        <w:t xml:space="preserve"> </w:t>
      </w:r>
      <w:r w:rsidR="008B3E6D" w:rsidRPr="00AF31A3">
        <w:t>a entrepris un exercice de définition</w:t>
      </w:r>
      <w:r w:rsidRPr="00AF31A3">
        <w:t xml:space="preserve"> </w:t>
      </w:r>
      <w:r w:rsidR="008B3E6D" w:rsidRPr="00AF31A3">
        <w:t>réglementaire relatif à l</w:t>
      </w:r>
      <w:r w:rsidR="008D2B12" w:rsidRPr="00AF31A3">
        <w:t>'</w:t>
      </w:r>
      <w:r w:rsidR="008B3E6D" w:rsidRPr="00AF31A3">
        <w:t xml:space="preserve">utilisation des navires de surface autonomes maritimes </w:t>
      </w:r>
      <w:r w:rsidRPr="00AF31A3">
        <w:t>(MASS),</w:t>
      </w:r>
    </w:p>
    <w:p w14:paraId="1CA48A48" w14:textId="55AB135C" w:rsidR="00B958FB" w:rsidRPr="00AF31A3" w:rsidRDefault="008B3E6D" w:rsidP="00760C2E">
      <w:pPr>
        <w:pStyle w:val="Call"/>
      </w:pPr>
      <w:r w:rsidRPr="00AF31A3">
        <w:t xml:space="preserve">reconnaissant </w:t>
      </w:r>
    </w:p>
    <w:p w14:paraId="121BC9BC" w14:textId="62077DCD" w:rsidR="00D24245" w:rsidRPr="00AF31A3" w:rsidRDefault="00D24245" w:rsidP="00760C2E">
      <w:r w:rsidRPr="00AF31A3">
        <w:rPr>
          <w:i/>
        </w:rPr>
        <w:t>a)</w:t>
      </w:r>
      <w:r w:rsidRPr="00AF31A3">
        <w:tab/>
      </w:r>
      <w:r w:rsidR="00471831" w:rsidRPr="00AF31A3">
        <w:t xml:space="preserve">qu'il est nécessaire à l'échelle mondiale </w:t>
      </w:r>
      <w:r w:rsidR="008D2B12" w:rsidRPr="00AF31A3">
        <w:t>de renforcer la sécurité</w:t>
      </w:r>
      <w:r w:rsidR="00471831" w:rsidRPr="00AF31A3">
        <w:t xml:space="preserve"> maritime ainsi que la sécurité des navires et des ports grâce à l'utilisation de systèmes fonctionnant uniquement dans certaines parties du spectre;</w:t>
      </w:r>
    </w:p>
    <w:p w14:paraId="077F4E27" w14:textId="4C992E04" w:rsidR="00D24245" w:rsidRPr="00AF31A3" w:rsidRDefault="00D24245" w:rsidP="00760C2E">
      <w:r w:rsidRPr="00AF31A3">
        <w:rPr>
          <w:i/>
        </w:rPr>
        <w:t>b)</w:t>
      </w:r>
      <w:r w:rsidRPr="00AF31A3">
        <w:tab/>
      </w:r>
      <w:r w:rsidR="00471831" w:rsidRPr="00AF31A3">
        <w:rPr>
          <w:color w:val="000000"/>
        </w:rPr>
        <w:t>qu'il faudra procéder à des études qui serviront de base à l</w:t>
      </w:r>
      <w:r w:rsidR="008D2B12" w:rsidRPr="00AF31A3">
        <w:rPr>
          <w:color w:val="000000"/>
        </w:rPr>
        <w:t>'</w:t>
      </w:r>
      <w:r w:rsidR="00471831" w:rsidRPr="00AF31A3">
        <w:rPr>
          <w:color w:val="000000"/>
        </w:rPr>
        <w:t xml:space="preserve">examen de dispositions réglementaires, y compris </w:t>
      </w:r>
      <w:r w:rsidR="008D2B12" w:rsidRPr="00AF31A3">
        <w:rPr>
          <w:color w:val="000000"/>
        </w:rPr>
        <w:t>d</w:t>
      </w:r>
      <w:r w:rsidR="00471831" w:rsidRPr="00AF31A3">
        <w:rPr>
          <w:color w:val="000000"/>
        </w:rPr>
        <w:t xml:space="preserve">es attributions additionnelles et </w:t>
      </w:r>
      <w:r w:rsidR="008D2B12" w:rsidRPr="00AF31A3">
        <w:rPr>
          <w:color w:val="000000"/>
        </w:rPr>
        <w:t>d</w:t>
      </w:r>
      <w:r w:rsidR="00471831" w:rsidRPr="00AF31A3">
        <w:rPr>
          <w:color w:val="000000"/>
        </w:rPr>
        <w:t>es recommandations, destinées à satisfaire les besoins de spectre pour garantir la s</w:t>
      </w:r>
      <w:r w:rsidR="008D2B12" w:rsidRPr="00AF31A3">
        <w:rPr>
          <w:color w:val="000000"/>
        </w:rPr>
        <w:t>écurité</w:t>
      </w:r>
      <w:r w:rsidR="00471831" w:rsidRPr="00AF31A3">
        <w:rPr>
          <w:color w:val="000000"/>
        </w:rPr>
        <w:t xml:space="preserve"> maritime ainsi que la sécurité des navires et des ports</w:t>
      </w:r>
      <w:r w:rsidR="008D2B12" w:rsidRPr="00AF31A3">
        <w:rPr>
          <w:color w:val="000000"/>
        </w:rPr>
        <w:t>;</w:t>
      </w:r>
    </w:p>
    <w:p w14:paraId="5B19E508" w14:textId="7F7DE801" w:rsidR="00E1371B" w:rsidRPr="00AF31A3" w:rsidRDefault="00E1371B" w:rsidP="00760C2E">
      <w:pPr>
        <w:rPr>
          <w:rFonts w:ascii="Calibri" w:hAnsi="Calibri" w:cs="Calibri"/>
          <w:iCs/>
          <w:sz w:val="22"/>
          <w:szCs w:val="22"/>
        </w:rPr>
      </w:pPr>
      <w:r w:rsidRPr="00AF31A3">
        <w:rPr>
          <w:i/>
        </w:rPr>
        <w:t>c)</w:t>
      </w:r>
      <w:r w:rsidRPr="00AF31A3">
        <w:rPr>
          <w:iCs/>
        </w:rPr>
        <w:tab/>
      </w:r>
      <w:r w:rsidR="00471831" w:rsidRPr="00AF31A3">
        <w:rPr>
          <w:color w:val="000000"/>
        </w:rPr>
        <w:t>que, pour assurer l</w:t>
      </w:r>
      <w:r w:rsidR="008D2B12" w:rsidRPr="00AF31A3">
        <w:rPr>
          <w:color w:val="000000"/>
        </w:rPr>
        <w:t>'</w:t>
      </w:r>
      <w:r w:rsidR="00471831" w:rsidRPr="00AF31A3">
        <w:rPr>
          <w:color w:val="000000"/>
        </w:rPr>
        <w:t xml:space="preserve">interopérabilité à l'échelle mondiale des équipements à bord de navires, il y a lieu de mettre en </w:t>
      </w:r>
      <w:r w:rsidR="008D2B12" w:rsidRPr="00AF31A3">
        <w:rPr>
          <w:color w:val="000000"/>
        </w:rPr>
        <w:t>œuvre</w:t>
      </w:r>
      <w:r w:rsidR="00471831" w:rsidRPr="00AF31A3">
        <w:rPr>
          <w:color w:val="000000"/>
        </w:rPr>
        <w:t xml:space="preserve"> une technique harmonisée, ou des techniques interopérables, au titre de </w:t>
      </w:r>
      <w:r w:rsidR="00471831" w:rsidRPr="00AF31A3">
        <w:rPr>
          <w:iCs/>
        </w:rPr>
        <w:t xml:space="preserve">l'Appendice </w:t>
      </w:r>
      <w:r w:rsidR="00471831" w:rsidRPr="00AF31A3">
        <w:rPr>
          <w:b/>
          <w:bCs/>
          <w:iCs/>
        </w:rPr>
        <w:t>18</w:t>
      </w:r>
      <w:r w:rsidR="00471831" w:rsidRPr="00AF31A3">
        <w:rPr>
          <w:color w:val="000000"/>
        </w:rPr>
        <w:t>;</w:t>
      </w:r>
    </w:p>
    <w:p w14:paraId="3D78EB5F" w14:textId="1C3A66C7" w:rsidR="00D24245" w:rsidRPr="00AF31A3" w:rsidRDefault="00D24245" w:rsidP="00760C2E">
      <w:r w:rsidRPr="00AF31A3">
        <w:rPr>
          <w:i/>
        </w:rPr>
        <w:t>d)</w:t>
      </w:r>
      <w:r w:rsidRPr="00AF31A3">
        <w:tab/>
      </w:r>
      <w:r w:rsidR="00334CA6" w:rsidRPr="00AF31A3">
        <w:rPr>
          <w:color w:val="000000"/>
        </w:rPr>
        <w:t xml:space="preserve">que l'UIT et </w:t>
      </w:r>
      <w:r w:rsidR="00231692" w:rsidRPr="00AF31A3">
        <w:rPr>
          <w:color w:val="000000"/>
        </w:rPr>
        <w:t>d</w:t>
      </w:r>
      <w:r w:rsidR="00334CA6" w:rsidRPr="00AF31A3">
        <w:rPr>
          <w:color w:val="000000"/>
        </w:rPr>
        <w:t>es organisations de normalisation internationales ont engagé des études connexes sur</w:t>
      </w:r>
      <w:r w:rsidR="00231692" w:rsidRPr="00AF31A3">
        <w:t xml:space="preserve"> le recours aux techniques numériques pour garantir </w:t>
      </w:r>
      <w:r w:rsidR="00231692" w:rsidRPr="00AF31A3">
        <w:rPr>
          <w:color w:val="000000"/>
        </w:rPr>
        <w:t>la sé</w:t>
      </w:r>
      <w:r w:rsidR="008D2B12" w:rsidRPr="00AF31A3">
        <w:rPr>
          <w:color w:val="000000"/>
        </w:rPr>
        <w:t>curité</w:t>
      </w:r>
      <w:r w:rsidR="00231692" w:rsidRPr="00AF31A3">
        <w:rPr>
          <w:color w:val="000000"/>
        </w:rPr>
        <w:t xml:space="preserve"> maritime ainsi que la sécurité des navires et des ports,</w:t>
      </w:r>
    </w:p>
    <w:p w14:paraId="62EA5DF9" w14:textId="70DC1C01" w:rsidR="00D24245" w:rsidRPr="00AF31A3" w:rsidRDefault="00D24245" w:rsidP="00760C2E">
      <w:pPr>
        <w:pStyle w:val="Call"/>
      </w:pPr>
      <w:r w:rsidRPr="00AF31A3">
        <w:t>not</w:t>
      </w:r>
      <w:r w:rsidR="00802CD4" w:rsidRPr="00AF31A3">
        <w:t>ant</w:t>
      </w:r>
    </w:p>
    <w:p w14:paraId="5423F7B7" w14:textId="7DA90868" w:rsidR="00D24245" w:rsidRPr="00AF31A3" w:rsidRDefault="00D24245" w:rsidP="00760C2E">
      <w:r w:rsidRPr="00AF31A3">
        <w:rPr>
          <w:i/>
        </w:rPr>
        <w:t>a)</w:t>
      </w:r>
      <w:r w:rsidRPr="00AF31A3">
        <w:tab/>
      </w:r>
      <w:r w:rsidR="00802CD4" w:rsidRPr="00AF31A3">
        <w:t xml:space="preserve">que la </w:t>
      </w:r>
      <w:r w:rsidR="008E69FE" w:rsidRPr="00AF31A3">
        <w:t>CMR</w:t>
      </w:r>
      <w:r w:rsidRPr="00AF31A3">
        <w:t xml:space="preserve">-12, </w:t>
      </w:r>
      <w:r w:rsidR="00802CD4" w:rsidRPr="00AF31A3">
        <w:t xml:space="preserve">la </w:t>
      </w:r>
      <w:r w:rsidR="008E69FE" w:rsidRPr="00AF31A3">
        <w:t>CMR</w:t>
      </w:r>
      <w:r w:rsidRPr="00AF31A3">
        <w:t>-15</w:t>
      </w:r>
      <w:r w:rsidR="00760C2E" w:rsidRPr="00AF31A3">
        <w:t xml:space="preserve"> </w:t>
      </w:r>
      <w:r w:rsidR="00802CD4" w:rsidRPr="00AF31A3">
        <w:t xml:space="preserve">et la </w:t>
      </w:r>
      <w:r w:rsidR="008E69FE" w:rsidRPr="00AF31A3">
        <w:t>CMR</w:t>
      </w:r>
      <w:r w:rsidRPr="00AF31A3">
        <w:t>-19</w:t>
      </w:r>
      <w:r w:rsidR="00760C2E" w:rsidRPr="00AF31A3">
        <w:t xml:space="preserve"> </w:t>
      </w:r>
      <w:r w:rsidR="00802CD4" w:rsidRPr="00AF31A3">
        <w:t xml:space="preserve">ont examiné </w:t>
      </w:r>
      <w:r w:rsidR="002A53D1" w:rsidRPr="00AF31A3">
        <w:t>l</w:t>
      </w:r>
      <w:r w:rsidR="008D2B12" w:rsidRPr="00AF31A3">
        <w:t>'</w:t>
      </w:r>
      <w:r w:rsidR="002A53D1" w:rsidRPr="00AF31A3">
        <w:t xml:space="preserve">Appendice </w:t>
      </w:r>
      <w:r w:rsidRPr="00AF31A3">
        <w:rPr>
          <w:b/>
        </w:rPr>
        <w:t>18</w:t>
      </w:r>
      <w:r w:rsidRPr="00AF31A3">
        <w:t xml:space="preserve"> </w:t>
      </w:r>
      <w:r w:rsidR="00802CD4" w:rsidRPr="00AF31A3">
        <w:t>pour améliorer l</w:t>
      </w:r>
      <w:r w:rsidR="008D2B12" w:rsidRPr="00AF31A3">
        <w:t>'</w:t>
      </w:r>
      <w:r w:rsidR="00802CD4" w:rsidRPr="00AF31A3">
        <w:t>utilisation et l</w:t>
      </w:r>
      <w:r w:rsidR="008D2B12" w:rsidRPr="00AF31A3">
        <w:t>'</w:t>
      </w:r>
      <w:r w:rsidR="00802CD4" w:rsidRPr="00AF31A3">
        <w:t>efficacité</w:t>
      </w:r>
      <w:r w:rsidR="00802CD4" w:rsidRPr="00AF31A3">
        <w:rPr>
          <w:color w:val="000000"/>
        </w:rPr>
        <w:t xml:space="preserve"> de</w:t>
      </w:r>
      <w:r w:rsidR="008D2B12" w:rsidRPr="00AF31A3">
        <w:rPr>
          <w:color w:val="000000"/>
        </w:rPr>
        <w:t>s</w:t>
      </w:r>
      <w:r w:rsidR="00802CD4" w:rsidRPr="00AF31A3">
        <w:rPr>
          <w:color w:val="000000"/>
        </w:rPr>
        <w:t xml:space="preserve"> communication</w:t>
      </w:r>
      <w:r w:rsidR="008D2B12" w:rsidRPr="00AF31A3">
        <w:rPr>
          <w:color w:val="000000"/>
        </w:rPr>
        <w:t>s</w:t>
      </w:r>
      <w:r w:rsidR="00802CD4" w:rsidRPr="00AF31A3">
        <w:rPr>
          <w:color w:val="000000"/>
        </w:rPr>
        <w:t xml:space="preserve"> de données au moyen de systèmes numériques</w:t>
      </w:r>
      <w:r w:rsidR="008D2B12" w:rsidRPr="00AF31A3">
        <w:rPr>
          <w:color w:val="000000"/>
        </w:rPr>
        <w:t>;</w:t>
      </w:r>
    </w:p>
    <w:p w14:paraId="02E314A8" w14:textId="3F446CA5" w:rsidR="00D24245" w:rsidRPr="00AF31A3" w:rsidRDefault="00D24245" w:rsidP="00760C2E">
      <w:r w:rsidRPr="00AF31A3">
        <w:rPr>
          <w:i/>
        </w:rPr>
        <w:t>b)</w:t>
      </w:r>
      <w:r w:rsidRPr="00AF31A3">
        <w:tab/>
      </w:r>
      <w:r w:rsidR="00227E60" w:rsidRPr="00AF31A3">
        <w:t xml:space="preserve">que des </w:t>
      </w:r>
      <w:r w:rsidR="00227E60" w:rsidRPr="00AF31A3">
        <w:rPr>
          <w:color w:val="000000"/>
        </w:rPr>
        <w:t>systèmes</w:t>
      </w:r>
      <w:r w:rsidR="008D2B12" w:rsidRPr="00AF31A3">
        <w:rPr>
          <w:color w:val="000000"/>
        </w:rPr>
        <w:t xml:space="preserve"> </w:t>
      </w:r>
      <w:r w:rsidR="00227E60" w:rsidRPr="00AF31A3">
        <w:rPr>
          <w:color w:val="000000"/>
        </w:rPr>
        <w:t xml:space="preserve">de communication maritime de bord dans la bande de fréquences </w:t>
      </w:r>
      <w:r w:rsidRPr="00AF31A3">
        <w:t>450</w:t>
      </w:r>
      <w:r w:rsidR="00AC5580" w:rsidRPr="00AF31A3">
        <w:noBreakHyphen/>
      </w:r>
      <w:r w:rsidRPr="00AF31A3">
        <w:t>470 MHz</w:t>
      </w:r>
      <w:r w:rsidR="00227E60" w:rsidRPr="00AF31A3">
        <w:t xml:space="preserve"> ont mis en œuvre </w:t>
      </w:r>
      <w:r w:rsidR="003C7276" w:rsidRPr="00AF31A3">
        <w:t>l</w:t>
      </w:r>
      <w:r w:rsidR="00227E60" w:rsidRPr="00AF31A3">
        <w:t xml:space="preserve">es </w:t>
      </w:r>
      <w:r w:rsidR="003C7276" w:rsidRPr="00AF31A3">
        <w:t xml:space="preserve">techniques de </w:t>
      </w:r>
      <w:r w:rsidR="00227E60" w:rsidRPr="00AF31A3">
        <w:rPr>
          <w:color w:val="000000"/>
        </w:rPr>
        <w:t>communication</w:t>
      </w:r>
      <w:r w:rsidR="00760C2E" w:rsidRPr="00AF31A3">
        <w:rPr>
          <w:color w:val="000000"/>
        </w:rPr>
        <w:t xml:space="preserve"> </w:t>
      </w:r>
      <w:r w:rsidR="00227E60" w:rsidRPr="00AF31A3">
        <w:rPr>
          <w:color w:val="000000"/>
        </w:rPr>
        <w:t>vocale</w:t>
      </w:r>
      <w:r w:rsidR="00760C2E" w:rsidRPr="00AF31A3">
        <w:rPr>
          <w:color w:val="000000"/>
        </w:rPr>
        <w:t xml:space="preserve"> </w:t>
      </w:r>
      <w:r w:rsidR="00227E60" w:rsidRPr="00AF31A3">
        <w:rPr>
          <w:color w:val="000000"/>
        </w:rPr>
        <w:t>numérique</w:t>
      </w:r>
      <w:r w:rsidR="003C7276" w:rsidRPr="00AF31A3">
        <w:rPr>
          <w:color w:val="000000"/>
        </w:rPr>
        <w:t xml:space="preserve"> décrites dans la version la plus récente de la Recommandation</w:t>
      </w:r>
      <w:r w:rsidR="003C7276" w:rsidRPr="00AF31A3">
        <w:t xml:space="preserve"> </w:t>
      </w:r>
      <w:r w:rsidR="008E69FE" w:rsidRPr="00AF31A3">
        <w:t>UIT</w:t>
      </w:r>
      <w:r w:rsidRPr="00AF31A3">
        <w:noBreakHyphen/>
        <w:t>R M.1174;</w:t>
      </w:r>
    </w:p>
    <w:p w14:paraId="5C9C1718" w14:textId="3F08C750" w:rsidR="00D24245" w:rsidRPr="00AF31A3" w:rsidRDefault="00D24245" w:rsidP="00760C2E">
      <w:r w:rsidRPr="00AF31A3">
        <w:rPr>
          <w:i/>
        </w:rPr>
        <w:t>c)</w:t>
      </w:r>
      <w:r w:rsidRPr="00AF31A3">
        <w:tab/>
      </w:r>
      <w:r w:rsidR="003C7276" w:rsidRPr="00AF31A3">
        <w:t>que des systèmes numériques ont été mis en œuvre dans le service mobile terrestre,</w:t>
      </w:r>
    </w:p>
    <w:p w14:paraId="6FC1AABD" w14:textId="1EDF2F15" w:rsidR="00E1371B" w:rsidRPr="00AF31A3" w:rsidRDefault="003C7276" w:rsidP="00760C2E">
      <w:pPr>
        <w:pStyle w:val="Call"/>
      </w:pPr>
      <w:r w:rsidRPr="00AF31A3">
        <w:t>décide d</w:t>
      </w:r>
      <w:r w:rsidR="008D2B12" w:rsidRPr="00AF31A3">
        <w:t>'</w:t>
      </w:r>
      <w:r w:rsidRPr="00AF31A3">
        <w:t xml:space="preserve">inviter la </w:t>
      </w:r>
      <w:r w:rsidR="008E69FE" w:rsidRPr="00AF31A3">
        <w:t>CMR</w:t>
      </w:r>
      <w:r w:rsidR="00E1371B" w:rsidRPr="00AF31A3">
        <w:noBreakHyphen/>
        <w:t>23</w:t>
      </w:r>
    </w:p>
    <w:p w14:paraId="7F233D84" w14:textId="3F0D7926" w:rsidR="00D24245" w:rsidRPr="00AF31A3" w:rsidRDefault="00D24245" w:rsidP="00760C2E">
      <w:r w:rsidRPr="00AF31A3">
        <w:t>1</w:t>
      </w:r>
      <w:r w:rsidRPr="00AF31A3">
        <w:tab/>
      </w:r>
      <w:r w:rsidR="003C7276" w:rsidRPr="00AF31A3">
        <w:t xml:space="preserve">à </w:t>
      </w:r>
      <w:r w:rsidR="003C7276" w:rsidRPr="00AF31A3">
        <w:rPr>
          <w:color w:val="000000"/>
        </w:rPr>
        <w:t>examiner les modifications à apporter aux dispositions du Règlement des radiocommunications pour assurer l'exploitation des systèmes de sécurité maritime et de sécurité des navires et des ports;</w:t>
      </w:r>
    </w:p>
    <w:p w14:paraId="05FBE638" w14:textId="1CC747BA" w:rsidR="00D24245" w:rsidRPr="00AF31A3" w:rsidRDefault="00D24245" w:rsidP="00760C2E">
      <w:r w:rsidRPr="00AF31A3">
        <w:t>2</w:t>
      </w:r>
      <w:r w:rsidRPr="00AF31A3">
        <w:tab/>
      </w:r>
      <w:r w:rsidR="00840245" w:rsidRPr="00AF31A3">
        <w:t xml:space="preserve">à </w:t>
      </w:r>
      <w:r w:rsidR="00840245" w:rsidRPr="00AF31A3">
        <w:rPr>
          <w:color w:val="000000"/>
        </w:rPr>
        <w:t>envisager d'apporter les modifications nécessaires à</w:t>
      </w:r>
      <w:r w:rsidR="00840245" w:rsidRPr="00AF31A3">
        <w:t xml:space="preserve"> </w:t>
      </w:r>
      <w:r w:rsidR="002A53D1" w:rsidRPr="00AF31A3">
        <w:t>l</w:t>
      </w:r>
      <w:r w:rsidR="008D2B12" w:rsidRPr="00AF31A3">
        <w:t>'</w:t>
      </w:r>
      <w:r w:rsidR="002A53D1" w:rsidRPr="00AF31A3">
        <w:t xml:space="preserve">Appendice </w:t>
      </w:r>
      <w:r w:rsidRPr="00AF31A3">
        <w:rPr>
          <w:b/>
        </w:rPr>
        <w:t>18</w:t>
      </w:r>
      <w:r w:rsidR="00840245" w:rsidRPr="00AF31A3">
        <w:rPr>
          <w:bCs/>
        </w:rPr>
        <w:t xml:space="preserve"> pour permettre l</w:t>
      </w:r>
      <w:r w:rsidR="008D2B12" w:rsidRPr="00AF31A3">
        <w:rPr>
          <w:bCs/>
        </w:rPr>
        <w:t>'</w:t>
      </w:r>
      <w:r w:rsidR="00840245" w:rsidRPr="00AF31A3">
        <w:rPr>
          <w:bCs/>
        </w:rPr>
        <w:t xml:space="preserve">utilisation </w:t>
      </w:r>
      <w:r w:rsidR="008D2B12" w:rsidRPr="00AF31A3">
        <w:rPr>
          <w:bCs/>
        </w:rPr>
        <w:t xml:space="preserve">efficace </w:t>
      </w:r>
      <w:r w:rsidR="00840245" w:rsidRPr="00AF31A3">
        <w:rPr>
          <w:bCs/>
        </w:rPr>
        <w:t>du service mobile maritime,</w:t>
      </w:r>
    </w:p>
    <w:p w14:paraId="2BBBB029" w14:textId="3422EE9F" w:rsidR="00D24245" w:rsidRPr="00AF31A3" w:rsidRDefault="000E3E02" w:rsidP="00760C2E">
      <w:pPr>
        <w:pStyle w:val="Call"/>
      </w:pPr>
      <w:r w:rsidRPr="00AF31A3">
        <w:t>i</w:t>
      </w:r>
      <w:r w:rsidR="00D24245" w:rsidRPr="00AF31A3">
        <w:t>nvite</w:t>
      </w:r>
      <w:r w:rsidRPr="00AF31A3">
        <w:t xml:space="preserve"> l</w:t>
      </w:r>
      <w:r w:rsidR="008D2B12" w:rsidRPr="00AF31A3">
        <w:t>'</w:t>
      </w:r>
      <w:r w:rsidR="008E69FE" w:rsidRPr="00AF31A3">
        <w:t>UIT</w:t>
      </w:r>
      <w:r w:rsidR="00D24245" w:rsidRPr="00AF31A3">
        <w:noBreakHyphen/>
        <w:t>R</w:t>
      </w:r>
    </w:p>
    <w:p w14:paraId="4A04B135" w14:textId="7B012137" w:rsidR="00D24245" w:rsidRPr="00AF31A3" w:rsidRDefault="000E3E02" w:rsidP="00760C2E">
      <w:r w:rsidRPr="00AF31A3">
        <w:t>à mener d</w:t>
      </w:r>
      <w:r w:rsidR="008D2B12" w:rsidRPr="00AF31A3">
        <w:t>'</w:t>
      </w:r>
      <w:r w:rsidRPr="00AF31A3">
        <w:t>urgence des études pour déterminer les dispositions réglementaires nécessaires</w:t>
      </w:r>
      <w:r w:rsidR="008D2B12" w:rsidRPr="00AF31A3">
        <w:t xml:space="preserve"> et </w:t>
      </w:r>
      <w:r w:rsidRPr="00AF31A3">
        <w:t>les besoins de spectre, y compris les attributions additionnelles pour assurer la sécurité maritime ainsi que la sécurité des navires et des ports,</w:t>
      </w:r>
    </w:p>
    <w:p w14:paraId="7F65B060" w14:textId="0174D94D" w:rsidR="003B69F6" w:rsidRPr="00AF31A3" w:rsidRDefault="003B69F6" w:rsidP="00760C2E">
      <w:pPr>
        <w:pStyle w:val="Call"/>
      </w:pPr>
      <w:r w:rsidRPr="00AF31A3">
        <w:t>invite</w:t>
      </w:r>
    </w:p>
    <w:p w14:paraId="6F2EE317" w14:textId="324B548D" w:rsidR="00822397" w:rsidRPr="00AF31A3" w:rsidRDefault="00822397" w:rsidP="00760C2E">
      <w:r w:rsidRPr="00AF31A3">
        <w:t>1</w:t>
      </w:r>
      <w:r w:rsidRPr="00AF31A3">
        <w:tab/>
        <w:t>l'OMI à participer activement aux études</w:t>
      </w:r>
      <w:r w:rsidR="000E3E02" w:rsidRPr="00AF31A3">
        <w:t>,</w:t>
      </w:r>
      <w:r w:rsidRPr="00AF31A3">
        <w:t xml:space="preserve"> en fournissant les exigences et les informations qu'il conviendra de prendre en c</w:t>
      </w:r>
      <w:r w:rsidR="008D2B12" w:rsidRPr="00AF31A3">
        <w:t>onsidération</w:t>
      </w:r>
      <w:r w:rsidRPr="00AF31A3">
        <w:t xml:space="preserve"> dans les études de l'UIT-R;</w:t>
      </w:r>
    </w:p>
    <w:p w14:paraId="2A70AF6F" w14:textId="14161C0E" w:rsidR="003B69F6" w:rsidRPr="00AF31A3" w:rsidRDefault="00822397" w:rsidP="00760C2E">
      <w:r w:rsidRPr="00AF31A3">
        <w:t>2</w:t>
      </w:r>
      <w:r w:rsidRPr="00AF31A3">
        <w:tab/>
        <w:t xml:space="preserve">l'Association internationale de signalisation maritime (AISM), </w:t>
      </w:r>
      <w:r w:rsidR="00C979BA" w:rsidRPr="00AF31A3">
        <w:rPr>
          <w:color w:val="000000"/>
        </w:rPr>
        <w:t xml:space="preserve">l'Institut européen des normes de télécommunication (ETSI), l'Organisation de l'aviation civile internationale (OACI) et </w:t>
      </w:r>
      <w:r w:rsidRPr="00AF31A3">
        <w:t>la Commission électrotechnique internationale (CEI)</w:t>
      </w:r>
      <w:r w:rsidR="008D2B12" w:rsidRPr="00AF31A3">
        <w:t xml:space="preserve"> </w:t>
      </w:r>
      <w:r w:rsidRPr="00AF31A3">
        <w:t>à contribuer à ces études,</w:t>
      </w:r>
    </w:p>
    <w:p w14:paraId="4A1C7BB8" w14:textId="77777777" w:rsidR="00822397" w:rsidRPr="00AF31A3" w:rsidRDefault="00822397" w:rsidP="00760C2E">
      <w:pPr>
        <w:pStyle w:val="Call"/>
      </w:pPr>
      <w:r w:rsidRPr="00AF31A3">
        <w:lastRenderedPageBreak/>
        <w:t>charge le Secrétaire général</w:t>
      </w:r>
    </w:p>
    <w:p w14:paraId="248B347E" w14:textId="41C32007" w:rsidR="00822397" w:rsidRPr="00AF31A3" w:rsidRDefault="00822397" w:rsidP="00760C2E">
      <w:r w:rsidRPr="00AF31A3">
        <w:t>de porter la présente Résolution à l'attention de l'OMI et des autres organisations internationales et régionales concernées.</w:t>
      </w:r>
    </w:p>
    <w:p w14:paraId="7D6C3384" w14:textId="77777777" w:rsidR="004C2685" w:rsidRDefault="007D78F1" w:rsidP="00AC5580">
      <w:pPr>
        <w:pStyle w:val="Reasons"/>
      </w:pPr>
      <w:r w:rsidRPr="00AF31A3">
        <w:rPr>
          <w:b/>
        </w:rPr>
        <w:t>Motifs:</w:t>
      </w:r>
      <w:r w:rsidRPr="00AF31A3">
        <w:tab/>
      </w:r>
      <w:r w:rsidR="00E05CC1" w:rsidRPr="00AF31A3">
        <w:t>Veuillez vous reporter au tableau ci-dessous.</w:t>
      </w:r>
    </w:p>
    <w:tbl>
      <w:tblPr>
        <w:tblW w:w="0" w:type="auto"/>
        <w:tblInd w:w="99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07"/>
        <w:gridCol w:w="5112"/>
      </w:tblGrid>
      <w:tr w:rsidR="00822397" w:rsidRPr="00AF31A3" w14:paraId="172974A4" w14:textId="77777777" w:rsidTr="004C2685">
        <w:tc>
          <w:tcPr>
            <w:tcW w:w="9317" w:type="dxa"/>
            <w:gridSpan w:val="2"/>
            <w:tcBorders>
              <w:top w:val="nil"/>
              <w:bottom w:val="nil"/>
            </w:tcBorders>
          </w:tcPr>
          <w:p w14:paraId="5B1D894F" w14:textId="733DED10" w:rsidR="00822397" w:rsidRPr="00AF31A3" w:rsidRDefault="00E05CC1" w:rsidP="00760C2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SimSun"/>
                <w:b/>
                <w:bCs/>
                <w:i/>
                <w:iCs/>
                <w:kern w:val="2"/>
                <w:szCs w:val="24"/>
                <w:lang w:eastAsia="zh-CN"/>
              </w:rPr>
            </w:pPr>
            <w:r w:rsidRPr="00AF31A3">
              <w:rPr>
                <w:rFonts w:eastAsia="MS Gothic"/>
                <w:b/>
                <w:bCs/>
                <w:i/>
                <w:iCs/>
                <w:kern w:val="2"/>
                <w:szCs w:val="24"/>
              </w:rPr>
              <w:t xml:space="preserve">Objet </w:t>
            </w:r>
            <w:r w:rsidR="00822397" w:rsidRPr="00AF31A3">
              <w:rPr>
                <w:rFonts w:eastAsia="MS Gothic"/>
                <w:b/>
                <w:bCs/>
                <w:i/>
                <w:iCs/>
                <w:kern w:val="2"/>
                <w:szCs w:val="24"/>
              </w:rPr>
              <w:t>:</w:t>
            </w:r>
            <w:r w:rsidR="005B6038" w:rsidRPr="00AF31A3">
              <w:rPr>
                <w:rFonts w:eastAsia="SimSun"/>
                <w:kern w:val="2"/>
                <w:lang w:eastAsia="ja-JP"/>
              </w:rPr>
              <w:t xml:space="preserve"> </w:t>
            </w:r>
            <w:r w:rsidR="005C11E9" w:rsidRPr="00AF31A3">
              <w:rPr>
                <w:rFonts w:eastAsia="SimSun"/>
                <w:kern w:val="2"/>
                <w:lang w:eastAsia="ja-JP"/>
              </w:rPr>
              <w:t>Proposition visant à inscrire un nouveau point à l</w:t>
            </w:r>
            <w:r w:rsidR="008D2B12" w:rsidRPr="00AF31A3">
              <w:rPr>
                <w:rFonts w:eastAsia="SimSun"/>
                <w:kern w:val="2"/>
                <w:lang w:eastAsia="ja-JP"/>
              </w:rPr>
              <w:t>'</w:t>
            </w:r>
            <w:r w:rsidR="005C11E9" w:rsidRPr="00AF31A3">
              <w:rPr>
                <w:rFonts w:eastAsia="SimSun"/>
                <w:kern w:val="2"/>
                <w:lang w:eastAsia="ja-JP"/>
              </w:rPr>
              <w:t>ordre du jour de la CMR-23 pour examiner l</w:t>
            </w:r>
            <w:r w:rsidR="008D2B12" w:rsidRPr="00AF31A3">
              <w:rPr>
                <w:rFonts w:eastAsia="SimSun"/>
                <w:kern w:val="2"/>
                <w:lang w:eastAsia="ja-JP"/>
              </w:rPr>
              <w:t>'</w:t>
            </w:r>
            <w:r w:rsidR="005C11E9" w:rsidRPr="00AF31A3">
              <w:rPr>
                <w:rFonts w:eastAsia="SimSun"/>
                <w:kern w:val="2"/>
                <w:lang w:eastAsia="ja-JP"/>
              </w:rPr>
              <w:t>amélioration de l</w:t>
            </w:r>
            <w:r w:rsidR="008D2B12" w:rsidRPr="00AF31A3">
              <w:rPr>
                <w:rFonts w:eastAsia="SimSun"/>
                <w:kern w:val="2"/>
                <w:lang w:eastAsia="ja-JP"/>
              </w:rPr>
              <w:t>'</w:t>
            </w:r>
            <w:r w:rsidR="005C11E9" w:rsidRPr="00AF31A3">
              <w:rPr>
                <w:rFonts w:eastAsia="SimSun"/>
                <w:kern w:val="2"/>
                <w:lang w:eastAsia="ja-JP"/>
              </w:rPr>
              <w:t>efficacité d</w:t>
            </w:r>
            <w:r w:rsidR="008D2B12" w:rsidRPr="00AF31A3">
              <w:rPr>
                <w:rFonts w:eastAsia="SimSun"/>
                <w:kern w:val="2"/>
                <w:lang w:eastAsia="ja-JP"/>
              </w:rPr>
              <w:t>'</w:t>
            </w:r>
            <w:r w:rsidR="005C11E9" w:rsidRPr="00AF31A3">
              <w:rPr>
                <w:rFonts w:eastAsia="SimSun"/>
                <w:kern w:val="2"/>
                <w:lang w:eastAsia="ja-JP"/>
              </w:rPr>
              <w:t>utilisation des bandes de fréquences en ondes métriques</w:t>
            </w:r>
            <w:r w:rsidR="00E62779" w:rsidRPr="00AF31A3">
              <w:rPr>
                <w:rFonts w:eastAsia="SimSun"/>
                <w:kern w:val="2"/>
                <w:lang w:eastAsia="ja-JP"/>
              </w:rPr>
              <w:t xml:space="preserve"> 156</w:t>
            </w:r>
            <w:r w:rsidR="005B6038" w:rsidRPr="00AF31A3">
              <w:rPr>
                <w:rFonts w:eastAsia="SimSun"/>
                <w:kern w:val="2"/>
                <w:lang w:eastAsia="ja-JP"/>
              </w:rPr>
              <w:t>,</w:t>
            </w:r>
            <w:r w:rsidR="00E62779" w:rsidRPr="00AF31A3">
              <w:rPr>
                <w:rFonts w:eastAsia="SimSun"/>
                <w:kern w:val="2"/>
                <w:lang w:eastAsia="ja-JP"/>
              </w:rPr>
              <w:t>0125-157</w:t>
            </w:r>
            <w:r w:rsidR="005B6038" w:rsidRPr="00AF31A3">
              <w:rPr>
                <w:rFonts w:eastAsia="SimSun"/>
                <w:kern w:val="2"/>
                <w:lang w:eastAsia="ja-JP"/>
              </w:rPr>
              <w:t>,</w:t>
            </w:r>
            <w:r w:rsidR="00E62779" w:rsidRPr="00AF31A3">
              <w:rPr>
                <w:rFonts w:eastAsia="SimSun"/>
                <w:kern w:val="2"/>
                <w:lang w:eastAsia="ja-JP"/>
              </w:rPr>
              <w:t>4375 MHz et 160</w:t>
            </w:r>
            <w:r w:rsidR="005B6038" w:rsidRPr="00AF31A3">
              <w:rPr>
                <w:rFonts w:eastAsia="SimSun"/>
                <w:kern w:val="2"/>
                <w:lang w:eastAsia="ja-JP"/>
              </w:rPr>
              <w:t>,</w:t>
            </w:r>
            <w:r w:rsidR="00E62779" w:rsidRPr="00AF31A3">
              <w:rPr>
                <w:rFonts w:eastAsia="SimSun"/>
                <w:kern w:val="2"/>
                <w:lang w:eastAsia="ja-JP"/>
              </w:rPr>
              <w:t>6125-162</w:t>
            </w:r>
            <w:r w:rsidR="005B6038" w:rsidRPr="00AF31A3">
              <w:rPr>
                <w:rFonts w:eastAsia="SimSun"/>
                <w:kern w:val="2"/>
                <w:lang w:eastAsia="ja-JP"/>
              </w:rPr>
              <w:t>,</w:t>
            </w:r>
            <w:r w:rsidR="00E62779" w:rsidRPr="00AF31A3">
              <w:rPr>
                <w:rFonts w:eastAsia="SimSun"/>
                <w:kern w:val="2"/>
                <w:lang w:eastAsia="ja-JP"/>
              </w:rPr>
              <w:t>0375 MHz</w:t>
            </w:r>
            <w:r w:rsidR="005C11E9" w:rsidRPr="00AF31A3">
              <w:rPr>
                <w:rFonts w:eastAsia="SimSun"/>
                <w:kern w:val="2"/>
                <w:lang w:eastAsia="ja-JP"/>
              </w:rPr>
              <w:t xml:space="preserve"> attribuées au service mobile maritime</w:t>
            </w:r>
            <w:r w:rsidR="00E62779" w:rsidRPr="00AF31A3">
              <w:rPr>
                <w:rFonts w:eastAsia="SimSun"/>
                <w:kern w:val="2"/>
                <w:lang w:eastAsia="ja-JP"/>
              </w:rPr>
              <w:t>.</w:t>
            </w:r>
          </w:p>
        </w:tc>
      </w:tr>
      <w:tr w:rsidR="00822397" w:rsidRPr="00AF31A3" w14:paraId="59D1C189" w14:textId="77777777" w:rsidTr="004C2685">
        <w:tc>
          <w:tcPr>
            <w:tcW w:w="9317" w:type="dxa"/>
            <w:gridSpan w:val="2"/>
            <w:tcBorders>
              <w:top w:val="nil"/>
              <w:bottom w:val="single" w:sz="4" w:space="0" w:color="auto"/>
            </w:tcBorders>
          </w:tcPr>
          <w:p w14:paraId="2C6C825C" w14:textId="5E37E6D6" w:rsidR="00822397" w:rsidRPr="00AF31A3" w:rsidRDefault="00822397" w:rsidP="00760C2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MS Gothic"/>
                <w:b/>
                <w:bCs/>
                <w:kern w:val="2"/>
                <w:szCs w:val="24"/>
              </w:rPr>
            </w:pPr>
            <w:r w:rsidRPr="00AF31A3">
              <w:rPr>
                <w:rFonts w:eastAsia="MS Gothic"/>
                <w:b/>
                <w:bCs/>
                <w:i/>
                <w:kern w:val="2"/>
                <w:szCs w:val="24"/>
              </w:rPr>
              <w:t>Origin</w:t>
            </w:r>
            <w:r w:rsidR="00E05CC1" w:rsidRPr="00AF31A3">
              <w:rPr>
                <w:rFonts w:eastAsia="MS Gothic"/>
                <w:b/>
                <w:bCs/>
                <w:i/>
                <w:kern w:val="2"/>
                <w:szCs w:val="24"/>
              </w:rPr>
              <w:t>e</w:t>
            </w:r>
            <w:r w:rsidRPr="00AF31A3">
              <w:rPr>
                <w:rFonts w:eastAsia="MS Gothic"/>
                <w:b/>
                <w:bCs/>
                <w:i/>
                <w:kern w:val="2"/>
                <w:szCs w:val="24"/>
              </w:rPr>
              <w:t>:</w:t>
            </w:r>
            <w:r w:rsidRPr="00AF31A3">
              <w:rPr>
                <w:rFonts w:eastAsia="MS Mincho"/>
                <w:b/>
                <w:bCs/>
              </w:rPr>
              <w:t xml:space="preserve"> </w:t>
            </w:r>
            <w:r w:rsidR="00E05CC1" w:rsidRPr="00AF31A3">
              <w:rPr>
                <w:rFonts w:eastAsia="MS Mincho"/>
              </w:rPr>
              <w:t>Télécommunauté Asie–Pacifique</w:t>
            </w:r>
            <w:r w:rsidR="00E05CC1" w:rsidRPr="00AF31A3">
              <w:rPr>
                <w:rFonts w:eastAsia="MS Mincho"/>
                <w:b/>
                <w:bCs/>
              </w:rPr>
              <w:t xml:space="preserve"> </w:t>
            </w:r>
            <w:r w:rsidRPr="00AF31A3">
              <w:rPr>
                <w:rFonts w:eastAsia="MS Mincho"/>
                <w:bCs/>
              </w:rPr>
              <w:t>(APT)</w:t>
            </w:r>
          </w:p>
        </w:tc>
      </w:tr>
      <w:tr w:rsidR="00822397" w:rsidRPr="00AF31A3" w14:paraId="4A0FFAE3" w14:textId="77777777" w:rsidTr="004C2685">
        <w:tc>
          <w:tcPr>
            <w:tcW w:w="9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FA94DC" w14:textId="39E21AB9" w:rsidR="00822397" w:rsidRPr="00AF31A3" w:rsidRDefault="00E05CC1" w:rsidP="00760C2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MS Gothic"/>
                <w:b/>
                <w:bCs/>
                <w:i/>
                <w:iCs/>
                <w:kern w:val="2"/>
                <w:szCs w:val="24"/>
                <w:lang w:eastAsia="ja-JP"/>
              </w:rPr>
            </w:pPr>
            <w:r w:rsidRPr="00AF31A3">
              <w:rPr>
                <w:rFonts w:eastAsia="MS Gothic"/>
                <w:b/>
                <w:bCs/>
                <w:i/>
                <w:iCs/>
                <w:kern w:val="2"/>
                <w:szCs w:val="24"/>
              </w:rPr>
              <w:t xml:space="preserve">Proposition </w:t>
            </w:r>
            <w:r w:rsidR="00822397" w:rsidRPr="00AF31A3">
              <w:rPr>
                <w:rFonts w:eastAsia="MS Gothic"/>
                <w:b/>
                <w:bCs/>
                <w:i/>
                <w:iCs/>
                <w:kern w:val="2"/>
                <w:szCs w:val="24"/>
              </w:rPr>
              <w:t>:</w:t>
            </w:r>
          </w:p>
          <w:p w14:paraId="4E2DB1EF" w14:textId="7564449F" w:rsidR="00822397" w:rsidRPr="00CD7129" w:rsidRDefault="005B6038" w:rsidP="00760C2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SimSun"/>
                <w:i/>
                <w:kern w:val="2"/>
                <w:szCs w:val="24"/>
                <w:lang w:eastAsia="ko-KR"/>
              </w:rPr>
            </w:pPr>
            <w:r w:rsidRPr="00AF31A3">
              <w:t>E</w:t>
            </w:r>
            <w:r w:rsidR="00E62779" w:rsidRPr="00AF31A3">
              <w:t>xaminer l</w:t>
            </w:r>
            <w:r w:rsidR="008D2B12" w:rsidRPr="00AF31A3">
              <w:t>'</w:t>
            </w:r>
            <w:r w:rsidR="00E62779" w:rsidRPr="00AF31A3">
              <w:t>efficacité d</w:t>
            </w:r>
            <w:r w:rsidR="008D2B12" w:rsidRPr="00AF31A3">
              <w:t>'</w:t>
            </w:r>
            <w:r w:rsidR="00E62779" w:rsidRPr="00AF31A3">
              <w:t xml:space="preserve">utilisation des </w:t>
            </w:r>
            <w:r w:rsidR="00E62779" w:rsidRPr="00AF31A3">
              <w:rPr>
                <w:color w:val="000000"/>
              </w:rPr>
              <w:t xml:space="preserve">bandes de fréquences en ondes métriques </w:t>
            </w:r>
            <w:r w:rsidR="00E62779" w:rsidRPr="00AF31A3">
              <w:t>156,0125</w:t>
            </w:r>
            <w:r w:rsidR="001F2E01" w:rsidRPr="00AF31A3">
              <w:noBreakHyphen/>
            </w:r>
            <w:r w:rsidR="00E62779" w:rsidRPr="00AF31A3">
              <w:t>157,4375 MHz et 160,6125-162,0375 MHz</w:t>
            </w:r>
            <w:r w:rsidR="00E62779" w:rsidRPr="00AF31A3">
              <w:rPr>
                <w:color w:val="000000"/>
              </w:rPr>
              <w:t xml:space="preserve"> attribuées au</w:t>
            </w:r>
            <w:r w:rsidR="00760C2E" w:rsidRPr="00AF31A3">
              <w:rPr>
                <w:color w:val="000000"/>
              </w:rPr>
              <w:t xml:space="preserve"> </w:t>
            </w:r>
            <w:r w:rsidR="00E62779" w:rsidRPr="00AF31A3">
              <w:rPr>
                <w:color w:val="000000"/>
              </w:rPr>
              <w:t>service</w:t>
            </w:r>
            <w:r w:rsidR="00760C2E" w:rsidRPr="00AF31A3">
              <w:rPr>
                <w:color w:val="000000"/>
              </w:rPr>
              <w:t xml:space="preserve"> </w:t>
            </w:r>
            <w:r w:rsidR="00E62779" w:rsidRPr="00AF31A3">
              <w:rPr>
                <w:color w:val="000000"/>
              </w:rPr>
              <w:t>mobile maritime</w:t>
            </w:r>
            <w:r w:rsidRPr="00AF31A3">
              <w:rPr>
                <w:color w:val="000000"/>
              </w:rPr>
              <w:t xml:space="preserve">, </w:t>
            </w:r>
            <w:r w:rsidR="00E62779" w:rsidRPr="00AF31A3">
              <w:rPr>
                <w:iCs/>
              </w:rPr>
              <w:t>conformément à la Résolution</w:t>
            </w:r>
            <w:r w:rsidR="00760C2E" w:rsidRPr="00AF31A3">
              <w:rPr>
                <w:iCs/>
              </w:rPr>
              <w:t xml:space="preserve"> </w:t>
            </w:r>
            <w:r w:rsidR="00E62779" w:rsidRPr="00AF31A3">
              <w:rPr>
                <w:b/>
                <w:iCs/>
              </w:rPr>
              <w:t>[ACP-E10-MARINE VHF]</w:t>
            </w:r>
            <w:r w:rsidR="00E62779" w:rsidRPr="00AF31A3">
              <w:t xml:space="preserve"> </w:t>
            </w:r>
            <w:r w:rsidR="00E62779" w:rsidRPr="00AF31A3">
              <w:rPr>
                <w:b/>
                <w:bCs/>
              </w:rPr>
              <w:t>(CMR-19)</w:t>
            </w:r>
            <w:r w:rsidR="00CD7129">
              <w:t>.</w:t>
            </w:r>
          </w:p>
        </w:tc>
      </w:tr>
      <w:tr w:rsidR="00822397" w:rsidRPr="00AF31A3" w14:paraId="306A9E7D" w14:textId="77777777" w:rsidTr="004C2685">
        <w:tc>
          <w:tcPr>
            <w:tcW w:w="9317" w:type="dxa"/>
            <w:gridSpan w:val="2"/>
            <w:tcBorders>
              <w:top w:val="single" w:sz="4" w:space="0" w:color="auto"/>
            </w:tcBorders>
          </w:tcPr>
          <w:p w14:paraId="15827D3F" w14:textId="6EA9E223" w:rsidR="00E05CC1" w:rsidRPr="004C2685" w:rsidRDefault="00E05CC1" w:rsidP="00CD7129">
            <w:pPr>
              <w:spacing w:before="100"/>
              <w:rPr>
                <w:b/>
                <w:bCs/>
                <w:i/>
                <w:iCs/>
              </w:rPr>
            </w:pPr>
            <w:r w:rsidRPr="004C2685">
              <w:rPr>
                <w:b/>
                <w:bCs/>
                <w:i/>
                <w:iCs/>
              </w:rPr>
              <w:t>Contexte/motif</w:t>
            </w:r>
            <w:r w:rsidR="0065240E" w:rsidRPr="004C2685">
              <w:rPr>
                <w:b/>
                <w:bCs/>
                <w:i/>
                <w:iCs/>
              </w:rPr>
              <w:t>:</w:t>
            </w:r>
          </w:p>
          <w:p w14:paraId="65E04CA6" w14:textId="2427C9C0" w:rsidR="00822397" w:rsidRPr="00AF31A3" w:rsidRDefault="00E62779" w:rsidP="00CD7129">
            <w:pPr>
              <w:spacing w:before="100"/>
              <w:rPr>
                <w:rFonts w:eastAsia="MS Mincho"/>
                <w:kern w:val="2"/>
                <w:szCs w:val="24"/>
                <w:lang w:eastAsia="ja-JP"/>
              </w:rPr>
            </w:pPr>
            <w:r w:rsidRPr="00AF31A3">
              <w:rPr>
                <w:rFonts w:eastAsia="MS Mincho"/>
                <w:kern w:val="2"/>
                <w:szCs w:val="24"/>
                <w:lang w:eastAsia="ja-JP"/>
              </w:rPr>
              <w:t>Les</w:t>
            </w:r>
            <w:r w:rsidR="0065240E" w:rsidRPr="00AF31A3">
              <w:rPr>
                <w:rFonts w:eastAsia="MS Mincho"/>
                <w:kern w:val="2"/>
                <w:szCs w:val="24"/>
                <w:lang w:eastAsia="ja-JP"/>
              </w:rPr>
              <w:t xml:space="preserve"> </w:t>
            </w:r>
            <w:r w:rsidRPr="00AF31A3">
              <w:t>communications radiotéléphoniques maritimes utilisant la bande d</w:t>
            </w:r>
            <w:r w:rsidR="008D2B12" w:rsidRPr="00AF31A3">
              <w:t>'</w:t>
            </w:r>
            <w:r w:rsidRPr="00AF31A3">
              <w:t>ondes métriques attribuée au</w:t>
            </w:r>
            <w:r w:rsidR="0065240E" w:rsidRPr="00AF31A3">
              <w:t>x</w:t>
            </w:r>
            <w:r w:rsidRPr="00AF31A3">
              <w:t xml:space="preserve"> service</w:t>
            </w:r>
            <w:r w:rsidR="0065240E" w:rsidRPr="00AF31A3">
              <w:t>s</w:t>
            </w:r>
            <w:r w:rsidRPr="00AF31A3">
              <w:t xml:space="preserve"> maritime</w:t>
            </w:r>
            <w:r w:rsidR="0065240E" w:rsidRPr="00AF31A3">
              <w:t>s</w:t>
            </w:r>
            <w:r w:rsidRPr="00AF31A3">
              <w:t xml:space="preserve"> </w:t>
            </w:r>
            <w:r w:rsidR="00822397" w:rsidRPr="00AF31A3">
              <w:rPr>
                <w:rFonts w:eastAsia="MS Mincho"/>
                <w:kern w:val="2"/>
                <w:szCs w:val="24"/>
                <w:lang w:eastAsia="ja-JP"/>
              </w:rPr>
              <w:t>(</w:t>
            </w:r>
            <w:r w:rsidRPr="00AF31A3">
              <w:t xml:space="preserve">qui est organisée en voies dans l'Appendice </w:t>
            </w:r>
            <w:r w:rsidRPr="00AF31A3">
              <w:rPr>
                <w:b/>
                <w:bCs/>
              </w:rPr>
              <w:t>18</w:t>
            </w:r>
            <w:r w:rsidRPr="00AF31A3">
              <w:t xml:space="preserve"> du RR</w:t>
            </w:r>
            <w:r w:rsidR="00822397" w:rsidRPr="00AF31A3">
              <w:rPr>
                <w:rFonts w:eastAsia="MS Mincho"/>
                <w:kern w:val="2"/>
                <w:szCs w:val="24"/>
                <w:lang w:eastAsia="ja-JP"/>
              </w:rPr>
              <w:t>)</w:t>
            </w:r>
            <w:r w:rsidRPr="00AF31A3">
              <w:rPr>
                <w:rFonts w:eastAsia="MS Mincho"/>
                <w:kern w:val="2"/>
                <w:szCs w:val="24"/>
                <w:lang w:eastAsia="ja-JP"/>
              </w:rPr>
              <w:t xml:space="preserve"> ont été mises en œuvre début des années 60</w:t>
            </w:r>
            <w:r w:rsidR="0065240E" w:rsidRPr="00AF31A3">
              <w:rPr>
                <w:rFonts w:eastAsia="MS Mincho"/>
                <w:kern w:val="2"/>
                <w:szCs w:val="24"/>
                <w:lang w:eastAsia="ja-JP"/>
              </w:rPr>
              <w:t>,</w:t>
            </w:r>
            <w:r w:rsidR="00822397" w:rsidRPr="00AF31A3">
              <w:rPr>
                <w:rFonts w:eastAsia="MS Mincho"/>
                <w:kern w:val="2"/>
                <w:szCs w:val="24"/>
                <w:lang w:eastAsia="ja-JP"/>
              </w:rPr>
              <w:t xml:space="preserve"> </w:t>
            </w:r>
            <w:r w:rsidRPr="00AF31A3">
              <w:t>sur la base d'un espacement des voies de 25 kHz et de l'utilisation de plusieurs voies duplex.</w:t>
            </w:r>
            <w:r w:rsidR="0065240E" w:rsidRPr="00AF31A3">
              <w:rPr>
                <w:rFonts w:eastAsia="MS Mincho"/>
                <w:kern w:val="2"/>
                <w:szCs w:val="24"/>
                <w:lang w:eastAsia="ja-JP"/>
              </w:rPr>
              <w:t xml:space="preserve"> </w:t>
            </w:r>
            <w:r w:rsidRPr="00AF31A3">
              <w:rPr>
                <w:rFonts w:eastAsia="MS Mincho"/>
                <w:kern w:val="2"/>
                <w:szCs w:val="24"/>
                <w:lang w:eastAsia="ja-JP"/>
              </w:rPr>
              <w:t>L</w:t>
            </w:r>
            <w:r w:rsidR="008D2B12" w:rsidRPr="00AF31A3">
              <w:rPr>
                <w:rFonts w:eastAsia="MS Mincho"/>
                <w:kern w:val="2"/>
                <w:szCs w:val="24"/>
                <w:lang w:eastAsia="ja-JP"/>
              </w:rPr>
              <w:t>'</w:t>
            </w:r>
            <w:r w:rsidR="002A53D1" w:rsidRPr="00AF31A3">
              <w:rPr>
                <w:rFonts w:eastAsia="MS Mincho"/>
                <w:kern w:val="2"/>
                <w:szCs w:val="24"/>
                <w:lang w:eastAsia="ja-JP"/>
              </w:rPr>
              <w:t xml:space="preserve">Appendice </w:t>
            </w:r>
            <w:r w:rsidR="00822397" w:rsidRPr="00AF31A3">
              <w:rPr>
                <w:rFonts w:eastAsia="MS Mincho"/>
                <w:b/>
                <w:bCs/>
                <w:kern w:val="2"/>
                <w:szCs w:val="24"/>
                <w:lang w:eastAsia="ja-JP"/>
              </w:rPr>
              <w:t>18</w:t>
            </w:r>
            <w:r w:rsidR="00822397" w:rsidRPr="00AF31A3">
              <w:rPr>
                <w:rFonts w:eastAsia="MS Mincho"/>
                <w:kern w:val="2"/>
                <w:szCs w:val="24"/>
                <w:lang w:eastAsia="ja-JP"/>
              </w:rPr>
              <w:t xml:space="preserve"> </w:t>
            </w:r>
            <w:r w:rsidRPr="00AF31A3">
              <w:t>identifie les fréquences à utiliser au niveau international pour les communications de détresse et de sécurité et les autres communications maritimes.</w:t>
            </w:r>
          </w:p>
          <w:p w14:paraId="68E95AA3" w14:textId="672DBF82" w:rsidR="00822397" w:rsidRPr="00AF31A3" w:rsidRDefault="00E62779" w:rsidP="00CD7129">
            <w:pPr>
              <w:spacing w:before="100"/>
              <w:rPr>
                <w:rFonts w:eastAsia="MS Mincho"/>
                <w:kern w:val="2"/>
                <w:szCs w:val="24"/>
                <w:lang w:eastAsia="ja-JP"/>
              </w:rPr>
            </w:pPr>
            <w:r w:rsidRPr="00AF31A3">
              <w:rPr>
                <w:rFonts w:eastAsia="MS Mincho"/>
                <w:kern w:val="2"/>
                <w:szCs w:val="24"/>
                <w:lang w:eastAsia="ja-JP"/>
              </w:rPr>
              <w:t>Dernièrement, des communications utilisant des techniques numériques telles que l</w:t>
            </w:r>
            <w:r w:rsidR="008D2B12" w:rsidRPr="00AF31A3">
              <w:rPr>
                <w:rFonts w:eastAsia="MS Mincho"/>
                <w:kern w:val="2"/>
                <w:szCs w:val="24"/>
                <w:lang w:eastAsia="ja-JP"/>
              </w:rPr>
              <w:t>'</w:t>
            </w:r>
            <w:r w:rsidRPr="00AF31A3">
              <w:rPr>
                <w:rFonts w:eastAsia="MS Mincho"/>
                <w:kern w:val="2"/>
                <w:szCs w:val="24"/>
                <w:lang w:eastAsia="ja-JP"/>
              </w:rPr>
              <w:t xml:space="preserve">appel sélectif numérique </w:t>
            </w:r>
            <w:r w:rsidR="00822397" w:rsidRPr="00AF31A3">
              <w:rPr>
                <w:rFonts w:eastAsia="MS Mincho"/>
                <w:kern w:val="2"/>
                <w:szCs w:val="24"/>
                <w:lang w:eastAsia="ja-JP"/>
              </w:rPr>
              <w:t xml:space="preserve">(DSC), </w:t>
            </w:r>
            <w:r w:rsidRPr="00AF31A3">
              <w:rPr>
                <w:rFonts w:eastAsia="MS Mincho"/>
                <w:kern w:val="2"/>
                <w:szCs w:val="24"/>
                <w:lang w:eastAsia="ja-JP"/>
              </w:rPr>
              <w:t xml:space="preserve">le </w:t>
            </w:r>
            <w:r w:rsidRPr="00AF31A3">
              <w:t>système d'identification automatique (AIS) et le système d'échange de données en ondes métriques (VDE) ont été assurées dans la bande de fréquences en ondes métriques attribuée au</w:t>
            </w:r>
            <w:r w:rsidR="0065240E" w:rsidRPr="00AF31A3">
              <w:t>x</w:t>
            </w:r>
            <w:r w:rsidRPr="00AF31A3">
              <w:t xml:space="preserve"> service</w:t>
            </w:r>
            <w:r w:rsidR="0065240E" w:rsidRPr="00AF31A3">
              <w:t>s</w:t>
            </w:r>
            <w:r w:rsidRPr="00AF31A3">
              <w:t xml:space="preserve"> maritime</w:t>
            </w:r>
            <w:r w:rsidR="0065240E" w:rsidRPr="00AF31A3">
              <w:t>s</w:t>
            </w:r>
            <w:r w:rsidRPr="00AF31A3">
              <w:t>,</w:t>
            </w:r>
            <w:r w:rsidRPr="00AF31A3">
              <w:rPr>
                <w:rFonts w:eastAsia="MS Mincho"/>
                <w:kern w:val="2"/>
                <w:szCs w:val="24"/>
                <w:lang w:eastAsia="ja-JP"/>
              </w:rPr>
              <w:t xml:space="preserve"> tandis que le nombre de vo</w:t>
            </w:r>
            <w:r w:rsidR="004C1A9C" w:rsidRPr="00AF31A3">
              <w:rPr>
                <w:rFonts w:eastAsia="MS Mincho"/>
                <w:kern w:val="2"/>
                <w:szCs w:val="24"/>
                <w:lang w:eastAsia="ja-JP"/>
              </w:rPr>
              <w:t>ies pour les communications vocales analogiques a été réduit. Or, la demande de communications vocales n</w:t>
            </w:r>
            <w:r w:rsidR="008D2B12" w:rsidRPr="00AF31A3">
              <w:rPr>
                <w:rFonts w:eastAsia="MS Mincho"/>
                <w:kern w:val="2"/>
                <w:szCs w:val="24"/>
                <w:lang w:eastAsia="ja-JP"/>
              </w:rPr>
              <w:t>'</w:t>
            </w:r>
            <w:r w:rsidR="004C1A9C" w:rsidRPr="00AF31A3">
              <w:rPr>
                <w:rFonts w:eastAsia="MS Mincho"/>
                <w:kern w:val="2"/>
                <w:szCs w:val="24"/>
                <w:lang w:eastAsia="ja-JP"/>
              </w:rPr>
              <w:t>a pas diminué et les voies pour les communications vocales analogiques sont de plus en plus encombrées.</w:t>
            </w:r>
          </w:p>
          <w:p w14:paraId="5B47135A" w14:textId="27C09A21" w:rsidR="00822397" w:rsidRPr="00AF31A3" w:rsidRDefault="004C1A9C" w:rsidP="00CD7129">
            <w:pPr>
              <w:spacing w:before="100"/>
              <w:rPr>
                <w:rFonts w:eastAsia="MS Mincho"/>
                <w:kern w:val="2"/>
                <w:szCs w:val="24"/>
                <w:lang w:eastAsia="ja-JP"/>
              </w:rPr>
            </w:pPr>
            <w:r w:rsidRPr="00AF31A3">
              <w:rPr>
                <w:rFonts w:eastAsia="MS Mincho"/>
                <w:kern w:val="2"/>
                <w:szCs w:val="24"/>
                <w:lang w:eastAsia="ja-JP"/>
              </w:rPr>
              <w:t xml:space="preserve">La CMR-15 a donné suite aux propositions visant à accroître le nombre de canaux en ondes </w:t>
            </w:r>
            <w:r w:rsidRPr="00AF31A3">
              <w:t>décimétriques</w:t>
            </w:r>
            <w:r w:rsidRPr="00AF31A3">
              <w:rPr>
                <w:rFonts w:eastAsia="MS Mincho"/>
                <w:kern w:val="2"/>
                <w:szCs w:val="24"/>
                <w:lang w:eastAsia="ja-JP"/>
              </w:rPr>
              <w:t xml:space="preserve"> pour les communications de bord en subdivisant </w:t>
            </w:r>
            <w:r w:rsidR="00B72797" w:rsidRPr="00AF31A3">
              <w:t>les canaux</w:t>
            </w:r>
            <w:r w:rsidR="0065240E" w:rsidRPr="00AF31A3">
              <w:t xml:space="preserve"> de </w:t>
            </w:r>
            <w:r w:rsidR="0065240E" w:rsidRPr="00AF31A3">
              <w:rPr>
                <w:rFonts w:eastAsia="MS Mincho"/>
                <w:kern w:val="2"/>
                <w:szCs w:val="24"/>
                <w:lang w:eastAsia="ja-JP"/>
              </w:rPr>
              <w:t>25 kHz</w:t>
            </w:r>
            <w:r w:rsidR="00B72797" w:rsidRPr="00AF31A3">
              <w:t xml:space="preserve"> pour les transmissions vocales analogiques </w:t>
            </w:r>
            <w:r w:rsidR="00B72797" w:rsidRPr="00AF31A3">
              <w:rPr>
                <w:rFonts w:eastAsia="MS Mincho"/>
                <w:kern w:val="2"/>
                <w:szCs w:val="24"/>
                <w:lang w:eastAsia="ja-JP"/>
              </w:rPr>
              <w:t>en quatre</w:t>
            </w:r>
            <w:r w:rsidR="00B72797" w:rsidRPr="00AF31A3">
              <w:t xml:space="preserve"> canaux </w:t>
            </w:r>
            <w:r w:rsidR="0065240E" w:rsidRPr="00AF31A3">
              <w:t xml:space="preserve">de </w:t>
            </w:r>
            <w:r w:rsidR="0065240E" w:rsidRPr="00AF31A3">
              <w:rPr>
                <w:rFonts w:eastAsia="MS Mincho"/>
                <w:kern w:val="2"/>
                <w:szCs w:val="24"/>
                <w:lang w:eastAsia="ja-JP"/>
              </w:rPr>
              <w:t>6</w:t>
            </w:r>
            <w:r w:rsidR="003622E3" w:rsidRPr="00AF31A3">
              <w:rPr>
                <w:rFonts w:eastAsia="MS Mincho"/>
                <w:kern w:val="2"/>
                <w:szCs w:val="24"/>
                <w:lang w:eastAsia="ja-JP"/>
              </w:rPr>
              <w:t>,</w:t>
            </w:r>
            <w:r w:rsidR="0065240E" w:rsidRPr="00AF31A3">
              <w:rPr>
                <w:rFonts w:eastAsia="MS Mincho"/>
                <w:kern w:val="2"/>
                <w:szCs w:val="24"/>
                <w:lang w:eastAsia="ja-JP"/>
              </w:rPr>
              <w:t>25 kHz chacun</w:t>
            </w:r>
            <w:r w:rsidR="0065240E" w:rsidRPr="00AF31A3">
              <w:t xml:space="preserve"> </w:t>
            </w:r>
            <w:r w:rsidR="00B72797" w:rsidRPr="00AF31A3">
              <w:t>pour les transmissions vocales numériques</w:t>
            </w:r>
            <w:r w:rsidR="00B72797" w:rsidRPr="00AF31A3">
              <w:rPr>
                <w:rFonts w:eastAsia="MS Mincho"/>
                <w:kern w:val="2"/>
                <w:szCs w:val="24"/>
                <w:lang w:eastAsia="ja-JP"/>
              </w:rPr>
              <w:t xml:space="preserve">. </w:t>
            </w:r>
            <w:r w:rsidRPr="00AF31A3">
              <w:rPr>
                <w:rFonts w:eastAsia="MS Mincho"/>
                <w:kern w:val="2"/>
                <w:szCs w:val="24"/>
                <w:lang w:eastAsia="ja-JP"/>
              </w:rPr>
              <w:t>Les caractéristiques techniques des appareils utilisés pour les communications de bord dans les bandes d</w:t>
            </w:r>
            <w:r w:rsidR="008D2B12" w:rsidRPr="00AF31A3">
              <w:rPr>
                <w:rFonts w:eastAsia="MS Mincho"/>
                <w:kern w:val="2"/>
                <w:szCs w:val="24"/>
                <w:lang w:eastAsia="ja-JP"/>
              </w:rPr>
              <w:t>'</w:t>
            </w:r>
            <w:r w:rsidRPr="00AF31A3">
              <w:rPr>
                <w:rFonts w:eastAsia="MS Mincho"/>
                <w:kern w:val="2"/>
                <w:szCs w:val="24"/>
                <w:lang w:eastAsia="ja-JP"/>
              </w:rPr>
              <w:t xml:space="preserve">ondes </w:t>
            </w:r>
            <w:r w:rsidRPr="00AF31A3">
              <w:t xml:space="preserve">décimétriques sont </w:t>
            </w:r>
            <w:r w:rsidR="0065240E" w:rsidRPr="00AF31A3">
              <w:t>décrites</w:t>
            </w:r>
            <w:r w:rsidRPr="00AF31A3">
              <w:t xml:space="preserve"> dans la </w:t>
            </w:r>
            <w:r w:rsidR="00822397" w:rsidRPr="00AF31A3">
              <w:rPr>
                <w:rFonts w:eastAsia="MS Mincho"/>
                <w:kern w:val="2"/>
                <w:szCs w:val="24"/>
                <w:lang w:eastAsia="ja-JP"/>
              </w:rPr>
              <w:t>Recomm</w:t>
            </w:r>
            <w:r w:rsidRPr="00AF31A3">
              <w:rPr>
                <w:rFonts w:eastAsia="MS Mincho"/>
                <w:kern w:val="2"/>
                <w:szCs w:val="24"/>
                <w:lang w:eastAsia="ja-JP"/>
              </w:rPr>
              <w:t>a</w:t>
            </w:r>
            <w:r w:rsidR="00822397" w:rsidRPr="00AF31A3">
              <w:rPr>
                <w:rFonts w:eastAsia="MS Mincho"/>
                <w:kern w:val="2"/>
                <w:szCs w:val="24"/>
                <w:lang w:eastAsia="ja-JP"/>
              </w:rPr>
              <w:t xml:space="preserve">ndation </w:t>
            </w:r>
            <w:r w:rsidR="008E69FE" w:rsidRPr="00AF31A3">
              <w:rPr>
                <w:rFonts w:eastAsia="MS Mincho"/>
                <w:kern w:val="2"/>
                <w:szCs w:val="24"/>
                <w:lang w:eastAsia="ja-JP"/>
              </w:rPr>
              <w:t>UIT</w:t>
            </w:r>
            <w:r w:rsidR="00822397" w:rsidRPr="00AF31A3">
              <w:rPr>
                <w:rFonts w:eastAsia="MS Mincho"/>
                <w:kern w:val="2"/>
                <w:szCs w:val="24"/>
                <w:lang w:eastAsia="ja-JP"/>
              </w:rPr>
              <w:t>-R M. 1174-3.</w:t>
            </w:r>
          </w:p>
          <w:p w14:paraId="50BE525D" w14:textId="74A97A25" w:rsidR="00822397" w:rsidRPr="00AF31A3" w:rsidRDefault="00B72797" w:rsidP="00CD7129">
            <w:pPr>
              <w:spacing w:before="100" w:after="120"/>
              <w:rPr>
                <w:rFonts w:eastAsia="MS Mincho"/>
                <w:kern w:val="2"/>
                <w:szCs w:val="24"/>
                <w:lang w:eastAsia="ja-JP"/>
              </w:rPr>
            </w:pPr>
            <w:r w:rsidRPr="00AF31A3">
              <w:rPr>
                <w:rFonts w:eastAsia="MS Mincho"/>
                <w:kern w:val="2"/>
                <w:szCs w:val="24"/>
                <w:lang w:eastAsia="ja-JP"/>
              </w:rPr>
              <w:t xml:space="preserve">Dans la </w:t>
            </w:r>
            <w:r w:rsidR="00822397" w:rsidRPr="00AF31A3">
              <w:rPr>
                <w:rFonts w:eastAsia="MS Mincho"/>
                <w:kern w:val="2"/>
                <w:szCs w:val="24"/>
                <w:lang w:eastAsia="ja-JP"/>
              </w:rPr>
              <w:t>Recomm</w:t>
            </w:r>
            <w:r w:rsidRPr="00AF31A3">
              <w:rPr>
                <w:rFonts w:eastAsia="MS Mincho"/>
                <w:kern w:val="2"/>
                <w:szCs w:val="24"/>
                <w:lang w:eastAsia="ja-JP"/>
              </w:rPr>
              <w:t>a</w:t>
            </w:r>
            <w:r w:rsidR="00822397" w:rsidRPr="00AF31A3">
              <w:rPr>
                <w:rFonts w:eastAsia="MS Mincho"/>
                <w:kern w:val="2"/>
                <w:szCs w:val="24"/>
                <w:lang w:eastAsia="ja-JP"/>
              </w:rPr>
              <w:t xml:space="preserve">ndation </w:t>
            </w:r>
            <w:r w:rsidR="008E69FE" w:rsidRPr="00AF31A3">
              <w:rPr>
                <w:rFonts w:eastAsia="MS Mincho"/>
                <w:kern w:val="2"/>
                <w:szCs w:val="24"/>
                <w:lang w:eastAsia="ja-JP"/>
              </w:rPr>
              <w:t>UIT</w:t>
            </w:r>
            <w:r w:rsidR="00822397" w:rsidRPr="00AF31A3">
              <w:rPr>
                <w:rFonts w:eastAsia="MS Mincho"/>
                <w:kern w:val="2"/>
                <w:szCs w:val="24"/>
                <w:lang w:eastAsia="ja-JP"/>
              </w:rPr>
              <w:t>-R M.1084-5</w:t>
            </w:r>
            <w:r w:rsidRPr="00AF31A3">
              <w:rPr>
                <w:rFonts w:eastAsia="MS Mincho"/>
                <w:kern w:val="2"/>
                <w:szCs w:val="24"/>
                <w:lang w:eastAsia="ja-JP"/>
              </w:rPr>
              <w:t xml:space="preserve">, des </w:t>
            </w:r>
            <w:r w:rsidR="00822397" w:rsidRPr="00AF31A3">
              <w:rPr>
                <w:rFonts w:eastAsia="MS Mincho"/>
                <w:kern w:val="2"/>
                <w:szCs w:val="24"/>
                <w:lang w:eastAsia="ja-JP"/>
              </w:rPr>
              <w:t xml:space="preserve">solutions </w:t>
            </w:r>
            <w:r w:rsidRPr="00AF31A3">
              <w:rPr>
                <w:rFonts w:eastAsia="MS Mincho"/>
                <w:kern w:val="2"/>
                <w:szCs w:val="24"/>
                <w:lang w:eastAsia="ja-JP"/>
              </w:rPr>
              <w:t>provisoires sont recommandées pour améliorer l</w:t>
            </w:r>
            <w:r w:rsidR="008D2B12" w:rsidRPr="00AF31A3">
              <w:rPr>
                <w:rFonts w:eastAsia="MS Mincho"/>
                <w:kern w:val="2"/>
                <w:szCs w:val="24"/>
                <w:lang w:eastAsia="ja-JP"/>
              </w:rPr>
              <w:t>'</w:t>
            </w:r>
            <w:r w:rsidRPr="00AF31A3">
              <w:rPr>
                <w:rFonts w:eastAsia="MS Mincho"/>
                <w:kern w:val="2"/>
                <w:szCs w:val="24"/>
                <w:lang w:eastAsia="ja-JP"/>
              </w:rPr>
              <w:t>efficacité d</w:t>
            </w:r>
            <w:r w:rsidR="008D2B12" w:rsidRPr="00AF31A3">
              <w:rPr>
                <w:rFonts w:eastAsia="MS Mincho"/>
                <w:kern w:val="2"/>
                <w:szCs w:val="24"/>
                <w:lang w:eastAsia="ja-JP"/>
              </w:rPr>
              <w:t>'</w:t>
            </w:r>
            <w:r w:rsidRPr="00AF31A3">
              <w:rPr>
                <w:rFonts w:eastAsia="MS Mincho"/>
                <w:kern w:val="2"/>
                <w:szCs w:val="24"/>
                <w:lang w:eastAsia="ja-JP"/>
              </w:rPr>
              <w:t xml:space="preserve">utilisation de la bande </w:t>
            </w:r>
            <w:r w:rsidR="00822397" w:rsidRPr="00AF31A3">
              <w:rPr>
                <w:rFonts w:eastAsia="MS Mincho"/>
                <w:kern w:val="2"/>
                <w:szCs w:val="24"/>
                <w:lang w:eastAsia="ja-JP"/>
              </w:rPr>
              <w:t>156-174 MHz (</w:t>
            </w:r>
            <w:r w:rsidR="002A53D1" w:rsidRPr="00AF31A3">
              <w:rPr>
                <w:rFonts w:eastAsia="MS Mincho"/>
                <w:kern w:val="2"/>
                <w:szCs w:val="24"/>
                <w:lang w:eastAsia="ja-JP"/>
              </w:rPr>
              <w:t xml:space="preserve">Appendice </w:t>
            </w:r>
            <w:r w:rsidR="00822397" w:rsidRPr="00AF31A3">
              <w:rPr>
                <w:rFonts w:eastAsia="MS Mincho"/>
                <w:b/>
                <w:bCs/>
                <w:kern w:val="2"/>
                <w:szCs w:val="24"/>
                <w:lang w:eastAsia="ja-JP"/>
              </w:rPr>
              <w:t>18</w:t>
            </w:r>
            <w:r w:rsidRPr="00AF31A3">
              <w:rPr>
                <w:rFonts w:eastAsia="MS Mincho"/>
                <w:kern w:val="2"/>
                <w:szCs w:val="24"/>
                <w:lang w:eastAsia="ja-JP"/>
              </w:rPr>
              <w:t xml:space="preserve"> du RR</w:t>
            </w:r>
            <w:r w:rsidR="00822397" w:rsidRPr="00AF31A3">
              <w:rPr>
                <w:rFonts w:eastAsia="MS Mincho"/>
                <w:kern w:val="2"/>
                <w:szCs w:val="24"/>
                <w:lang w:eastAsia="ja-JP"/>
              </w:rPr>
              <w:t xml:space="preserve">) </w:t>
            </w:r>
            <w:r w:rsidRPr="00AF31A3">
              <w:rPr>
                <w:rFonts w:eastAsia="MS Mincho"/>
                <w:kern w:val="2"/>
                <w:szCs w:val="24"/>
                <w:lang w:eastAsia="ja-JP"/>
              </w:rPr>
              <w:t>par les stations du service mobile maritime</w:t>
            </w:r>
            <w:r w:rsidR="0065240E" w:rsidRPr="00AF31A3">
              <w:rPr>
                <w:rFonts w:eastAsia="MS Mincho"/>
                <w:kern w:val="2"/>
                <w:szCs w:val="24"/>
                <w:lang w:eastAsia="ja-JP"/>
              </w:rPr>
              <w:t>.</w:t>
            </w:r>
          </w:p>
        </w:tc>
      </w:tr>
      <w:tr w:rsidR="00822397" w:rsidRPr="00AF31A3" w14:paraId="16B08B21" w14:textId="77777777" w:rsidTr="00CD7129">
        <w:tc>
          <w:tcPr>
            <w:tcW w:w="9317" w:type="dxa"/>
            <w:gridSpan w:val="2"/>
            <w:tcBorders>
              <w:bottom w:val="single" w:sz="4" w:space="0" w:color="auto"/>
            </w:tcBorders>
          </w:tcPr>
          <w:p w14:paraId="054F000C" w14:textId="08BA8D06" w:rsidR="00822397" w:rsidRPr="004C2685" w:rsidRDefault="00E05CC1" w:rsidP="004C2685">
            <w:pPr>
              <w:rPr>
                <w:rFonts w:eastAsia="SimSun"/>
                <w:b/>
                <w:bCs/>
                <w:i/>
                <w:iCs/>
                <w:kern w:val="2"/>
                <w:szCs w:val="24"/>
                <w:lang w:eastAsia="zh-CN"/>
              </w:rPr>
            </w:pPr>
            <w:r w:rsidRPr="004C2685">
              <w:rPr>
                <w:b/>
                <w:bCs/>
                <w:i/>
                <w:iCs/>
              </w:rPr>
              <w:t>Services de radiocommunication concernés:</w:t>
            </w:r>
            <w:r w:rsidR="00822397" w:rsidRPr="004C2685">
              <w:rPr>
                <w:rFonts w:eastAsia="MS Gothic"/>
                <w:b/>
                <w:bCs/>
                <w:i/>
                <w:iCs/>
                <w:kern w:val="2"/>
                <w:szCs w:val="24"/>
              </w:rPr>
              <w:tab/>
            </w:r>
          </w:p>
          <w:p w14:paraId="42C18FA5" w14:textId="15D88BF6" w:rsidR="00822397" w:rsidRPr="00AF31A3" w:rsidRDefault="00E05CC1" w:rsidP="002F15C4">
            <w:pPr>
              <w:spacing w:after="120"/>
              <w:rPr>
                <w:rFonts w:eastAsia="SimSun"/>
                <w:kern w:val="2"/>
                <w:szCs w:val="24"/>
                <w:lang w:eastAsia="ko-KR"/>
              </w:rPr>
            </w:pPr>
            <w:r w:rsidRPr="00AF31A3">
              <w:t>Service mobile maritime</w:t>
            </w:r>
          </w:p>
        </w:tc>
      </w:tr>
      <w:tr w:rsidR="00822397" w:rsidRPr="00AF31A3" w14:paraId="670E4944" w14:textId="77777777" w:rsidTr="00CD7129">
        <w:trPr>
          <w:trHeight w:val="941"/>
        </w:trPr>
        <w:tc>
          <w:tcPr>
            <w:tcW w:w="9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0492E0" w14:textId="77777777" w:rsidR="00E05CC1" w:rsidRPr="004C2685" w:rsidRDefault="00E05CC1" w:rsidP="00CD7129">
            <w:pPr>
              <w:keepNext/>
              <w:rPr>
                <w:b/>
                <w:bCs/>
                <w:i/>
                <w:iCs/>
              </w:rPr>
            </w:pPr>
            <w:r w:rsidRPr="004C2685">
              <w:rPr>
                <w:b/>
                <w:bCs/>
                <w:i/>
                <w:iCs/>
              </w:rPr>
              <w:t>Indication des difficultés éventuelles:</w:t>
            </w:r>
          </w:p>
          <w:p w14:paraId="6D1C0590" w14:textId="60CA9E52" w:rsidR="00822397" w:rsidRPr="00AF31A3" w:rsidRDefault="00E05CC1" w:rsidP="00CD7129">
            <w:pPr>
              <w:keepNext/>
              <w:spacing w:after="120"/>
              <w:rPr>
                <w:rFonts w:eastAsia="SimSun"/>
                <w:bCs/>
                <w:i/>
                <w:iCs/>
                <w:kern w:val="2"/>
                <w:szCs w:val="24"/>
                <w:lang w:eastAsia="zh-CN"/>
              </w:rPr>
            </w:pPr>
            <w:r w:rsidRPr="00AF31A3">
              <w:t xml:space="preserve">L'Appendice </w:t>
            </w:r>
            <w:r w:rsidRPr="00AF31A3">
              <w:rPr>
                <w:b/>
                <w:bCs/>
              </w:rPr>
              <w:t>18</w:t>
            </w:r>
            <w:r w:rsidRPr="00AF31A3">
              <w:t xml:space="preserve"> identifie les fréquences à utiliser au niveau international pour les communications de détresse et de sécurité et les autres communications maritimes</w:t>
            </w:r>
            <w:r w:rsidRPr="00AF31A3">
              <w:rPr>
                <w:rFonts w:eastAsia="MS Mincho"/>
              </w:rPr>
              <w:t>.</w:t>
            </w:r>
          </w:p>
        </w:tc>
      </w:tr>
      <w:tr w:rsidR="00822397" w:rsidRPr="00AF31A3" w14:paraId="75BB0E84" w14:textId="77777777" w:rsidTr="00CD7129">
        <w:tc>
          <w:tcPr>
            <w:tcW w:w="93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1D9B88" w14:textId="6E5963B0" w:rsidR="00822397" w:rsidRPr="004C2685" w:rsidRDefault="005C11E9" w:rsidP="00CD7129">
            <w:pPr>
              <w:keepNext/>
              <w:rPr>
                <w:b/>
                <w:bCs/>
                <w:i/>
                <w:iCs/>
              </w:rPr>
            </w:pPr>
            <w:r w:rsidRPr="004C2685">
              <w:rPr>
                <w:b/>
                <w:bCs/>
                <w:i/>
                <w:iCs/>
              </w:rPr>
              <w:t>Études précédentes ou en cours sur la question:</w:t>
            </w:r>
          </w:p>
          <w:p w14:paraId="4CE4847A" w14:textId="45F82645" w:rsidR="00822397" w:rsidRPr="00AF31A3" w:rsidRDefault="00822397" w:rsidP="00CD7129">
            <w:pPr>
              <w:keepNext/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afterLines="50" w:after="120"/>
              <w:textAlignment w:val="auto"/>
              <w:rPr>
                <w:rFonts w:eastAsia="MS PMincho"/>
                <w:kern w:val="2"/>
                <w:szCs w:val="24"/>
                <w:lang w:eastAsia="ja-JP"/>
              </w:rPr>
            </w:pPr>
            <w:r w:rsidRPr="00AF31A3">
              <w:rPr>
                <w:rFonts w:eastAsia="MS Mincho"/>
                <w:lang w:eastAsia="ja-JP"/>
              </w:rPr>
              <w:t>Recomm</w:t>
            </w:r>
            <w:r w:rsidR="005C11E9" w:rsidRPr="00AF31A3">
              <w:rPr>
                <w:rFonts w:eastAsia="MS Mincho"/>
                <w:lang w:eastAsia="ja-JP"/>
              </w:rPr>
              <w:t>a</w:t>
            </w:r>
            <w:r w:rsidRPr="00AF31A3">
              <w:rPr>
                <w:rFonts w:eastAsia="MS Mincho"/>
                <w:lang w:eastAsia="ja-JP"/>
              </w:rPr>
              <w:t xml:space="preserve">ndations </w:t>
            </w:r>
            <w:r w:rsidR="008E69FE" w:rsidRPr="00AF31A3">
              <w:rPr>
                <w:rFonts w:eastAsia="MS Mincho"/>
                <w:lang w:eastAsia="ja-JP"/>
              </w:rPr>
              <w:t>UIT</w:t>
            </w:r>
            <w:r w:rsidRPr="00AF31A3">
              <w:rPr>
                <w:rFonts w:eastAsia="MS Mincho"/>
                <w:lang w:eastAsia="ja-JP"/>
              </w:rPr>
              <w:t>-R M.1174-3</w:t>
            </w:r>
            <w:r w:rsidR="00760C2E" w:rsidRPr="00AF31A3">
              <w:rPr>
                <w:rFonts w:eastAsia="MS Mincho"/>
                <w:lang w:eastAsia="ja-JP"/>
              </w:rPr>
              <w:t xml:space="preserve"> </w:t>
            </w:r>
            <w:r w:rsidR="005C11E9" w:rsidRPr="00AF31A3">
              <w:rPr>
                <w:rFonts w:eastAsia="MS Mincho"/>
                <w:lang w:eastAsia="ja-JP"/>
              </w:rPr>
              <w:t xml:space="preserve">et </w:t>
            </w:r>
            <w:r w:rsidR="008E69FE" w:rsidRPr="00AF31A3">
              <w:rPr>
                <w:rFonts w:eastAsia="MS Mincho"/>
                <w:lang w:eastAsia="ja-JP"/>
              </w:rPr>
              <w:t>UIT</w:t>
            </w:r>
            <w:r w:rsidRPr="00AF31A3">
              <w:rPr>
                <w:rFonts w:eastAsia="MS Mincho"/>
                <w:lang w:eastAsia="ja-JP"/>
              </w:rPr>
              <w:t>-R M.1084-5</w:t>
            </w:r>
          </w:p>
        </w:tc>
      </w:tr>
      <w:tr w:rsidR="00822397" w:rsidRPr="00AF31A3" w14:paraId="5FF4EC81" w14:textId="77777777" w:rsidTr="004C2685"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</w:tcPr>
          <w:p w14:paraId="2428C1C2" w14:textId="54B61E9F" w:rsidR="00822397" w:rsidRPr="00AF31A3" w:rsidRDefault="005C11E9" w:rsidP="004C2685">
            <w:pPr>
              <w:keepNext/>
              <w:rPr>
                <w:rFonts w:eastAsia="MS Gothic"/>
                <w:bCs/>
                <w:i/>
                <w:iCs/>
                <w:kern w:val="2"/>
                <w:szCs w:val="24"/>
                <w:lang w:eastAsia="ja-JP"/>
              </w:rPr>
            </w:pPr>
            <w:r w:rsidRPr="004C2685">
              <w:rPr>
                <w:b/>
                <w:bCs/>
                <w:i/>
                <w:iCs/>
              </w:rPr>
              <w:t>Études devant être réalisées par:</w:t>
            </w:r>
          </w:p>
          <w:p w14:paraId="4A9E0738" w14:textId="5D957C7D" w:rsidR="00822397" w:rsidRPr="00AF31A3" w:rsidRDefault="005C11E9" w:rsidP="00760C2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SimSun"/>
                <w:bCs/>
                <w:iCs/>
                <w:kern w:val="2"/>
                <w:szCs w:val="24"/>
                <w:lang w:eastAsia="ko-KR"/>
              </w:rPr>
            </w:pPr>
            <w:r w:rsidRPr="00AF31A3">
              <w:rPr>
                <w:color w:val="000000"/>
              </w:rPr>
              <w:t>Groupe de travail 5B de l'UIT-R</w:t>
            </w:r>
          </w:p>
        </w:tc>
        <w:tc>
          <w:tcPr>
            <w:tcW w:w="4207" w:type="dxa"/>
            <w:tcBorders>
              <w:top w:val="single" w:sz="4" w:space="0" w:color="auto"/>
              <w:bottom w:val="single" w:sz="4" w:space="0" w:color="auto"/>
            </w:tcBorders>
          </w:tcPr>
          <w:p w14:paraId="2B87BDB8" w14:textId="4DC68A58" w:rsidR="00822397" w:rsidRPr="004C2685" w:rsidRDefault="005C11E9" w:rsidP="004C2685">
            <w:pPr>
              <w:keepNext/>
              <w:rPr>
                <w:rFonts w:eastAsia="MS Gothic"/>
                <w:b/>
                <w:bCs/>
                <w:i/>
                <w:iCs/>
                <w:kern w:val="2"/>
                <w:szCs w:val="24"/>
                <w:lang w:eastAsia="ja-JP"/>
              </w:rPr>
            </w:pPr>
            <w:r w:rsidRPr="004C2685">
              <w:rPr>
                <w:b/>
                <w:bCs/>
                <w:i/>
                <w:iCs/>
              </w:rPr>
              <w:t>avec la participation de:</w:t>
            </w:r>
          </w:p>
          <w:p w14:paraId="11861589" w14:textId="164F30F5" w:rsidR="00822397" w:rsidRPr="00AF31A3" w:rsidRDefault="0065240E" w:rsidP="00760C2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MS Gothic"/>
                <w:kern w:val="2"/>
                <w:szCs w:val="24"/>
                <w:lang w:eastAsia="ja-JP"/>
              </w:rPr>
            </w:pPr>
            <w:r w:rsidRPr="00AF31A3">
              <w:rPr>
                <w:rFonts w:eastAsia="MS Mincho"/>
                <w:color w:val="000000"/>
              </w:rPr>
              <w:t>A</w:t>
            </w:r>
            <w:r w:rsidR="00B72797" w:rsidRPr="00AF31A3">
              <w:rPr>
                <w:rFonts w:eastAsia="MS Mincho"/>
                <w:color w:val="000000"/>
              </w:rPr>
              <w:t>utres groupes de travail</w:t>
            </w:r>
            <w:r w:rsidR="00760C2E" w:rsidRPr="00AF31A3">
              <w:rPr>
                <w:rFonts w:eastAsia="MS Mincho"/>
                <w:color w:val="000000"/>
              </w:rPr>
              <w:t>,</w:t>
            </w:r>
            <w:r w:rsidR="00B72797" w:rsidRPr="00AF31A3">
              <w:rPr>
                <w:rFonts w:eastAsia="MS Mincho"/>
                <w:color w:val="000000"/>
              </w:rPr>
              <w:t xml:space="preserve"> le cas échéant, États Membres, Membres du Secteur et organisations internationales</w:t>
            </w:r>
          </w:p>
        </w:tc>
      </w:tr>
      <w:tr w:rsidR="00822397" w:rsidRPr="00AF31A3" w14:paraId="49A3BCD5" w14:textId="77777777" w:rsidTr="004C2685">
        <w:tc>
          <w:tcPr>
            <w:tcW w:w="9317" w:type="dxa"/>
            <w:gridSpan w:val="2"/>
            <w:tcBorders>
              <w:top w:val="single" w:sz="4" w:space="0" w:color="auto"/>
            </w:tcBorders>
          </w:tcPr>
          <w:p w14:paraId="2B82AA70" w14:textId="77777777" w:rsidR="005C11E9" w:rsidRPr="004C2685" w:rsidRDefault="005C11E9" w:rsidP="004C2685">
            <w:pPr>
              <w:rPr>
                <w:b/>
                <w:bCs/>
                <w:i/>
                <w:iCs/>
              </w:rPr>
            </w:pPr>
            <w:r w:rsidRPr="004C2685">
              <w:rPr>
                <w:b/>
                <w:bCs/>
                <w:i/>
                <w:iCs/>
              </w:rPr>
              <w:t>Commissions d'études de l'UIT-R concernées:</w:t>
            </w:r>
          </w:p>
          <w:p w14:paraId="7B60BF9C" w14:textId="0D7C6448" w:rsidR="00822397" w:rsidRPr="00AF31A3" w:rsidRDefault="005C11E9" w:rsidP="00AC558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Malgun Gothic"/>
                <w:kern w:val="2"/>
                <w:szCs w:val="24"/>
                <w:lang w:eastAsia="ko-KR"/>
              </w:rPr>
            </w:pPr>
            <w:r w:rsidRPr="00AF31A3">
              <w:rPr>
                <w:color w:val="000000"/>
              </w:rPr>
              <w:t>Commission d'études 5 de l'UIT-R</w:t>
            </w:r>
          </w:p>
        </w:tc>
      </w:tr>
      <w:tr w:rsidR="00822397" w:rsidRPr="00AF31A3" w14:paraId="614805CE" w14:textId="77777777" w:rsidTr="004C2685">
        <w:trPr>
          <w:trHeight w:val="1087"/>
        </w:trPr>
        <w:tc>
          <w:tcPr>
            <w:tcW w:w="9317" w:type="dxa"/>
            <w:gridSpan w:val="2"/>
          </w:tcPr>
          <w:p w14:paraId="29900648" w14:textId="781FC3EB" w:rsidR="00822397" w:rsidRPr="00AF31A3" w:rsidRDefault="005C11E9" w:rsidP="0094532B">
            <w:pPr>
              <w:rPr>
                <w:rFonts w:eastAsia="MS Gothic"/>
                <w:i/>
                <w:iCs/>
                <w:kern w:val="2"/>
                <w:szCs w:val="24"/>
                <w:lang w:eastAsia="ja-JP"/>
              </w:rPr>
            </w:pPr>
            <w:r w:rsidRPr="0094532B">
              <w:rPr>
                <w:b/>
                <w:bCs/>
                <w:i/>
                <w:iCs/>
              </w:rPr>
              <w:t>Répercussions au niveau des ressources de l'UIT, y compris incidences financières (voir le numéro 126 de la Convention):</w:t>
            </w:r>
          </w:p>
          <w:p w14:paraId="154DB5E6" w14:textId="78C5CE16" w:rsidR="00822397" w:rsidRPr="00AF31A3" w:rsidRDefault="005C11E9" w:rsidP="00AC5580">
            <w:pPr>
              <w:spacing w:after="120"/>
              <w:rPr>
                <w:rFonts w:eastAsia="SimSun"/>
                <w:kern w:val="2"/>
                <w:szCs w:val="24"/>
                <w:lang w:eastAsia="zh-CN"/>
              </w:rPr>
            </w:pPr>
            <w:r w:rsidRPr="00AF31A3">
              <w:t>En règle générale, le Groupe de travail 5B de l'UIT-R tient deux réunions par an</w:t>
            </w:r>
            <w:bookmarkStart w:id="8" w:name="_GoBack"/>
            <w:bookmarkEnd w:id="8"/>
            <w:r w:rsidRPr="00AF31A3">
              <w:t xml:space="preserve"> d'une durée de dix jours ouvrables chacune</w:t>
            </w:r>
            <w:r w:rsidRPr="00AF31A3">
              <w:rPr>
                <w:rFonts w:eastAsia="MS Mincho"/>
                <w:iCs/>
              </w:rPr>
              <w:t xml:space="preserve"> </w:t>
            </w:r>
          </w:p>
        </w:tc>
      </w:tr>
      <w:tr w:rsidR="00822397" w:rsidRPr="00AF31A3" w14:paraId="7D214039" w14:textId="77777777" w:rsidTr="004C2685">
        <w:trPr>
          <w:trHeight w:val="612"/>
        </w:trPr>
        <w:tc>
          <w:tcPr>
            <w:tcW w:w="4205" w:type="dxa"/>
          </w:tcPr>
          <w:p w14:paraId="23139418" w14:textId="3F58E632" w:rsidR="00822397" w:rsidRPr="0094532B" w:rsidRDefault="005C11E9" w:rsidP="0094532B">
            <w:pPr>
              <w:rPr>
                <w:b/>
                <w:bCs/>
                <w:i/>
                <w:iCs/>
              </w:rPr>
            </w:pPr>
            <w:r w:rsidRPr="0094532B">
              <w:rPr>
                <w:b/>
                <w:bCs/>
                <w:i/>
                <w:iCs/>
              </w:rPr>
              <w:t>Proposition régionale commune:</w:t>
            </w:r>
          </w:p>
          <w:p w14:paraId="4125118B" w14:textId="45F02792" w:rsidR="00822397" w:rsidRPr="00AF31A3" w:rsidRDefault="005C11E9" w:rsidP="00760C2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SimSun"/>
                <w:kern w:val="2"/>
                <w:szCs w:val="24"/>
                <w:lang w:eastAsia="ko-KR"/>
              </w:rPr>
            </w:pPr>
            <w:r w:rsidRPr="00AF31A3">
              <w:rPr>
                <w:rFonts w:eastAsia="MS Gothic"/>
                <w:bCs/>
                <w:iCs/>
                <w:kern w:val="2"/>
                <w:szCs w:val="24"/>
                <w:lang w:eastAsia="ja-JP"/>
              </w:rPr>
              <w:t>Oui</w:t>
            </w:r>
          </w:p>
        </w:tc>
        <w:tc>
          <w:tcPr>
            <w:tcW w:w="5112" w:type="dxa"/>
          </w:tcPr>
          <w:p w14:paraId="461EDD82" w14:textId="34AAA411" w:rsidR="00822397" w:rsidRPr="00AF31A3" w:rsidRDefault="005C11E9" w:rsidP="00760C2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SimSun"/>
                <w:kern w:val="2"/>
                <w:szCs w:val="24"/>
                <w:lang w:eastAsia="ko-KR"/>
              </w:rPr>
            </w:pPr>
            <w:r w:rsidRPr="00AF31A3">
              <w:rPr>
                <w:b/>
                <w:bCs/>
                <w:i/>
                <w:iCs/>
              </w:rPr>
              <w:t>Proposition soumise par plusieurs pays</w:t>
            </w:r>
            <w:r w:rsidR="00822397" w:rsidRPr="0094532B">
              <w:rPr>
                <w:b/>
                <w:bCs/>
                <w:i/>
                <w:iCs/>
              </w:rPr>
              <w:t>:</w:t>
            </w:r>
            <w:r w:rsidR="00822397" w:rsidRPr="00AF31A3">
              <w:rPr>
                <w:rFonts w:eastAsia="MS Gothic"/>
                <w:b/>
                <w:bCs/>
                <w:i/>
                <w:iCs/>
                <w:kern w:val="2"/>
                <w:szCs w:val="24"/>
              </w:rPr>
              <w:t xml:space="preserve"> </w:t>
            </w:r>
            <w:r w:rsidR="00822397" w:rsidRPr="00AF31A3">
              <w:rPr>
                <w:rFonts w:eastAsia="SimSun"/>
                <w:bCs/>
                <w:iCs/>
                <w:kern w:val="2"/>
                <w:szCs w:val="24"/>
                <w:lang w:eastAsia="ko-KR"/>
              </w:rPr>
              <w:t>No</w:t>
            </w:r>
            <w:r w:rsidRPr="00AF31A3">
              <w:rPr>
                <w:rFonts w:eastAsia="SimSun"/>
                <w:bCs/>
                <w:iCs/>
                <w:kern w:val="2"/>
                <w:szCs w:val="24"/>
                <w:lang w:eastAsia="ko-KR"/>
              </w:rPr>
              <w:t>n</w:t>
            </w:r>
          </w:p>
          <w:p w14:paraId="2924A02A" w14:textId="70D02552" w:rsidR="00822397" w:rsidRPr="00AF31A3" w:rsidRDefault="005C11E9" w:rsidP="0094532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Lines="50" w:afterLines="50" w:after="120"/>
              <w:textAlignment w:val="auto"/>
              <w:rPr>
                <w:rFonts w:eastAsia="Malgun Gothic"/>
                <w:i/>
                <w:iCs/>
                <w:kern w:val="2"/>
                <w:szCs w:val="24"/>
                <w:lang w:eastAsia="ko-KR"/>
              </w:rPr>
            </w:pPr>
            <w:r w:rsidRPr="0094532B">
              <w:rPr>
                <w:b/>
                <w:bCs/>
                <w:i/>
                <w:iCs/>
              </w:rPr>
              <w:t>Nombre de pays:</w:t>
            </w:r>
          </w:p>
        </w:tc>
      </w:tr>
      <w:tr w:rsidR="00822397" w:rsidRPr="00AF31A3" w14:paraId="2FBD5FB0" w14:textId="77777777" w:rsidTr="004C2685">
        <w:trPr>
          <w:trHeight w:val="70"/>
        </w:trPr>
        <w:tc>
          <w:tcPr>
            <w:tcW w:w="9317" w:type="dxa"/>
            <w:gridSpan w:val="2"/>
          </w:tcPr>
          <w:p w14:paraId="7FA9CA28" w14:textId="6B7A8EF8" w:rsidR="00822397" w:rsidRPr="00AF31A3" w:rsidRDefault="005C11E9" w:rsidP="00AC5580">
            <w:pPr>
              <w:pStyle w:val="Headingb"/>
              <w:spacing w:after="120"/>
              <w:rPr>
                <w:rFonts w:eastAsia="SimSun"/>
                <w:bCs/>
                <w:i/>
                <w:iCs/>
                <w:kern w:val="2"/>
                <w:szCs w:val="24"/>
                <w:lang w:eastAsia="ko-KR"/>
              </w:rPr>
            </w:pPr>
            <w:r w:rsidRPr="00AF31A3">
              <w:rPr>
                <w:i/>
                <w:iCs/>
              </w:rPr>
              <w:t>Observations</w:t>
            </w:r>
          </w:p>
        </w:tc>
      </w:tr>
    </w:tbl>
    <w:p w14:paraId="71311A51" w14:textId="77777777" w:rsidR="00822397" w:rsidRPr="00AF31A3" w:rsidRDefault="00822397" w:rsidP="00760C2E"/>
    <w:p w14:paraId="03CB7B7B" w14:textId="77777777" w:rsidR="00822397" w:rsidRPr="00AF31A3" w:rsidRDefault="00822397" w:rsidP="00760C2E">
      <w:pPr>
        <w:jc w:val="center"/>
      </w:pPr>
      <w:r w:rsidRPr="00AF31A3">
        <w:t>______________</w:t>
      </w:r>
    </w:p>
    <w:sectPr w:rsidR="00822397" w:rsidRPr="00AF31A3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9D07D" w14:textId="77777777" w:rsidR="0070076C" w:rsidRDefault="0070076C">
      <w:r>
        <w:separator/>
      </w:r>
    </w:p>
  </w:endnote>
  <w:endnote w:type="continuationSeparator" w:id="0">
    <w:p w14:paraId="681C4BD7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0EFDF" w14:textId="482DA721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D7129">
      <w:rPr>
        <w:noProof/>
        <w:lang w:val="en-US"/>
      </w:rPr>
      <w:t>P:\FRA\ITU-R\CONF-R\CMR19\000\024ADD24ADD05F.docx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D7129">
      <w:rPr>
        <w:noProof/>
      </w:rPr>
      <w:t>01.10.19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D7129">
      <w:rPr>
        <w:noProof/>
      </w:rPr>
      <w:t>01.10.19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093A8" w14:textId="0BB7EDE9" w:rsidR="00936D25" w:rsidRPr="001D3B61" w:rsidRDefault="00936D25" w:rsidP="007B2C34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D7129">
      <w:rPr>
        <w:lang w:val="en-US"/>
      </w:rPr>
      <w:t>P:\FRA\ITU-R\CONF-R\CMR19\000\024ADD24ADD05F.docx</w:t>
    </w:r>
    <w:r>
      <w:fldChar w:fldCharType="end"/>
    </w:r>
    <w:r w:rsidR="001D3B61" w:rsidRPr="001D3B61">
      <w:rPr>
        <w:lang w:val="en-US"/>
      </w:rPr>
      <w:t xml:space="preserve"> </w:t>
    </w:r>
    <w:r w:rsidR="001D3B61">
      <w:rPr>
        <w:lang w:val="en-US"/>
      </w:rPr>
      <w:t>(461088)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7B7C1" w14:textId="5CD51633" w:rsidR="00936D25" w:rsidRPr="001D3B61" w:rsidRDefault="00936D25" w:rsidP="001A11F6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CD7129">
      <w:rPr>
        <w:lang w:val="en-US"/>
      </w:rPr>
      <w:t>P:\FRA\ITU-R\CONF-R\CMR19\000\024ADD24ADD05F.docx</w:t>
    </w:r>
    <w:r>
      <w:fldChar w:fldCharType="end"/>
    </w:r>
    <w:r w:rsidR="001D3B61" w:rsidRPr="001D3B61">
      <w:rPr>
        <w:lang w:val="en-US"/>
      </w:rPr>
      <w:t xml:space="preserve"> (</w:t>
    </w:r>
    <w:r w:rsidR="001D3B61">
      <w:rPr>
        <w:lang w:val="en-US"/>
      </w:rPr>
      <w:t>461088)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6F44A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5D1F0B84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70795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73FABB83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24(Add.24)(Add.5)-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6D190B2-C838-40A2-BDDA-B8EACEA15020}"/>
    <w:docVar w:name="dgnword-eventsink" w:val="2822042874112"/>
  </w:docVars>
  <w:rsids>
    <w:rsidRoot w:val="00BB1D82"/>
    <w:rsid w:val="00007EC7"/>
    <w:rsid w:val="00010B43"/>
    <w:rsid w:val="00016648"/>
    <w:rsid w:val="0003522F"/>
    <w:rsid w:val="00063A1F"/>
    <w:rsid w:val="00080E2C"/>
    <w:rsid w:val="00081366"/>
    <w:rsid w:val="000863B3"/>
    <w:rsid w:val="000A4755"/>
    <w:rsid w:val="000A55AE"/>
    <w:rsid w:val="000B2E0C"/>
    <w:rsid w:val="000B3D0C"/>
    <w:rsid w:val="000E3E02"/>
    <w:rsid w:val="001167B9"/>
    <w:rsid w:val="001267A0"/>
    <w:rsid w:val="0015203F"/>
    <w:rsid w:val="00160C64"/>
    <w:rsid w:val="0018169B"/>
    <w:rsid w:val="0019352B"/>
    <w:rsid w:val="00193F00"/>
    <w:rsid w:val="00194B35"/>
    <w:rsid w:val="001960D0"/>
    <w:rsid w:val="001A11F6"/>
    <w:rsid w:val="001D3B61"/>
    <w:rsid w:val="001F17E8"/>
    <w:rsid w:val="001F2E01"/>
    <w:rsid w:val="00204306"/>
    <w:rsid w:val="00227E60"/>
    <w:rsid w:val="00231692"/>
    <w:rsid w:val="00232FD2"/>
    <w:rsid w:val="0024218C"/>
    <w:rsid w:val="0026554E"/>
    <w:rsid w:val="002A4622"/>
    <w:rsid w:val="002A53D1"/>
    <w:rsid w:val="002A6F8F"/>
    <w:rsid w:val="002B17E5"/>
    <w:rsid w:val="002C0EBF"/>
    <w:rsid w:val="002C28A4"/>
    <w:rsid w:val="002D7E0A"/>
    <w:rsid w:val="002F15C4"/>
    <w:rsid w:val="00315AFE"/>
    <w:rsid w:val="00334CA6"/>
    <w:rsid w:val="003606A6"/>
    <w:rsid w:val="003622E3"/>
    <w:rsid w:val="0036650C"/>
    <w:rsid w:val="00393ACD"/>
    <w:rsid w:val="003A583E"/>
    <w:rsid w:val="003B69F6"/>
    <w:rsid w:val="003C7276"/>
    <w:rsid w:val="003E112B"/>
    <w:rsid w:val="003E1D1C"/>
    <w:rsid w:val="003E7B05"/>
    <w:rsid w:val="003F3719"/>
    <w:rsid w:val="003F6F2D"/>
    <w:rsid w:val="00466211"/>
    <w:rsid w:val="00471831"/>
    <w:rsid w:val="00483196"/>
    <w:rsid w:val="004834A9"/>
    <w:rsid w:val="004C1A9C"/>
    <w:rsid w:val="004C2685"/>
    <w:rsid w:val="004D01FC"/>
    <w:rsid w:val="004E28C3"/>
    <w:rsid w:val="004F1F8E"/>
    <w:rsid w:val="00512A32"/>
    <w:rsid w:val="005343DA"/>
    <w:rsid w:val="00560874"/>
    <w:rsid w:val="00586CF2"/>
    <w:rsid w:val="005A7C75"/>
    <w:rsid w:val="005B6038"/>
    <w:rsid w:val="005C11E9"/>
    <w:rsid w:val="005C3768"/>
    <w:rsid w:val="005C6C3F"/>
    <w:rsid w:val="00613635"/>
    <w:rsid w:val="0062093D"/>
    <w:rsid w:val="00637ECF"/>
    <w:rsid w:val="00647B59"/>
    <w:rsid w:val="0065240E"/>
    <w:rsid w:val="00690C7B"/>
    <w:rsid w:val="006A4B45"/>
    <w:rsid w:val="006D4724"/>
    <w:rsid w:val="006F5FA2"/>
    <w:rsid w:val="0070076C"/>
    <w:rsid w:val="00701BAE"/>
    <w:rsid w:val="00721F04"/>
    <w:rsid w:val="00730E95"/>
    <w:rsid w:val="007426B9"/>
    <w:rsid w:val="00760C2E"/>
    <w:rsid w:val="00764342"/>
    <w:rsid w:val="00774362"/>
    <w:rsid w:val="00786598"/>
    <w:rsid w:val="00790C74"/>
    <w:rsid w:val="007A04E8"/>
    <w:rsid w:val="007B2C34"/>
    <w:rsid w:val="007D78F1"/>
    <w:rsid w:val="00802CD4"/>
    <w:rsid w:val="00822397"/>
    <w:rsid w:val="00830086"/>
    <w:rsid w:val="00840245"/>
    <w:rsid w:val="00841D4B"/>
    <w:rsid w:val="00851625"/>
    <w:rsid w:val="00863C0A"/>
    <w:rsid w:val="008A3120"/>
    <w:rsid w:val="008A4B97"/>
    <w:rsid w:val="008B3E6D"/>
    <w:rsid w:val="008C5B8E"/>
    <w:rsid w:val="008C5DD5"/>
    <w:rsid w:val="008D2B12"/>
    <w:rsid w:val="008D41BE"/>
    <w:rsid w:val="008D58D3"/>
    <w:rsid w:val="008E3BC9"/>
    <w:rsid w:val="008E69FE"/>
    <w:rsid w:val="00923064"/>
    <w:rsid w:val="00930FFD"/>
    <w:rsid w:val="009339E2"/>
    <w:rsid w:val="00936D25"/>
    <w:rsid w:val="00941EA5"/>
    <w:rsid w:val="0094532B"/>
    <w:rsid w:val="00964700"/>
    <w:rsid w:val="00966C16"/>
    <w:rsid w:val="0098732F"/>
    <w:rsid w:val="00991BC3"/>
    <w:rsid w:val="009965D3"/>
    <w:rsid w:val="009A045F"/>
    <w:rsid w:val="009A6A2B"/>
    <w:rsid w:val="009C7E7C"/>
    <w:rsid w:val="00A00473"/>
    <w:rsid w:val="00A03C9B"/>
    <w:rsid w:val="00A37105"/>
    <w:rsid w:val="00A606C3"/>
    <w:rsid w:val="00A83B09"/>
    <w:rsid w:val="00A84541"/>
    <w:rsid w:val="00AC5580"/>
    <w:rsid w:val="00AE36A0"/>
    <w:rsid w:val="00AF31A3"/>
    <w:rsid w:val="00B00294"/>
    <w:rsid w:val="00B3749C"/>
    <w:rsid w:val="00B64FD0"/>
    <w:rsid w:val="00B72797"/>
    <w:rsid w:val="00B958FB"/>
    <w:rsid w:val="00BA5BD0"/>
    <w:rsid w:val="00BB1D82"/>
    <w:rsid w:val="00BB4D16"/>
    <w:rsid w:val="00BD51C5"/>
    <w:rsid w:val="00BF26E7"/>
    <w:rsid w:val="00C53FCA"/>
    <w:rsid w:val="00C76BAF"/>
    <w:rsid w:val="00C814B9"/>
    <w:rsid w:val="00C87D34"/>
    <w:rsid w:val="00C979BA"/>
    <w:rsid w:val="00CD516F"/>
    <w:rsid w:val="00CD7129"/>
    <w:rsid w:val="00D119A7"/>
    <w:rsid w:val="00D24245"/>
    <w:rsid w:val="00D25FBA"/>
    <w:rsid w:val="00D32B28"/>
    <w:rsid w:val="00D42954"/>
    <w:rsid w:val="00D47BE8"/>
    <w:rsid w:val="00D57AE8"/>
    <w:rsid w:val="00D66EAC"/>
    <w:rsid w:val="00D730DF"/>
    <w:rsid w:val="00D772F0"/>
    <w:rsid w:val="00D77BDC"/>
    <w:rsid w:val="00DC402B"/>
    <w:rsid w:val="00DD5529"/>
    <w:rsid w:val="00DE0932"/>
    <w:rsid w:val="00E03A27"/>
    <w:rsid w:val="00E049F1"/>
    <w:rsid w:val="00E05CC1"/>
    <w:rsid w:val="00E1371B"/>
    <w:rsid w:val="00E37A25"/>
    <w:rsid w:val="00E537FF"/>
    <w:rsid w:val="00E62779"/>
    <w:rsid w:val="00E6539B"/>
    <w:rsid w:val="00E70A31"/>
    <w:rsid w:val="00E723A7"/>
    <w:rsid w:val="00EA3F38"/>
    <w:rsid w:val="00EA5AB6"/>
    <w:rsid w:val="00EA7A9E"/>
    <w:rsid w:val="00EC7615"/>
    <w:rsid w:val="00ED16AA"/>
    <w:rsid w:val="00ED6B8D"/>
    <w:rsid w:val="00EE3D7B"/>
    <w:rsid w:val="00EF662E"/>
    <w:rsid w:val="00F10064"/>
    <w:rsid w:val="00F148F1"/>
    <w:rsid w:val="00F711A7"/>
    <w:rsid w:val="00FA3BBF"/>
    <w:rsid w:val="00FB19D3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149EA1E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2424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24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1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R16-WRC19-C-0024!A24-A5!MSW-F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B64E5-2C20-4282-B676-3D2BC58F9E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D4F22-B320-4572-B3EA-1BB75273676D}">
  <ds:schemaRefs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32a1a8c5-2265-4ebc-b7a0-2071e2c5c9bb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F3F2058-A50B-4620-A2A8-B9C332C17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87A397-3CB8-4E48-BB49-61AF02F02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1317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R16-WRC19-C-0024!A24-A5!MSW-F</vt:lpstr>
    </vt:vector>
  </TitlesOfParts>
  <Manager>Secrétariat général - Pool</Manager>
  <Company>Union internationale des télécommunications (UIT)</Company>
  <LinksUpToDate>false</LinksUpToDate>
  <CharactersWithSpaces>9322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R16-WRC19-C-0024!A24-A5!MSW-F</dc:title>
  <dc:subject>Conférence mondiale des radiocommunications - 2019</dc:subject>
  <dc:creator>Documents Proposals Manager (DPM)</dc:creator>
  <cp:keywords>DPM_v2019.9.25.1_prod</cp:keywords>
  <dc:description/>
  <cp:lastModifiedBy>French</cp:lastModifiedBy>
  <cp:revision>14</cp:revision>
  <cp:lastPrinted>2019-10-01T10:44:00Z</cp:lastPrinted>
  <dcterms:created xsi:type="dcterms:W3CDTF">2019-10-01T09:46:00Z</dcterms:created>
  <dcterms:modified xsi:type="dcterms:W3CDTF">2019-10-01T12:32:00Z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