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096D7C40" w14:textId="77777777" w:rsidTr="00604CD4">
        <w:trPr>
          <w:cantSplit/>
        </w:trPr>
        <w:tc>
          <w:tcPr>
            <w:tcW w:w="6911" w:type="dxa"/>
          </w:tcPr>
          <w:p w14:paraId="23D28B40" w14:textId="77777777" w:rsidR="00BB1D82" w:rsidRPr="00930FFD" w:rsidRDefault="00851625" w:rsidP="00754429">
            <w:pPr>
              <w:spacing w:before="400" w:after="48"/>
              <w:rPr>
                <w:rFonts w:ascii="Verdana" w:hAnsi="Verdana"/>
                <w:b/>
                <w:bCs/>
                <w:sz w:val="20"/>
                <w:lang w:val="fr-CH"/>
              </w:rPr>
            </w:pPr>
            <w:bookmarkStart w:id="0" w:name="_GoBack"/>
            <w:bookmarkEnd w:id="0"/>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proofErr w:type="spellStart"/>
            <w:r w:rsidR="00063A1F" w:rsidRPr="00063A1F">
              <w:rPr>
                <w:rFonts w:ascii="Verdana" w:hAnsi="Verdana"/>
                <w:b/>
                <w:bCs/>
                <w:sz w:val="18"/>
                <w:szCs w:val="18"/>
                <w:lang w:val="fr-CH"/>
              </w:rPr>
              <w:t>Charm</w:t>
            </w:r>
            <w:proofErr w:type="spellEnd"/>
            <w:r w:rsidR="00063A1F" w:rsidRPr="00063A1F">
              <w:rPr>
                <w:rFonts w:ascii="Verdana" w:hAnsi="Verdana"/>
                <w:b/>
                <w:bCs/>
                <w:sz w:val="18"/>
                <w:szCs w:val="18"/>
                <w:lang w:val="fr-CH"/>
              </w:rPr>
              <w:t xml:space="preserve">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5F34D8C9" w14:textId="77777777" w:rsidR="00BB1D82" w:rsidRPr="002A6F8F" w:rsidRDefault="000A55AE" w:rsidP="00754429">
            <w:pPr>
              <w:spacing w:before="0"/>
              <w:jc w:val="right"/>
              <w:rPr>
                <w:lang w:val="en-US"/>
              </w:rPr>
            </w:pPr>
            <w:bookmarkStart w:id="1" w:name="ditulogo"/>
            <w:bookmarkEnd w:id="1"/>
            <w:r>
              <w:rPr>
                <w:rFonts w:ascii="Verdana" w:hAnsi="Verdana"/>
                <w:b/>
                <w:bCs/>
                <w:noProof/>
                <w:lang w:val="en-US" w:eastAsia="zh-CN"/>
              </w:rPr>
              <w:drawing>
                <wp:inline distT="0" distB="0" distL="0" distR="0" wp14:anchorId="12472DEE" wp14:editId="4FB9BD2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501FEEB8" w14:textId="77777777" w:rsidTr="00604CD4">
        <w:trPr>
          <w:cantSplit/>
        </w:trPr>
        <w:tc>
          <w:tcPr>
            <w:tcW w:w="6911" w:type="dxa"/>
            <w:tcBorders>
              <w:bottom w:val="single" w:sz="12" w:space="0" w:color="auto"/>
            </w:tcBorders>
          </w:tcPr>
          <w:p w14:paraId="484465F0" w14:textId="77777777" w:rsidR="00BB1D82" w:rsidRPr="002A6F8F" w:rsidRDefault="00BB1D82" w:rsidP="00754429">
            <w:pPr>
              <w:spacing w:before="0" w:after="48"/>
              <w:rPr>
                <w:b/>
                <w:smallCaps/>
                <w:szCs w:val="24"/>
                <w:lang w:val="en-US"/>
              </w:rPr>
            </w:pPr>
            <w:bookmarkStart w:id="2" w:name="dhead"/>
          </w:p>
        </w:tc>
        <w:tc>
          <w:tcPr>
            <w:tcW w:w="3120" w:type="dxa"/>
            <w:tcBorders>
              <w:bottom w:val="single" w:sz="12" w:space="0" w:color="auto"/>
            </w:tcBorders>
          </w:tcPr>
          <w:p w14:paraId="030774FE" w14:textId="77777777" w:rsidR="00BB1D82" w:rsidRPr="002A6F8F" w:rsidRDefault="00BB1D82" w:rsidP="00754429">
            <w:pPr>
              <w:spacing w:before="0"/>
              <w:rPr>
                <w:rFonts w:ascii="Verdana" w:hAnsi="Verdana"/>
                <w:szCs w:val="24"/>
                <w:lang w:val="en-US"/>
              </w:rPr>
            </w:pPr>
          </w:p>
        </w:tc>
      </w:tr>
      <w:tr w:rsidR="00BB1D82" w:rsidRPr="002A6F8F" w14:paraId="0D465D95" w14:textId="77777777" w:rsidTr="00BB1D82">
        <w:trPr>
          <w:cantSplit/>
        </w:trPr>
        <w:tc>
          <w:tcPr>
            <w:tcW w:w="6911" w:type="dxa"/>
            <w:tcBorders>
              <w:top w:val="single" w:sz="12" w:space="0" w:color="auto"/>
            </w:tcBorders>
          </w:tcPr>
          <w:p w14:paraId="7415D665" w14:textId="77777777" w:rsidR="00BB1D82" w:rsidRPr="002A6F8F" w:rsidRDefault="00BB1D82" w:rsidP="00754429">
            <w:pPr>
              <w:spacing w:before="0" w:after="48"/>
              <w:rPr>
                <w:rFonts w:ascii="Verdana" w:hAnsi="Verdana"/>
                <w:b/>
                <w:smallCaps/>
                <w:sz w:val="20"/>
                <w:lang w:val="en-US"/>
              </w:rPr>
            </w:pPr>
          </w:p>
        </w:tc>
        <w:tc>
          <w:tcPr>
            <w:tcW w:w="3120" w:type="dxa"/>
            <w:tcBorders>
              <w:top w:val="single" w:sz="12" w:space="0" w:color="auto"/>
            </w:tcBorders>
          </w:tcPr>
          <w:p w14:paraId="04CED176" w14:textId="77777777" w:rsidR="00BB1D82" w:rsidRPr="002A6F8F" w:rsidRDefault="00BB1D82" w:rsidP="00754429">
            <w:pPr>
              <w:spacing w:before="0"/>
              <w:rPr>
                <w:rFonts w:ascii="Verdana" w:hAnsi="Verdana"/>
                <w:sz w:val="20"/>
                <w:lang w:val="en-US"/>
              </w:rPr>
            </w:pPr>
          </w:p>
        </w:tc>
      </w:tr>
      <w:tr w:rsidR="00BB1D82" w:rsidRPr="002A6F8F" w14:paraId="7EB50ED7" w14:textId="77777777" w:rsidTr="00BB1D82">
        <w:trPr>
          <w:cantSplit/>
        </w:trPr>
        <w:tc>
          <w:tcPr>
            <w:tcW w:w="6911" w:type="dxa"/>
          </w:tcPr>
          <w:p w14:paraId="5F80DC11" w14:textId="77777777" w:rsidR="00BB1D82" w:rsidRPr="00930FFD" w:rsidRDefault="006D4724" w:rsidP="00754429">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6D876831" w14:textId="77777777" w:rsidR="00BB1D82" w:rsidRPr="00EE2EFF" w:rsidRDefault="006D4724" w:rsidP="00754429">
            <w:pPr>
              <w:spacing w:before="0"/>
              <w:rPr>
                <w:rFonts w:ascii="Verdana" w:hAnsi="Verdana"/>
                <w:sz w:val="20"/>
                <w:lang w:val="fr-CH"/>
              </w:rPr>
            </w:pPr>
            <w:r w:rsidRPr="00EE2EFF">
              <w:rPr>
                <w:rFonts w:ascii="Verdana" w:hAnsi="Verdana"/>
                <w:b/>
                <w:sz w:val="20"/>
                <w:lang w:val="fr-CH"/>
              </w:rPr>
              <w:t>Addendum 4 au</w:t>
            </w:r>
            <w:r w:rsidRPr="00EE2EFF">
              <w:rPr>
                <w:rFonts w:ascii="Verdana" w:hAnsi="Verdana"/>
                <w:b/>
                <w:sz w:val="20"/>
                <w:lang w:val="fr-CH"/>
              </w:rPr>
              <w:br/>
              <w:t>Document 24(Add.24)</w:t>
            </w:r>
            <w:r w:rsidR="00BB1D82" w:rsidRPr="00EE2EFF">
              <w:rPr>
                <w:rFonts w:ascii="Verdana" w:hAnsi="Verdana"/>
                <w:b/>
                <w:sz w:val="20"/>
                <w:lang w:val="fr-CH"/>
              </w:rPr>
              <w:t>-</w:t>
            </w:r>
            <w:r w:rsidRPr="00EE2EFF">
              <w:rPr>
                <w:rFonts w:ascii="Verdana" w:hAnsi="Verdana"/>
                <w:b/>
                <w:sz w:val="20"/>
                <w:lang w:val="fr-CH"/>
              </w:rPr>
              <w:t>F</w:t>
            </w:r>
          </w:p>
        </w:tc>
      </w:tr>
      <w:bookmarkEnd w:id="2"/>
      <w:tr w:rsidR="00690C7B" w:rsidRPr="002A6F8F" w14:paraId="26D698D8" w14:textId="77777777" w:rsidTr="00BB1D82">
        <w:trPr>
          <w:cantSplit/>
        </w:trPr>
        <w:tc>
          <w:tcPr>
            <w:tcW w:w="6911" w:type="dxa"/>
          </w:tcPr>
          <w:p w14:paraId="030755CE" w14:textId="77777777" w:rsidR="00690C7B" w:rsidRPr="00EE2EFF" w:rsidRDefault="00690C7B" w:rsidP="00754429">
            <w:pPr>
              <w:spacing w:before="0"/>
              <w:rPr>
                <w:rFonts w:ascii="Verdana" w:hAnsi="Verdana"/>
                <w:b/>
                <w:sz w:val="20"/>
                <w:lang w:val="fr-CH"/>
              </w:rPr>
            </w:pPr>
          </w:p>
        </w:tc>
        <w:tc>
          <w:tcPr>
            <w:tcW w:w="3120" w:type="dxa"/>
          </w:tcPr>
          <w:p w14:paraId="4B737183" w14:textId="77777777" w:rsidR="00690C7B" w:rsidRPr="002A6F8F" w:rsidRDefault="00690C7B" w:rsidP="00754429">
            <w:pPr>
              <w:spacing w:before="0"/>
              <w:rPr>
                <w:rFonts w:ascii="Verdana" w:hAnsi="Verdana"/>
                <w:b/>
                <w:sz w:val="20"/>
                <w:lang w:val="en-US"/>
              </w:rPr>
            </w:pPr>
            <w:r w:rsidRPr="002A6F8F">
              <w:rPr>
                <w:rFonts w:ascii="Verdana" w:hAnsi="Verdana"/>
                <w:b/>
                <w:sz w:val="20"/>
                <w:lang w:val="en-US"/>
              </w:rPr>
              <w:t>20 septembre 2019</w:t>
            </w:r>
          </w:p>
        </w:tc>
      </w:tr>
      <w:tr w:rsidR="00690C7B" w:rsidRPr="002A6F8F" w14:paraId="5E576E96" w14:textId="77777777" w:rsidTr="00BB1D82">
        <w:trPr>
          <w:cantSplit/>
        </w:trPr>
        <w:tc>
          <w:tcPr>
            <w:tcW w:w="6911" w:type="dxa"/>
          </w:tcPr>
          <w:p w14:paraId="11B25051" w14:textId="77777777" w:rsidR="00690C7B" w:rsidRPr="002A6F8F" w:rsidRDefault="00690C7B" w:rsidP="00754429">
            <w:pPr>
              <w:spacing w:before="0" w:after="48"/>
              <w:rPr>
                <w:rFonts w:ascii="Verdana" w:hAnsi="Verdana"/>
                <w:b/>
                <w:smallCaps/>
                <w:sz w:val="20"/>
                <w:lang w:val="en-US"/>
              </w:rPr>
            </w:pPr>
          </w:p>
        </w:tc>
        <w:tc>
          <w:tcPr>
            <w:tcW w:w="3120" w:type="dxa"/>
          </w:tcPr>
          <w:p w14:paraId="00BFEF99" w14:textId="77777777" w:rsidR="00690C7B" w:rsidRPr="002A6F8F" w:rsidRDefault="00690C7B" w:rsidP="00754429">
            <w:pPr>
              <w:spacing w:before="0"/>
              <w:rPr>
                <w:rFonts w:ascii="Verdana" w:hAnsi="Verdana"/>
                <w:b/>
                <w:sz w:val="20"/>
                <w:lang w:val="en-US"/>
              </w:rPr>
            </w:pPr>
            <w:r w:rsidRPr="002A6F8F">
              <w:rPr>
                <w:rFonts w:ascii="Verdana" w:hAnsi="Verdana"/>
                <w:b/>
                <w:sz w:val="20"/>
                <w:lang w:val="en-US"/>
              </w:rPr>
              <w:t>Original: anglais</w:t>
            </w:r>
          </w:p>
        </w:tc>
      </w:tr>
      <w:tr w:rsidR="00690C7B" w:rsidRPr="002A6F8F" w14:paraId="694A9918" w14:textId="77777777" w:rsidTr="00604CD4">
        <w:trPr>
          <w:cantSplit/>
        </w:trPr>
        <w:tc>
          <w:tcPr>
            <w:tcW w:w="10031" w:type="dxa"/>
            <w:gridSpan w:val="2"/>
          </w:tcPr>
          <w:p w14:paraId="5B3A5E90" w14:textId="77777777" w:rsidR="00690C7B" w:rsidRPr="002A6F8F" w:rsidRDefault="00690C7B" w:rsidP="00754429">
            <w:pPr>
              <w:spacing w:before="0"/>
              <w:rPr>
                <w:rFonts w:ascii="Verdana" w:hAnsi="Verdana"/>
                <w:b/>
                <w:sz w:val="20"/>
                <w:lang w:val="en-US"/>
              </w:rPr>
            </w:pPr>
          </w:p>
        </w:tc>
      </w:tr>
      <w:tr w:rsidR="00690C7B" w:rsidRPr="002A6F8F" w14:paraId="4B03F747" w14:textId="77777777" w:rsidTr="00604CD4">
        <w:trPr>
          <w:cantSplit/>
        </w:trPr>
        <w:tc>
          <w:tcPr>
            <w:tcW w:w="10031" w:type="dxa"/>
            <w:gridSpan w:val="2"/>
          </w:tcPr>
          <w:p w14:paraId="6DE0254D" w14:textId="77777777" w:rsidR="00690C7B" w:rsidRPr="00EE2EFF" w:rsidRDefault="00690C7B" w:rsidP="00754429">
            <w:pPr>
              <w:pStyle w:val="Source"/>
              <w:rPr>
                <w:lang w:val="fr-CH"/>
              </w:rPr>
            </w:pPr>
            <w:bookmarkStart w:id="3" w:name="dsource" w:colFirst="0" w:colLast="0"/>
            <w:r w:rsidRPr="00EE2EFF">
              <w:rPr>
                <w:lang w:val="fr-CH"/>
              </w:rPr>
              <w:t xml:space="preserve">Propositions communes de la </w:t>
            </w:r>
            <w:proofErr w:type="spellStart"/>
            <w:r w:rsidRPr="00EE2EFF">
              <w:rPr>
                <w:lang w:val="fr-CH"/>
              </w:rPr>
              <w:t>Télécommunauté</w:t>
            </w:r>
            <w:proofErr w:type="spellEnd"/>
            <w:r w:rsidRPr="00EE2EFF">
              <w:rPr>
                <w:lang w:val="fr-CH"/>
              </w:rPr>
              <w:t xml:space="preserve"> Asie-Pacifique</w:t>
            </w:r>
          </w:p>
        </w:tc>
      </w:tr>
      <w:tr w:rsidR="00690C7B" w:rsidRPr="002A6F8F" w14:paraId="0DAD59C4" w14:textId="77777777" w:rsidTr="00604CD4">
        <w:trPr>
          <w:cantSplit/>
        </w:trPr>
        <w:tc>
          <w:tcPr>
            <w:tcW w:w="10031" w:type="dxa"/>
            <w:gridSpan w:val="2"/>
          </w:tcPr>
          <w:p w14:paraId="723245D1" w14:textId="2F95BA15" w:rsidR="00690C7B" w:rsidRPr="00EE2EFF" w:rsidRDefault="00690C7B" w:rsidP="00754429">
            <w:pPr>
              <w:pStyle w:val="Title1"/>
              <w:rPr>
                <w:lang w:val="fr-CH"/>
              </w:rPr>
            </w:pPr>
            <w:bookmarkStart w:id="4" w:name="dtitle1" w:colFirst="0" w:colLast="0"/>
            <w:bookmarkEnd w:id="3"/>
            <w:r w:rsidRPr="00EE2EFF">
              <w:rPr>
                <w:lang w:val="fr-CH"/>
              </w:rPr>
              <w:t>Propos</w:t>
            </w:r>
            <w:r w:rsidR="00B76CD6" w:rsidRPr="00EE2EFF">
              <w:rPr>
                <w:lang w:val="fr-CH"/>
              </w:rPr>
              <w:t xml:space="preserve">ITIONS POUR LES TRAVAUX DE LA </w:t>
            </w:r>
            <w:r w:rsidRPr="00EE2EFF">
              <w:rPr>
                <w:lang w:val="fr-CH"/>
              </w:rPr>
              <w:t>conf</w:t>
            </w:r>
            <w:r w:rsidR="00B76CD6" w:rsidRPr="00EE2EFF">
              <w:rPr>
                <w:lang w:val="fr-CH"/>
              </w:rPr>
              <w:t>É</w:t>
            </w:r>
            <w:r w:rsidRPr="00EE2EFF">
              <w:rPr>
                <w:lang w:val="fr-CH"/>
              </w:rPr>
              <w:t>rence</w:t>
            </w:r>
          </w:p>
        </w:tc>
      </w:tr>
      <w:tr w:rsidR="00690C7B" w:rsidRPr="002A6F8F" w14:paraId="5769CA31" w14:textId="77777777" w:rsidTr="00604CD4">
        <w:trPr>
          <w:cantSplit/>
        </w:trPr>
        <w:tc>
          <w:tcPr>
            <w:tcW w:w="10031" w:type="dxa"/>
            <w:gridSpan w:val="2"/>
          </w:tcPr>
          <w:p w14:paraId="4E596AFA" w14:textId="77777777" w:rsidR="00690C7B" w:rsidRPr="00EE2EFF" w:rsidRDefault="00690C7B" w:rsidP="00754429">
            <w:pPr>
              <w:pStyle w:val="Title2"/>
              <w:rPr>
                <w:lang w:val="fr-CH"/>
              </w:rPr>
            </w:pPr>
            <w:bookmarkStart w:id="5" w:name="dtitle2" w:colFirst="0" w:colLast="0"/>
            <w:bookmarkEnd w:id="4"/>
          </w:p>
        </w:tc>
      </w:tr>
      <w:tr w:rsidR="00690C7B" w14:paraId="6473FAEB" w14:textId="77777777" w:rsidTr="00604CD4">
        <w:trPr>
          <w:cantSplit/>
        </w:trPr>
        <w:tc>
          <w:tcPr>
            <w:tcW w:w="10031" w:type="dxa"/>
            <w:gridSpan w:val="2"/>
          </w:tcPr>
          <w:p w14:paraId="107E9DAF" w14:textId="77777777" w:rsidR="00690C7B" w:rsidRDefault="00690C7B" w:rsidP="00754429">
            <w:pPr>
              <w:pStyle w:val="Agendaitem"/>
            </w:pPr>
            <w:bookmarkStart w:id="6" w:name="dtitle3" w:colFirst="0" w:colLast="0"/>
            <w:bookmarkEnd w:id="5"/>
            <w:r w:rsidRPr="006D4724">
              <w:t>Point 10 de l'ordre du jour</w:t>
            </w:r>
          </w:p>
        </w:tc>
      </w:tr>
    </w:tbl>
    <w:bookmarkEnd w:id="6"/>
    <w:p w14:paraId="506DF9FD" w14:textId="77777777" w:rsidR="00604CD4" w:rsidRDefault="00B85865" w:rsidP="00754429">
      <w:r w:rsidRPr="009B46DD">
        <w:t>10</w:t>
      </w:r>
      <w:r w:rsidRPr="009B46DD">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14:paraId="4FC7CD15" w14:textId="77777777" w:rsidR="00E101E7" w:rsidRPr="000966BA" w:rsidRDefault="00E101E7" w:rsidP="00754429">
      <w:pPr>
        <w:pStyle w:val="Headingb"/>
        <w:rPr>
          <w:lang w:val="en-US"/>
        </w:rPr>
      </w:pPr>
      <w:r w:rsidRPr="000966BA">
        <w:rPr>
          <w:lang w:val="en-US"/>
        </w:rPr>
        <w:t>Introduction</w:t>
      </w:r>
    </w:p>
    <w:p w14:paraId="3F138FEC" w14:textId="66D7AEF8" w:rsidR="00E101E7" w:rsidRPr="001A193E" w:rsidRDefault="001A193E" w:rsidP="00754429">
      <w:pPr>
        <w:rPr>
          <w:lang w:val="fr-CH"/>
        </w:rPr>
      </w:pPr>
      <w:r w:rsidRPr="001A193E">
        <w:rPr>
          <w:color w:val="000000"/>
          <w:lang w:val="fr-CH"/>
        </w:rPr>
        <w:t>Les</w:t>
      </w:r>
      <w:r w:rsidR="00754429">
        <w:rPr>
          <w:color w:val="000000"/>
          <w:lang w:val="fr-CH"/>
        </w:rPr>
        <w:t xml:space="preserve"> </w:t>
      </w:r>
      <w:r w:rsidRPr="001A193E">
        <w:rPr>
          <w:color w:val="000000"/>
          <w:lang w:val="fr-CH"/>
        </w:rPr>
        <w:t>Membres de l'APT sont favorables à l</w:t>
      </w:r>
      <w:r w:rsidR="007F49F0">
        <w:rPr>
          <w:color w:val="000000"/>
          <w:lang w:val="fr-CH"/>
        </w:rPr>
        <w:t>'</w:t>
      </w:r>
      <w:r w:rsidRPr="001A193E">
        <w:rPr>
          <w:color w:val="000000"/>
          <w:lang w:val="fr-CH"/>
        </w:rPr>
        <w:t>inscription du point ci-après à l</w:t>
      </w:r>
      <w:r w:rsidR="007F49F0">
        <w:rPr>
          <w:color w:val="000000"/>
          <w:lang w:val="fr-CH"/>
        </w:rPr>
        <w:t>'</w:t>
      </w:r>
      <w:r w:rsidRPr="001A193E">
        <w:rPr>
          <w:color w:val="000000"/>
          <w:lang w:val="fr-CH"/>
        </w:rPr>
        <w:t>ordre du jour de la</w:t>
      </w:r>
      <w:r w:rsidR="00754429">
        <w:rPr>
          <w:color w:val="000000"/>
          <w:lang w:val="fr-CH"/>
        </w:rPr>
        <w:t xml:space="preserve"> </w:t>
      </w:r>
      <w:r w:rsidRPr="001A193E">
        <w:rPr>
          <w:lang w:val="fr-CH"/>
        </w:rPr>
        <w:t>CMR</w:t>
      </w:r>
      <w:r w:rsidR="00754429">
        <w:rPr>
          <w:lang w:val="fr-CH"/>
        </w:rPr>
        <w:noBreakHyphen/>
      </w:r>
      <w:r w:rsidR="00E101E7" w:rsidRPr="001A193E">
        <w:rPr>
          <w:lang w:val="fr-CH"/>
        </w:rPr>
        <w:t>23:</w:t>
      </w:r>
    </w:p>
    <w:p w14:paraId="6C851CC9" w14:textId="1EAAD6CA" w:rsidR="004B1DCC" w:rsidRDefault="00731EFE" w:rsidP="00731EFE">
      <w:pPr>
        <w:pStyle w:val="enumlev1"/>
      </w:pPr>
      <w:r>
        <w:t>–</w:t>
      </w:r>
      <w:r>
        <w:tab/>
      </w:r>
      <w:r w:rsidR="001A193E" w:rsidRPr="00731EFE">
        <w:t>examiner l</w:t>
      </w:r>
      <w:r w:rsidR="007F49F0" w:rsidRPr="00731EFE">
        <w:t>'</w:t>
      </w:r>
      <w:r w:rsidR="001A193E" w:rsidRPr="00731EFE">
        <w:t>identification de certaines bandes de fréquences au-dessous de</w:t>
      </w:r>
      <w:r w:rsidR="00754429" w:rsidRPr="00731EFE">
        <w:t xml:space="preserve"> </w:t>
      </w:r>
      <w:r w:rsidR="00E101E7" w:rsidRPr="00731EFE">
        <w:t>2</w:t>
      </w:r>
      <w:r>
        <w:t>,</w:t>
      </w:r>
      <w:r w:rsidR="00E101E7" w:rsidRPr="00731EFE">
        <w:t>7 GHz</w:t>
      </w:r>
      <w:r w:rsidR="001A193E" w:rsidRPr="00731EFE">
        <w:t xml:space="preserve"> qui sont identifiées pour les </w:t>
      </w:r>
      <w:r w:rsidR="00E101E7" w:rsidRPr="00731EFE">
        <w:t>IMT</w:t>
      </w:r>
      <w:r w:rsidR="001A193E" w:rsidRPr="00731EFE">
        <w:t>,</w:t>
      </w:r>
      <w:r w:rsidR="00E101E7" w:rsidRPr="00731EFE">
        <w:t xml:space="preserve"> </w:t>
      </w:r>
      <w:r w:rsidR="001A193E" w:rsidRPr="00731EFE">
        <w:t>en vue de leur utilisation par des stations placées sur des plates</w:t>
      </w:r>
      <w:r w:rsidR="00E7687D" w:rsidRPr="00731EFE">
        <w:noBreakHyphen/>
      </w:r>
      <w:r w:rsidR="001A193E" w:rsidRPr="00731EFE">
        <w:t>formes à haute altitude en tant que stations de base</w:t>
      </w:r>
      <w:r w:rsidR="00E101E7" w:rsidRPr="00731EFE">
        <w:t xml:space="preserve"> IMT</w:t>
      </w:r>
      <w:r w:rsidR="00754429" w:rsidRPr="00731EFE">
        <w:t xml:space="preserve"> </w:t>
      </w:r>
      <w:r w:rsidR="00E101E7" w:rsidRPr="00731EFE">
        <w:t xml:space="preserve">(HIBS), </w:t>
      </w:r>
      <w:r w:rsidR="001A193E" w:rsidRPr="00731EFE">
        <w:t>et déterminer si des modifications</w:t>
      </w:r>
      <w:r w:rsidR="00754429" w:rsidRPr="00731EFE">
        <w:t xml:space="preserve"> </w:t>
      </w:r>
      <w:r w:rsidR="001A193E" w:rsidRPr="00731EFE">
        <w:t>doivent être apportées à l</w:t>
      </w:r>
      <w:r w:rsidR="007F49F0" w:rsidRPr="00731EFE">
        <w:t>'</w:t>
      </w:r>
      <w:r w:rsidR="001A193E" w:rsidRPr="00731EFE">
        <w:t xml:space="preserve">ensemble des bandes existantes identifiées pour pouvoir être utilisées par </w:t>
      </w:r>
      <w:r w:rsidR="007F49F0" w:rsidRPr="00731EFE">
        <w:t>d</w:t>
      </w:r>
      <w:r w:rsidR="001A193E" w:rsidRPr="00731EFE">
        <w:t>es stations</w:t>
      </w:r>
      <w:r w:rsidR="00754429" w:rsidRPr="00731EFE">
        <w:t xml:space="preserve"> </w:t>
      </w:r>
      <w:r w:rsidR="00E101E7" w:rsidRPr="00731EFE">
        <w:t>HIBS.</w:t>
      </w:r>
    </w:p>
    <w:p w14:paraId="1AFEBE5B" w14:textId="39D95AA9" w:rsidR="004B1DCC" w:rsidRDefault="004B1DCC">
      <w:pPr>
        <w:tabs>
          <w:tab w:val="clear" w:pos="1134"/>
          <w:tab w:val="clear" w:pos="1871"/>
          <w:tab w:val="clear" w:pos="2268"/>
        </w:tabs>
        <w:overflowPunct/>
        <w:autoSpaceDE/>
        <w:autoSpaceDN/>
        <w:adjustRightInd/>
        <w:spacing w:before="0"/>
        <w:textAlignment w:val="auto"/>
      </w:pPr>
    </w:p>
    <w:p w14:paraId="557FB0B4" w14:textId="6277E8AC" w:rsidR="004B1DCC" w:rsidRDefault="004B1DCC">
      <w:pPr>
        <w:tabs>
          <w:tab w:val="clear" w:pos="1134"/>
          <w:tab w:val="clear" w:pos="1871"/>
          <w:tab w:val="clear" w:pos="2268"/>
        </w:tabs>
        <w:overflowPunct/>
        <w:autoSpaceDE/>
        <w:autoSpaceDN/>
        <w:adjustRightInd/>
        <w:spacing w:before="0"/>
        <w:textAlignment w:val="auto"/>
      </w:pPr>
      <w:r>
        <w:br w:type="page"/>
      </w:r>
    </w:p>
    <w:p w14:paraId="79F6194B" w14:textId="26934872" w:rsidR="003A583E" w:rsidRPr="00EE2EFF" w:rsidRDefault="00E101E7" w:rsidP="00754429">
      <w:pPr>
        <w:pStyle w:val="Headingb"/>
        <w:rPr>
          <w:lang w:val="fr-CH"/>
        </w:rPr>
      </w:pPr>
      <w:r w:rsidRPr="00EE2EFF">
        <w:rPr>
          <w:lang w:val="fr-CH"/>
        </w:rPr>
        <w:lastRenderedPageBreak/>
        <w:t>Propos</w:t>
      </w:r>
      <w:r w:rsidR="001A193E">
        <w:rPr>
          <w:lang w:val="fr-CH"/>
        </w:rPr>
        <w:t>itions</w:t>
      </w:r>
    </w:p>
    <w:p w14:paraId="241669A2" w14:textId="2E393F56" w:rsidR="006C6AC7" w:rsidRDefault="00B85865" w:rsidP="004B1DCC">
      <w:pPr>
        <w:pStyle w:val="Proposal"/>
      </w:pPr>
      <w:r>
        <w:t>ADD</w:t>
      </w:r>
      <w:r>
        <w:tab/>
        <w:t>ACP/24A24A4/1</w:t>
      </w:r>
    </w:p>
    <w:p w14:paraId="0ADF276C" w14:textId="37EAE2B4" w:rsidR="006C6AC7" w:rsidRDefault="00B85865" w:rsidP="00754429">
      <w:pPr>
        <w:pStyle w:val="ResNo"/>
      </w:pPr>
      <w:r>
        <w:t>Projet de nouvelle Résolution [ACP-A10-</w:t>
      </w:r>
      <w:r w:rsidR="00E101E7">
        <w:t>wrc23</w:t>
      </w:r>
      <w:r>
        <w:t>]</w:t>
      </w:r>
      <w:r w:rsidR="00E101E7">
        <w:t xml:space="preserve"> (</w:t>
      </w:r>
      <w:r w:rsidR="001A193E">
        <w:t>CMR</w:t>
      </w:r>
      <w:r w:rsidR="00E101E7">
        <w:t>-19)</w:t>
      </w:r>
    </w:p>
    <w:p w14:paraId="7EBF54FC" w14:textId="3375BC6E" w:rsidR="00E101E7" w:rsidRPr="001A193E" w:rsidRDefault="001A193E" w:rsidP="00754429">
      <w:pPr>
        <w:pStyle w:val="Restitle"/>
        <w:rPr>
          <w:rFonts w:eastAsia="MS Mincho"/>
          <w:lang w:val="fr-CH" w:eastAsia="zh-CN"/>
        </w:rPr>
      </w:pPr>
      <w:bookmarkStart w:id="7" w:name="_Toc319401926"/>
      <w:bookmarkStart w:id="8" w:name="_Toc450048857"/>
      <w:r>
        <w:rPr>
          <w:color w:val="000000"/>
        </w:rPr>
        <w:t>Ordre du jour de la Conférence mondiale des radiocommunications de 2023</w:t>
      </w:r>
      <w:bookmarkEnd w:id="7"/>
      <w:bookmarkEnd w:id="8"/>
    </w:p>
    <w:p w14:paraId="0D2C5610" w14:textId="671341A9" w:rsidR="00E101E7" w:rsidRPr="00C21420" w:rsidRDefault="00E101E7" w:rsidP="00754429">
      <w:pPr>
        <w:pStyle w:val="Normalaftertitle"/>
        <w:rPr>
          <w:rFonts w:eastAsia="MS Mincho"/>
          <w:lang w:eastAsia="zh-CN"/>
        </w:rPr>
      </w:pPr>
      <w:r w:rsidRPr="00E101E7">
        <w:rPr>
          <w:rFonts w:eastAsia="MS Mincho"/>
          <w:lang w:val="fr-CH" w:eastAsia="zh-CN"/>
        </w:rPr>
        <w:t>La Conférence mondiale des radiocommunications (</w:t>
      </w:r>
      <w:proofErr w:type="spellStart"/>
      <w:r w:rsidRPr="00E101E7">
        <w:rPr>
          <w:rFonts w:eastAsia="MS Mincho"/>
          <w:lang w:val="fr-CH" w:eastAsia="zh-CN"/>
        </w:rPr>
        <w:t>Charm</w:t>
      </w:r>
      <w:proofErr w:type="spellEnd"/>
      <w:r w:rsidRPr="00E101E7">
        <w:rPr>
          <w:rFonts w:eastAsia="MS Mincho"/>
          <w:lang w:val="fr-CH" w:eastAsia="zh-CN"/>
        </w:rPr>
        <w:t xml:space="preserve"> el-Cheikh, 2019),</w:t>
      </w:r>
    </w:p>
    <w:p w14:paraId="58EE5194" w14:textId="77777777" w:rsidR="007F49F0" w:rsidRDefault="00E101E7" w:rsidP="007F49F0">
      <w:pPr>
        <w:rPr>
          <w:rFonts w:eastAsia="MS Mincho"/>
          <w:lang w:val="en-US" w:eastAsia="zh-CN"/>
        </w:rPr>
      </w:pPr>
      <w:r w:rsidRPr="00EE2EFF">
        <w:rPr>
          <w:rFonts w:eastAsia="MS Mincho"/>
          <w:lang w:val="en-US" w:eastAsia="zh-CN"/>
        </w:rPr>
        <w:t>…</w:t>
      </w:r>
    </w:p>
    <w:p w14:paraId="6D60637B" w14:textId="65F75309" w:rsidR="00E101E7" w:rsidRPr="007F49F0" w:rsidRDefault="00E101E7" w:rsidP="007F49F0">
      <w:pPr>
        <w:rPr>
          <w:rFonts w:eastAsia="MS Mincho"/>
          <w:lang w:val="en-US" w:eastAsia="zh-CN"/>
        </w:rPr>
      </w:pPr>
      <w:r w:rsidRPr="001A193E">
        <w:rPr>
          <w:rFonts w:eastAsia="BatangChe"/>
          <w:lang w:val="fr-CH"/>
        </w:rPr>
        <w:t>1.x</w:t>
      </w:r>
      <w:r w:rsidRPr="001A193E">
        <w:rPr>
          <w:rFonts w:eastAsia="MS Mincho"/>
          <w:kern w:val="2"/>
          <w:lang w:val="fr-CH" w:eastAsia="ja-JP"/>
        </w:rPr>
        <w:tab/>
      </w:r>
      <w:r w:rsidR="001A193E">
        <w:rPr>
          <w:lang w:val="fr-CH"/>
        </w:rPr>
        <w:t>examiner</w:t>
      </w:r>
      <w:r w:rsidR="001A193E" w:rsidRPr="001A193E">
        <w:rPr>
          <w:lang w:val="fr-CH"/>
        </w:rPr>
        <w:t xml:space="preserve"> l</w:t>
      </w:r>
      <w:r w:rsidR="007F49F0">
        <w:rPr>
          <w:lang w:val="fr-CH"/>
        </w:rPr>
        <w:t>'</w:t>
      </w:r>
      <w:r w:rsidR="001A193E" w:rsidRPr="001A193E">
        <w:rPr>
          <w:lang w:val="fr-CH"/>
        </w:rPr>
        <w:t>identification de certaines bandes de fréquences au-dessous de</w:t>
      </w:r>
      <w:r w:rsidR="00754429">
        <w:rPr>
          <w:lang w:val="fr-CH"/>
        </w:rPr>
        <w:t xml:space="preserve"> </w:t>
      </w:r>
      <w:r w:rsidR="001A193E" w:rsidRPr="001A193E">
        <w:rPr>
          <w:lang w:val="fr-CH"/>
        </w:rPr>
        <w:t>2</w:t>
      </w:r>
      <w:r w:rsidR="00731EFE">
        <w:rPr>
          <w:lang w:val="fr-CH"/>
        </w:rPr>
        <w:t>,</w:t>
      </w:r>
      <w:r w:rsidR="001A193E" w:rsidRPr="001A193E">
        <w:rPr>
          <w:lang w:val="fr-CH"/>
        </w:rPr>
        <w:t xml:space="preserve">7 GHz </w:t>
      </w:r>
      <w:r w:rsidR="001A193E">
        <w:rPr>
          <w:lang w:val="fr-CH"/>
        </w:rPr>
        <w:t xml:space="preserve">qui sont </w:t>
      </w:r>
      <w:r w:rsidR="001A193E" w:rsidRPr="001A193E">
        <w:rPr>
          <w:lang w:val="fr-CH"/>
        </w:rPr>
        <w:t>identifié</w:t>
      </w:r>
      <w:r w:rsidR="001A193E">
        <w:rPr>
          <w:lang w:val="fr-CH"/>
        </w:rPr>
        <w:t>e</w:t>
      </w:r>
      <w:r w:rsidR="001A193E" w:rsidRPr="001A193E">
        <w:rPr>
          <w:lang w:val="fr-CH"/>
        </w:rPr>
        <w:t>s pour les IMT</w:t>
      </w:r>
      <w:r w:rsidR="001A193E">
        <w:rPr>
          <w:lang w:val="fr-CH"/>
        </w:rPr>
        <w:t>,</w:t>
      </w:r>
      <w:r w:rsidR="00754429">
        <w:rPr>
          <w:lang w:val="fr-CH"/>
        </w:rPr>
        <w:t xml:space="preserve"> </w:t>
      </w:r>
      <w:r w:rsidR="001A193E" w:rsidRPr="001A193E">
        <w:rPr>
          <w:lang w:val="fr-CH"/>
        </w:rPr>
        <w:t xml:space="preserve">en vue de leur utilisation par </w:t>
      </w:r>
      <w:r w:rsidR="001A193E">
        <w:rPr>
          <w:lang w:val="fr-CH"/>
        </w:rPr>
        <w:t>d</w:t>
      </w:r>
      <w:r w:rsidR="001A193E" w:rsidRPr="001A193E">
        <w:rPr>
          <w:lang w:val="fr-CH"/>
        </w:rPr>
        <w:t>es stations placées sur des plates</w:t>
      </w:r>
      <w:r w:rsidR="00E7687D">
        <w:rPr>
          <w:lang w:val="fr-CH"/>
        </w:rPr>
        <w:noBreakHyphen/>
      </w:r>
      <w:r w:rsidR="001A193E" w:rsidRPr="001A193E">
        <w:rPr>
          <w:lang w:val="fr-CH"/>
        </w:rPr>
        <w:t>formes</w:t>
      </w:r>
      <w:r w:rsidR="001A193E">
        <w:rPr>
          <w:lang w:val="fr-CH"/>
        </w:rPr>
        <w:t xml:space="preserve"> à haute </w:t>
      </w:r>
      <w:r w:rsidR="001A193E" w:rsidRPr="001A193E">
        <w:rPr>
          <w:lang w:val="fr-CH"/>
        </w:rPr>
        <w:t>a</w:t>
      </w:r>
      <w:r w:rsidR="001A193E">
        <w:rPr>
          <w:lang w:val="fr-CH"/>
        </w:rPr>
        <w:t>l</w:t>
      </w:r>
      <w:r w:rsidR="001A193E" w:rsidRPr="001A193E">
        <w:rPr>
          <w:lang w:val="fr-CH"/>
        </w:rPr>
        <w:t>titude en tant que stations de base IMT</w:t>
      </w:r>
      <w:r w:rsidR="00754429">
        <w:rPr>
          <w:lang w:val="fr-CH"/>
        </w:rPr>
        <w:t xml:space="preserve"> </w:t>
      </w:r>
      <w:r w:rsidR="001A193E" w:rsidRPr="001A193E">
        <w:rPr>
          <w:lang w:val="fr-CH"/>
        </w:rPr>
        <w:t xml:space="preserve">(HIBS), </w:t>
      </w:r>
      <w:r w:rsidR="001A193E">
        <w:rPr>
          <w:lang w:val="fr-CH"/>
        </w:rPr>
        <w:t>et déterminer si des modifications</w:t>
      </w:r>
      <w:r w:rsidR="00754429">
        <w:rPr>
          <w:lang w:val="fr-CH"/>
        </w:rPr>
        <w:t xml:space="preserve"> </w:t>
      </w:r>
      <w:r w:rsidR="001A193E">
        <w:rPr>
          <w:lang w:val="fr-CH"/>
        </w:rPr>
        <w:t>doivent être apportées à l</w:t>
      </w:r>
      <w:r w:rsidR="007F49F0">
        <w:rPr>
          <w:lang w:val="fr-CH"/>
        </w:rPr>
        <w:t>'</w:t>
      </w:r>
      <w:r w:rsidR="001A193E">
        <w:rPr>
          <w:lang w:val="fr-CH"/>
        </w:rPr>
        <w:t xml:space="preserve">ensemble des bandes existantes identifiées pour pouvoir être utilisées par </w:t>
      </w:r>
      <w:r w:rsidR="007F49F0">
        <w:rPr>
          <w:lang w:val="fr-CH"/>
        </w:rPr>
        <w:t>d</w:t>
      </w:r>
      <w:r w:rsidR="001A193E">
        <w:rPr>
          <w:lang w:val="fr-CH"/>
        </w:rPr>
        <w:t>es stations</w:t>
      </w:r>
      <w:r w:rsidR="00754429">
        <w:rPr>
          <w:lang w:val="fr-CH"/>
        </w:rPr>
        <w:t xml:space="preserve"> </w:t>
      </w:r>
      <w:r w:rsidR="001A193E" w:rsidRPr="001A193E">
        <w:rPr>
          <w:lang w:val="fr-CH"/>
        </w:rPr>
        <w:t>HIBS</w:t>
      </w:r>
      <w:r w:rsidR="001A193E">
        <w:rPr>
          <w:lang w:val="fr-CH"/>
        </w:rPr>
        <w:t>, conformément à la Résolution</w:t>
      </w:r>
      <w:r w:rsidR="00754429">
        <w:rPr>
          <w:lang w:val="fr-CH"/>
        </w:rPr>
        <w:t xml:space="preserve"> </w:t>
      </w:r>
      <w:r w:rsidRPr="001A193E">
        <w:rPr>
          <w:rFonts w:eastAsia="SimSun"/>
          <w:b/>
          <w:bCs/>
          <w:lang w:val="fr-CH" w:eastAsia="zh-CN"/>
        </w:rPr>
        <w:t>[ASP</w:t>
      </w:r>
      <w:r w:rsidRPr="001A193E">
        <w:rPr>
          <w:rFonts w:eastAsia="SimSun" w:hint="eastAsia"/>
          <w:b/>
          <w:bCs/>
          <w:lang w:val="fr-CH" w:eastAsia="zh-CN"/>
        </w:rPr>
        <w:t>-</w:t>
      </w:r>
      <w:r w:rsidRPr="001A193E">
        <w:rPr>
          <w:rFonts w:eastAsia="SimSun"/>
          <w:b/>
          <w:bCs/>
          <w:lang w:val="fr-CH" w:eastAsia="zh-CN"/>
        </w:rPr>
        <w:t>D10</w:t>
      </w:r>
      <w:r w:rsidRPr="001A193E">
        <w:rPr>
          <w:rFonts w:eastAsia="SimSun" w:hint="eastAsia"/>
          <w:b/>
          <w:bCs/>
          <w:lang w:val="fr-CH" w:eastAsia="zh-CN"/>
        </w:rPr>
        <w:t>-</w:t>
      </w:r>
      <w:r w:rsidRPr="001A193E">
        <w:rPr>
          <w:rFonts w:eastAsia="SimSun"/>
          <w:b/>
          <w:bCs/>
          <w:lang w:val="fr-CH" w:eastAsia="zh-CN"/>
        </w:rPr>
        <w:t>HIBS]</w:t>
      </w:r>
      <w:r w:rsidRPr="001A193E">
        <w:rPr>
          <w:lang w:val="fr-CH"/>
        </w:rPr>
        <w:t xml:space="preserve"> </w:t>
      </w:r>
      <w:r w:rsidRPr="001A193E">
        <w:rPr>
          <w:b/>
          <w:bCs/>
          <w:lang w:val="fr-CH"/>
        </w:rPr>
        <w:t>(</w:t>
      </w:r>
      <w:r w:rsidR="001A193E" w:rsidRPr="001A193E">
        <w:rPr>
          <w:b/>
          <w:bCs/>
          <w:lang w:val="fr-CH"/>
        </w:rPr>
        <w:t>CMR</w:t>
      </w:r>
      <w:r w:rsidRPr="001A193E">
        <w:rPr>
          <w:b/>
          <w:bCs/>
          <w:lang w:val="fr-CH"/>
        </w:rPr>
        <w:t>-19)</w:t>
      </w:r>
      <w:r w:rsidRPr="001A193E">
        <w:rPr>
          <w:rFonts w:eastAsia="SimSun"/>
          <w:lang w:val="fr-CH" w:eastAsia="zh-CN"/>
        </w:rPr>
        <w:t>;</w:t>
      </w:r>
    </w:p>
    <w:p w14:paraId="03704E25" w14:textId="42726F73" w:rsidR="006C6AC7" w:rsidRPr="00741839" w:rsidRDefault="001A193E" w:rsidP="00754429">
      <w:pPr>
        <w:pStyle w:val="Reasons"/>
      </w:pPr>
      <w:r w:rsidRPr="001A193E">
        <w:rPr>
          <w:b/>
          <w:bCs/>
          <w:lang w:val="fr-CH"/>
        </w:rPr>
        <w:t>Motifs</w:t>
      </w:r>
      <w:r w:rsidR="00E101E7" w:rsidRPr="001A193E">
        <w:rPr>
          <w:b/>
          <w:bCs/>
          <w:lang w:val="fr-CH"/>
        </w:rPr>
        <w:t>:</w:t>
      </w:r>
      <w:r w:rsidR="00E101E7" w:rsidRPr="001A193E">
        <w:rPr>
          <w:lang w:val="fr-CH"/>
        </w:rPr>
        <w:tab/>
      </w:r>
      <w:r w:rsidR="007F49F0">
        <w:rPr>
          <w:lang w:val="fr-CH"/>
        </w:rPr>
        <w:t>P</w:t>
      </w:r>
      <w:r w:rsidRPr="001A193E">
        <w:rPr>
          <w:lang w:val="fr-CH"/>
        </w:rPr>
        <w:t>roposition visant à inscrire un nouveau point à l</w:t>
      </w:r>
      <w:r w:rsidR="007F49F0">
        <w:rPr>
          <w:lang w:val="fr-CH"/>
        </w:rPr>
        <w:t>'</w:t>
      </w:r>
      <w:r w:rsidRPr="001A193E">
        <w:rPr>
          <w:lang w:val="fr-CH"/>
        </w:rPr>
        <w:t>ordre du jour de la</w:t>
      </w:r>
      <w:r w:rsidR="00754429">
        <w:rPr>
          <w:lang w:val="fr-CH"/>
        </w:rPr>
        <w:t xml:space="preserve"> </w:t>
      </w:r>
      <w:r w:rsidRPr="001A193E">
        <w:rPr>
          <w:lang w:val="fr-CH"/>
        </w:rPr>
        <w:t>CMR</w:t>
      </w:r>
      <w:r w:rsidR="00E101E7" w:rsidRPr="001A193E">
        <w:rPr>
          <w:lang w:val="fr-CH"/>
        </w:rPr>
        <w:t>-23</w:t>
      </w:r>
      <w:r w:rsidRPr="001A193E">
        <w:rPr>
          <w:lang w:val="fr-CH"/>
        </w:rPr>
        <w:t>, en vue d</w:t>
      </w:r>
      <w:r w:rsidR="007F49F0">
        <w:rPr>
          <w:lang w:val="fr-CH"/>
        </w:rPr>
        <w:t>'</w:t>
      </w:r>
      <w:r w:rsidRPr="001A193E">
        <w:rPr>
          <w:lang w:val="fr-CH"/>
        </w:rPr>
        <w:t>examiner l</w:t>
      </w:r>
      <w:r w:rsidR="007F49F0">
        <w:rPr>
          <w:lang w:val="fr-CH"/>
        </w:rPr>
        <w:t>'</w:t>
      </w:r>
      <w:r w:rsidRPr="001A193E">
        <w:rPr>
          <w:lang w:val="fr-CH"/>
        </w:rPr>
        <w:t xml:space="preserve">identification de certaines bandes de fréquences au-dessous de 2,7 GHz </w:t>
      </w:r>
      <w:r>
        <w:rPr>
          <w:lang w:val="fr-CH"/>
        </w:rPr>
        <w:t xml:space="preserve">qui sont </w:t>
      </w:r>
      <w:r w:rsidRPr="001A193E">
        <w:rPr>
          <w:lang w:val="fr-CH"/>
        </w:rPr>
        <w:t>identifié</w:t>
      </w:r>
      <w:r>
        <w:rPr>
          <w:lang w:val="fr-CH"/>
        </w:rPr>
        <w:t>e</w:t>
      </w:r>
      <w:r w:rsidRPr="001A193E">
        <w:rPr>
          <w:lang w:val="fr-CH"/>
        </w:rPr>
        <w:t>s</w:t>
      </w:r>
      <w:r>
        <w:rPr>
          <w:lang w:val="fr-CH"/>
        </w:rPr>
        <w:t xml:space="preserve"> </w:t>
      </w:r>
      <w:r w:rsidRPr="001A193E">
        <w:rPr>
          <w:lang w:val="fr-CH"/>
        </w:rPr>
        <w:t>pour les IMT</w:t>
      </w:r>
      <w:r>
        <w:rPr>
          <w:lang w:val="fr-CH"/>
        </w:rPr>
        <w:t xml:space="preserve"> en vue de leur utilisation par des stations</w:t>
      </w:r>
      <w:r w:rsidR="00E101E7" w:rsidRPr="001A193E">
        <w:rPr>
          <w:lang w:val="fr-CH"/>
        </w:rPr>
        <w:t xml:space="preserve"> HIBS</w:t>
      </w:r>
      <w:r w:rsidR="00E101E7" w:rsidRPr="001A193E">
        <w:rPr>
          <w:rFonts w:eastAsia="MS Mincho"/>
          <w:lang w:val="fr-CH"/>
        </w:rPr>
        <w:t>.</w:t>
      </w:r>
    </w:p>
    <w:p w14:paraId="06728A22" w14:textId="77777777" w:rsidR="006C6AC7" w:rsidRPr="00741839" w:rsidRDefault="00B85865" w:rsidP="00741839">
      <w:pPr>
        <w:pStyle w:val="Proposal"/>
      </w:pPr>
      <w:r w:rsidRPr="00741839">
        <w:t>ADD</w:t>
      </w:r>
      <w:r w:rsidRPr="00741839">
        <w:tab/>
        <w:t>ACP/24A24A4/2</w:t>
      </w:r>
    </w:p>
    <w:p w14:paraId="7329DFAA" w14:textId="0893F12D" w:rsidR="006C6AC7" w:rsidRDefault="00B85865" w:rsidP="00754429">
      <w:pPr>
        <w:pStyle w:val="ResNo"/>
      </w:pPr>
      <w:r>
        <w:t>Projet de nouvelle Résolution [ACP-D10-HIBS]</w:t>
      </w:r>
      <w:r w:rsidR="00E101E7" w:rsidRPr="00E101E7">
        <w:t xml:space="preserve"> </w:t>
      </w:r>
      <w:r w:rsidR="00E101E7">
        <w:t>(</w:t>
      </w:r>
      <w:r w:rsidR="001A193E">
        <w:t>CMR</w:t>
      </w:r>
      <w:r w:rsidR="00E101E7">
        <w:t>-19)</w:t>
      </w:r>
    </w:p>
    <w:p w14:paraId="53938CC2" w14:textId="4367AEA0" w:rsidR="00E101E7" w:rsidRPr="000F6746" w:rsidRDefault="000F6746" w:rsidP="00754429">
      <w:pPr>
        <w:pStyle w:val="Restitle"/>
        <w:rPr>
          <w:lang w:val="fr-CH"/>
        </w:rPr>
      </w:pPr>
      <w:r w:rsidRPr="000F6746">
        <w:rPr>
          <w:lang w:val="fr-CH"/>
        </w:rPr>
        <w:t>Faciliter la connectivité mobile en utilisant les stations placées sur des plates</w:t>
      </w:r>
      <w:r w:rsidR="00D40075">
        <w:rPr>
          <w:lang w:val="fr-CH"/>
        </w:rPr>
        <w:noBreakHyphen/>
      </w:r>
      <w:r w:rsidRPr="000F6746">
        <w:rPr>
          <w:lang w:val="fr-CH"/>
        </w:rPr>
        <w:t xml:space="preserve">formes </w:t>
      </w:r>
      <w:r w:rsidR="00D40075">
        <w:rPr>
          <w:lang w:val="fr-CH"/>
        </w:rPr>
        <w:t xml:space="preserve">à haute </w:t>
      </w:r>
      <w:r w:rsidRPr="000F6746">
        <w:rPr>
          <w:lang w:val="fr-CH"/>
        </w:rPr>
        <w:t xml:space="preserve">altitude en tant que stations </w:t>
      </w:r>
      <w:r>
        <w:rPr>
          <w:lang w:val="fr-CH"/>
        </w:rPr>
        <w:t>de base</w:t>
      </w:r>
      <w:r w:rsidR="00E101E7" w:rsidRPr="000F6746">
        <w:rPr>
          <w:lang w:val="fr-CH"/>
        </w:rPr>
        <w:t xml:space="preserve"> IMT (HIBS)</w:t>
      </w:r>
    </w:p>
    <w:p w14:paraId="5E8BCA90" w14:textId="1D2C2118" w:rsidR="00E101E7" w:rsidRPr="00EE2EFF" w:rsidRDefault="00E101E7" w:rsidP="00754429">
      <w:pPr>
        <w:pStyle w:val="Normalaftertitle"/>
        <w:rPr>
          <w:lang w:val="fr-CH"/>
        </w:rPr>
      </w:pPr>
      <w:r w:rsidRPr="00E101E7">
        <w:rPr>
          <w:lang w:val="fr-CH"/>
        </w:rPr>
        <w:t>La Conférence mondiale des radiocommunications (</w:t>
      </w:r>
      <w:proofErr w:type="spellStart"/>
      <w:r w:rsidRPr="00E101E7">
        <w:rPr>
          <w:lang w:val="fr-CH"/>
        </w:rPr>
        <w:t>Charm</w:t>
      </w:r>
      <w:proofErr w:type="spellEnd"/>
      <w:r w:rsidRPr="00E101E7">
        <w:rPr>
          <w:lang w:val="fr-CH"/>
        </w:rPr>
        <w:t xml:space="preserve"> el-Cheikh, 2019),</w:t>
      </w:r>
    </w:p>
    <w:p w14:paraId="33E6D938" w14:textId="44E58D81" w:rsidR="00E101E7" w:rsidRPr="00C035A3" w:rsidRDefault="00E101E7" w:rsidP="00754429">
      <w:pPr>
        <w:pStyle w:val="Call"/>
        <w:rPr>
          <w:lang w:val="fr-CH"/>
        </w:rPr>
      </w:pPr>
      <w:proofErr w:type="gramStart"/>
      <w:r w:rsidRPr="00C035A3">
        <w:rPr>
          <w:lang w:val="fr-CH"/>
        </w:rPr>
        <w:t>consid</w:t>
      </w:r>
      <w:r w:rsidR="00C035A3" w:rsidRPr="00C035A3">
        <w:rPr>
          <w:lang w:val="fr-CH"/>
        </w:rPr>
        <w:t>érant</w:t>
      </w:r>
      <w:proofErr w:type="gramEnd"/>
    </w:p>
    <w:p w14:paraId="3A280A31" w14:textId="308463D3" w:rsidR="00E101E7" w:rsidRPr="000F6746" w:rsidRDefault="00E101E7" w:rsidP="00754429">
      <w:pPr>
        <w:rPr>
          <w:lang w:val="fr-CH"/>
        </w:rPr>
      </w:pPr>
      <w:r w:rsidRPr="000F6746">
        <w:rPr>
          <w:i/>
          <w:lang w:val="fr-CH"/>
        </w:rPr>
        <w:t>a)</w:t>
      </w:r>
      <w:r w:rsidRPr="000F6746">
        <w:rPr>
          <w:i/>
          <w:lang w:val="fr-CH"/>
        </w:rPr>
        <w:tab/>
      </w:r>
      <w:r w:rsidR="000F6746" w:rsidRPr="000F6746">
        <w:rPr>
          <w:iCs/>
          <w:lang w:val="fr-CH"/>
        </w:rPr>
        <w:t>que des études relatives aux</w:t>
      </w:r>
      <w:r w:rsidR="00754429">
        <w:rPr>
          <w:i/>
          <w:lang w:val="fr-CH"/>
        </w:rPr>
        <w:t xml:space="preserve"> </w:t>
      </w:r>
      <w:r w:rsidR="000F6746" w:rsidRPr="000F6746">
        <w:rPr>
          <w:color w:val="000000"/>
          <w:lang w:val="fr-CH"/>
        </w:rPr>
        <w:t xml:space="preserve">solutions propres à faciliter l'accès partout dans le monde à des applications large bande fournies par des stations placées sur des plates-formes à haute altitude dans le service fixe </w:t>
      </w:r>
      <w:r w:rsidR="00C035A3">
        <w:rPr>
          <w:color w:val="000000"/>
          <w:lang w:val="fr-CH"/>
        </w:rPr>
        <w:t>ont été effectuées au titre du point</w:t>
      </w:r>
      <w:r w:rsidR="00754429">
        <w:rPr>
          <w:color w:val="000000"/>
          <w:lang w:val="fr-CH"/>
        </w:rPr>
        <w:t xml:space="preserve"> </w:t>
      </w:r>
      <w:r w:rsidR="00C035A3">
        <w:rPr>
          <w:color w:val="000000"/>
          <w:lang w:val="fr-CH"/>
        </w:rPr>
        <w:t>1.14 de l</w:t>
      </w:r>
      <w:r w:rsidR="007F49F0">
        <w:rPr>
          <w:color w:val="000000"/>
          <w:lang w:val="fr-CH"/>
        </w:rPr>
        <w:t>'</w:t>
      </w:r>
      <w:r w:rsidR="00C035A3">
        <w:rPr>
          <w:color w:val="000000"/>
          <w:lang w:val="fr-CH"/>
        </w:rPr>
        <w:t>ordre du jour de la CMR-19,</w:t>
      </w:r>
      <w:r w:rsidR="000F6746" w:rsidRPr="000F6746">
        <w:rPr>
          <w:lang w:val="fr-CH"/>
        </w:rPr>
        <w:t xml:space="preserve"> </w:t>
      </w:r>
      <w:r w:rsidR="00C035A3">
        <w:rPr>
          <w:lang w:val="fr-CH"/>
        </w:rPr>
        <w:t>sur la base de la Résolution</w:t>
      </w:r>
      <w:r w:rsidR="00C035A3" w:rsidRPr="000F6746">
        <w:rPr>
          <w:lang w:val="fr-CH"/>
        </w:rPr>
        <w:t xml:space="preserve"> </w:t>
      </w:r>
      <w:r w:rsidR="00C035A3" w:rsidRPr="000F6746">
        <w:rPr>
          <w:b/>
          <w:lang w:val="fr-CH"/>
        </w:rPr>
        <w:t>160 (CMR-15)</w:t>
      </w:r>
      <w:r w:rsidR="00C035A3">
        <w:rPr>
          <w:lang w:val="fr-CH"/>
        </w:rPr>
        <w:t>, dans les bandes de fréquences au-dessus de</w:t>
      </w:r>
      <w:r w:rsidRPr="000F6746">
        <w:rPr>
          <w:lang w:val="fr-CH"/>
        </w:rPr>
        <w:t xml:space="preserve"> </w:t>
      </w:r>
      <w:r w:rsidR="00C035A3" w:rsidRPr="000F6746">
        <w:rPr>
          <w:lang w:val="fr-CH"/>
        </w:rPr>
        <w:t>6 GHz</w:t>
      </w:r>
      <w:r w:rsidR="00C035A3">
        <w:rPr>
          <w:lang w:val="fr-CH"/>
        </w:rPr>
        <w:t>;</w:t>
      </w:r>
    </w:p>
    <w:p w14:paraId="2D1BD344" w14:textId="2427A451" w:rsidR="00E101E7" w:rsidRPr="00344477" w:rsidRDefault="00E101E7" w:rsidP="00754429">
      <w:pPr>
        <w:rPr>
          <w:lang w:val="fr-CH"/>
        </w:rPr>
      </w:pPr>
      <w:r w:rsidRPr="00344477">
        <w:rPr>
          <w:i/>
          <w:lang w:val="fr-CH"/>
        </w:rPr>
        <w:t>b)</w:t>
      </w:r>
      <w:r w:rsidRPr="00344477">
        <w:rPr>
          <w:i/>
          <w:lang w:val="fr-CH"/>
        </w:rPr>
        <w:tab/>
      </w:r>
      <w:r w:rsidR="004B1DCC">
        <w:rPr>
          <w:iCs/>
          <w:lang w:val="fr-CH"/>
        </w:rPr>
        <w:t xml:space="preserve">qu'il est également possible d'utiliser </w:t>
      </w:r>
      <w:r w:rsidR="00344477" w:rsidRPr="00344477">
        <w:rPr>
          <w:lang w:val="fr-CH"/>
        </w:rPr>
        <w:t xml:space="preserve">les </w:t>
      </w:r>
      <w:r w:rsidR="00344477" w:rsidRPr="00344477">
        <w:rPr>
          <w:color w:val="000000"/>
          <w:lang w:val="fr-CH"/>
        </w:rPr>
        <w:t>stations placées sur des plates-formes à haute altitude</w:t>
      </w:r>
      <w:r w:rsidR="00754429">
        <w:rPr>
          <w:lang w:val="fr-CH"/>
        </w:rPr>
        <w:t xml:space="preserve"> </w:t>
      </w:r>
      <w:r w:rsidR="00344477" w:rsidRPr="00344477">
        <w:rPr>
          <w:lang w:val="fr-CH"/>
        </w:rPr>
        <w:t xml:space="preserve">en tant que stations de base </w:t>
      </w:r>
      <w:r w:rsidRPr="00344477">
        <w:rPr>
          <w:lang w:val="fr-CH"/>
        </w:rPr>
        <w:t>IMT</w:t>
      </w:r>
      <w:r w:rsidR="00754429">
        <w:rPr>
          <w:lang w:val="fr-CH"/>
        </w:rPr>
        <w:t xml:space="preserve"> </w:t>
      </w:r>
      <w:r w:rsidRPr="00344477">
        <w:rPr>
          <w:lang w:val="fr-CH"/>
        </w:rPr>
        <w:t xml:space="preserve">(HIBS) </w:t>
      </w:r>
      <w:r w:rsidR="00344477">
        <w:rPr>
          <w:lang w:val="fr-CH"/>
        </w:rPr>
        <w:t>dans le service mobile dans les bandes de fréquences au-dessous de</w:t>
      </w:r>
      <w:r w:rsidR="00754429">
        <w:rPr>
          <w:lang w:val="fr-CH"/>
        </w:rPr>
        <w:t xml:space="preserve"> </w:t>
      </w:r>
      <w:r w:rsidRPr="00344477">
        <w:rPr>
          <w:lang w:val="fr-CH"/>
        </w:rPr>
        <w:t>2</w:t>
      </w:r>
      <w:r w:rsidR="00731EFE">
        <w:rPr>
          <w:lang w:val="fr-CH"/>
        </w:rPr>
        <w:t>,</w:t>
      </w:r>
      <w:r w:rsidRPr="00344477">
        <w:rPr>
          <w:lang w:val="fr-CH"/>
        </w:rPr>
        <w:t>7 GHz</w:t>
      </w:r>
      <w:r w:rsidR="00344477">
        <w:rPr>
          <w:lang w:val="fr-CH"/>
        </w:rPr>
        <w:t xml:space="preserve"> </w:t>
      </w:r>
      <w:r w:rsidR="00344477">
        <w:rPr>
          <w:color w:val="000000"/>
        </w:rPr>
        <w:t>pour élargir la connectivité mobile, en tirant parti de leur capacité de desservir des zones étendues avec un faible temps de latence;</w:t>
      </w:r>
    </w:p>
    <w:p w14:paraId="1F84ACE6" w14:textId="292AC09C" w:rsidR="00E101E7" w:rsidRPr="00BD078B" w:rsidRDefault="00E101E7" w:rsidP="00754429">
      <w:pPr>
        <w:rPr>
          <w:lang w:val="fr-CH"/>
        </w:rPr>
      </w:pPr>
      <w:r w:rsidRPr="00BD078B">
        <w:rPr>
          <w:i/>
          <w:lang w:val="fr-CH"/>
        </w:rPr>
        <w:t>c)</w:t>
      </w:r>
      <w:r w:rsidRPr="00BD078B">
        <w:rPr>
          <w:i/>
          <w:lang w:val="fr-CH"/>
        </w:rPr>
        <w:tab/>
      </w:r>
      <w:r w:rsidR="00344477" w:rsidRPr="00BD078B">
        <w:rPr>
          <w:color w:val="000000"/>
          <w:lang w:val="fr-CH"/>
        </w:rPr>
        <w:t xml:space="preserve">que </w:t>
      </w:r>
      <w:r w:rsidR="00BD078B" w:rsidRPr="00BD078B">
        <w:rPr>
          <w:color w:val="000000"/>
          <w:lang w:val="fr-CH"/>
        </w:rPr>
        <w:t xml:space="preserve">les </w:t>
      </w:r>
      <w:r w:rsidR="00344477" w:rsidRPr="00BD078B">
        <w:rPr>
          <w:color w:val="000000"/>
          <w:lang w:val="fr-CH"/>
        </w:rPr>
        <w:t>avancées techniques récentes</w:t>
      </w:r>
      <w:r w:rsidR="00344477" w:rsidRPr="00BD078B">
        <w:rPr>
          <w:lang w:val="fr-CH"/>
        </w:rPr>
        <w:t xml:space="preserve"> </w:t>
      </w:r>
      <w:r w:rsidRPr="00BD078B">
        <w:rPr>
          <w:lang w:val="fr-CH"/>
        </w:rPr>
        <w:t>(</w:t>
      </w:r>
      <w:r w:rsidR="00BD078B">
        <w:rPr>
          <w:color w:val="000000"/>
        </w:rPr>
        <w:t>dans les domaines</w:t>
      </w:r>
      <w:r w:rsidR="00754429">
        <w:rPr>
          <w:color w:val="000000"/>
        </w:rPr>
        <w:t xml:space="preserve"> </w:t>
      </w:r>
      <w:r w:rsidR="00BD078B">
        <w:rPr>
          <w:color w:val="000000"/>
        </w:rPr>
        <w:t>des batteries et des panneaux solaires, par exemple</w:t>
      </w:r>
      <w:r w:rsidRPr="00BD078B">
        <w:rPr>
          <w:lang w:val="fr-CH"/>
        </w:rPr>
        <w:t xml:space="preserve">) </w:t>
      </w:r>
      <w:r w:rsidR="00BD078B">
        <w:rPr>
          <w:color w:val="000000"/>
        </w:rPr>
        <w:t xml:space="preserve">permettent désormais de mettre en place des stations </w:t>
      </w:r>
      <w:r w:rsidRPr="00BD078B">
        <w:rPr>
          <w:lang w:val="fr-CH"/>
        </w:rPr>
        <w:t>HIBS</w:t>
      </w:r>
      <w:r w:rsidR="00D40075">
        <w:rPr>
          <w:lang w:val="fr-CH"/>
        </w:rPr>
        <w:t>;</w:t>
      </w:r>
    </w:p>
    <w:p w14:paraId="3FE9BB30" w14:textId="46650357" w:rsidR="00E101E7" w:rsidRPr="00BD078B" w:rsidRDefault="00E101E7" w:rsidP="00754429">
      <w:pPr>
        <w:rPr>
          <w:lang w:val="fr-CH"/>
        </w:rPr>
      </w:pPr>
      <w:r w:rsidRPr="00BD078B">
        <w:rPr>
          <w:i/>
          <w:lang w:val="fr-CH"/>
        </w:rPr>
        <w:t>d)</w:t>
      </w:r>
      <w:r w:rsidRPr="00BD078B">
        <w:rPr>
          <w:i/>
          <w:lang w:val="fr-CH"/>
        </w:rPr>
        <w:tab/>
      </w:r>
      <w:r w:rsidR="00BD078B" w:rsidRPr="00731EFE">
        <w:rPr>
          <w:iCs/>
          <w:lang w:val="fr-CH"/>
        </w:rPr>
        <w:t>que les</w:t>
      </w:r>
      <w:r w:rsidR="00BD078B" w:rsidRPr="00BD078B">
        <w:rPr>
          <w:i/>
          <w:lang w:val="fr-CH"/>
        </w:rPr>
        <w:t xml:space="preserve"> </w:t>
      </w:r>
      <w:r w:rsidR="00BD078B" w:rsidRPr="00BD078B">
        <w:rPr>
          <w:color w:val="000000"/>
          <w:lang w:val="fr-CH"/>
        </w:rPr>
        <w:t xml:space="preserve">stations </w:t>
      </w:r>
      <w:r w:rsidR="00BD078B" w:rsidRPr="00BD078B">
        <w:rPr>
          <w:lang w:val="fr-CH"/>
        </w:rPr>
        <w:t>HIBS peuvent être utilisées dans le cadre des réseaux IMT de Terre</w:t>
      </w:r>
      <w:r w:rsidR="00F4154F">
        <w:rPr>
          <w:lang w:val="fr-CH"/>
        </w:rPr>
        <w:t>,</w:t>
      </w:r>
      <w:r w:rsidR="00BD078B" w:rsidRPr="00BD078B">
        <w:rPr>
          <w:color w:val="000000"/>
        </w:rPr>
        <w:t xml:space="preserve"> </w:t>
      </w:r>
      <w:r w:rsidR="00BD078B">
        <w:rPr>
          <w:color w:val="000000"/>
        </w:rPr>
        <w:t>afin de permettre aux communautés mal desservies et aux habitants des zones rurales et isolées,</w:t>
      </w:r>
      <w:r w:rsidR="00754429">
        <w:rPr>
          <w:color w:val="000000"/>
        </w:rPr>
        <w:t xml:space="preserve"> </w:t>
      </w:r>
      <w:r w:rsidR="00F4154F">
        <w:rPr>
          <w:color w:val="000000"/>
        </w:rPr>
        <w:t>qu</w:t>
      </w:r>
      <w:r w:rsidR="007F49F0">
        <w:rPr>
          <w:color w:val="000000"/>
        </w:rPr>
        <w:t>'</w:t>
      </w:r>
      <w:r w:rsidR="00F4154F">
        <w:rPr>
          <w:color w:val="000000"/>
        </w:rPr>
        <w:t xml:space="preserve">il est difficile </w:t>
      </w:r>
      <w:r w:rsidR="00F4154F" w:rsidRPr="00F4154F">
        <w:rPr>
          <w:color w:val="000000"/>
        </w:rPr>
        <w:t xml:space="preserve">de desservir </w:t>
      </w:r>
      <w:r w:rsidR="00F4154F">
        <w:rPr>
          <w:color w:val="000000"/>
        </w:rPr>
        <w:t>à un coût raisonnable</w:t>
      </w:r>
      <w:r w:rsidR="00754429">
        <w:rPr>
          <w:color w:val="000000"/>
        </w:rPr>
        <w:t xml:space="preserve"> </w:t>
      </w:r>
      <w:r w:rsidR="00F4154F" w:rsidRPr="00F4154F">
        <w:rPr>
          <w:color w:val="000000"/>
        </w:rPr>
        <w:t>au</w:t>
      </w:r>
      <w:r w:rsidR="00754429">
        <w:rPr>
          <w:color w:val="000000"/>
        </w:rPr>
        <w:t xml:space="preserve"> </w:t>
      </w:r>
      <w:r w:rsidR="00F4154F">
        <w:rPr>
          <w:color w:val="000000"/>
        </w:rPr>
        <w:t>moyen de stations de base IMT au sol,</w:t>
      </w:r>
      <w:r w:rsidR="00754429">
        <w:rPr>
          <w:color w:val="000000"/>
        </w:rPr>
        <w:t xml:space="preserve"> </w:t>
      </w:r>
      <w:r w:rsidR="00BD078B">
        <w:rPr>
          <w:color w:val="000000"/>
        </w:rPr>
        <w:t>de bénéficier d'une connectivité mobile</w:t>
      </w:r>
      <w:r w:rsidR="00F4154F">
        <w:rPr>
          <w:color w:val="000000"/>
        </w:rPr>
        <w:t>;</w:t>
      </w:r>
    </w:p>
    <w:p w14:paraId="04BEECCB" w14:textId="2C3E0A2E" w:rsidR="00E101E7" w:rsidRPr="00D40075" w:rsidRDefault="00E101E7" w:rsidP="00754429">
      <w:pPr>
        <w:rPr>
          <w:iCs/>
          <w:lang w:val="fr-CH"/>
        </w:rPr>
      </w:pPr>
      <w:r w:rsidRPr="00D674BC">
        <w:rPr>
          <w:i/>
          <w:lang w:val="fr-CH"/>
        </w:rPr>
        <w:lastRenderedPageBreak/>
        <w:t>e)</w:t>
      </w:r>
      <w:r w:rsidRPr="00D674BC">
        <w:rPr>
          <w:i/>
          <w:lang w:val="fr-CH"/>
        </w:rPr>
        <w:tab/>
      </w:r>
      <w:r w:rsidR="00D674BC" w:rsidRPr="00D674BC">
        <w:rPr>
          <w:iCs/>
          <w:lang w:val="fr-CH"/>
        </w:rPr>
        <w:t>qu</w:t>
      </w:r>
      <w:r w:rsidR="007F49F0">
        <w:rPr>
          <w:iCs/>
          <w:lang w:val="fr-CH"/>
        </w:rPr>
        <w:t>'</w:t>
      </w:r>
      <w:r w:rsidR="00D674BC" w:rsidRPr="00D674BC">
        <w:rPr>
          <w:iCs/>
          <w:lang w:val="fr-CH"/>
        </w:rPr>
        <w:t>il est possible de connecter les terminaux d</w:t>
      </w:r>
      <w:r w:rsidR="007F49F0">
        <w:rPr>
          <w:iCs/>
          <w:lang w:val="fr-CH"/>
        </w:rPr>
        <w:t>'</w:t>
      </w:r>
      <w:r w:rsidR="00D674BC" w:rsidRPr="00D674BC">
        <w:rPr>
          <w:iCs/>
          <w:lang w:val="fr-CH"/>
        </w:rPr>
        <w:t xml:space="preserve">utilisateur aux stations </w:t>
      </w:r>
      <w:r w:rsidR="00D674BC" w:rsidRPr="00D674BC">
        <w:rPr>
          <w:lang w:val="fr-CH"/>
        </w:rPr>
        <w:t xml:space="preserve">HIBS </w:t>
      </w:r>
      <w:r w:rsidR="00D674BC" w:rsidRPr="00D674BC">
        <w:rPr>
          <w:iCs/>
          <w:lang w:val="fr-CH"/>
        </w:rPr>
        <w:t>ou aux stations de base IMT au sol</w:t>
      </w:r>
      <w:r w:rsidR="00D674BC" w:rsidRPr="00D674BC">
        <w:rPr>
          <w:i/>
          <w:lang w:val="fr-CH"/>
        </w:rPr>
        <w:t xml:space="preserve"> </w:t>
      </w:r>
      <w:r w:rsidR="00D674BC" w:rsidRPr="00D674BC">
        <w:rPr>
          <w:iCs/>
          <w:lang w:val="fr-CH"/>
        </w:rPr>
        <w:t xml:space="preserve">en utilisant les mêmes bandes de fréquences, moyennant un partage du spectre entre stations </w:t>
      </w:r>
      <w:r w:rsidR="00D674BC" w:rsidRPr="00D674BC">
        <w:rPr>
          <w:lang w:val="fr-CH"/>
        </w:rPr>
        <w:t xml:space="preserve">HIBS </w:t>
      </w:r>
      <w:r w:rsidR="00D674BC" w:rsidRPr="00D674BC">
        <w:rPr>
          <w:iCs/>
          <w:lang w:val="fr-CH"/>
        </w:rPr>
        <w:t>et stations de base IMT au sol;</w:t>
      </w:r>
    </w:p>
    <w:p w14:paraId="2B8EDEBF" w14:textId="63195DED" w:rsidR="00E101E7" w:rsidRPr="00D674BC" w:rsidRDefault="00E101E7" w:rsidP="00754429">
      <w:pPr>
        <w:rPr>
          <w:lang w:val="fr-CH"/>
        </w:rPr>
      </w:pPr>
      <w:r w:rsidRPr="00D674BC">
        <w:rPr>
          <w:i/>
          <w:lang w:val="fr-CH"/>
        </w:rPr>
        <w:t>f)</w:t>
      </w:r>
      <w:r w:rsidRPr="00D674BC">
        <w:rPr>
          <w:i/>
          <w:lang w:val="fr-CH"/>
        </w:rPr>
        <w:tab/>
      </w:r>
      <w:r w:rsidR="00D674BC">
        <w:rPr>
          <w:iCs/>
          <w:lang w:val="fr-CH"/>
        </w:rPr>
        <w:t>qu</w:t>
      </w:r>
      <w:r w:rsidR="007F49F0">
        <w:rPr>
          <w:iCs/>
          <w:lang w:val="fr-CH"/>
        </w:rPr>
        <w:t>'</w:t>
      </w:r>
      <w:r w:rsidR="00D674BC">
        <w:rPr>
          <w:iCs/>
          <w:lang w:val="fr-CH"/>
        </w:rPr>
        <w:t>un</w:t>
      </w:r>
      <w:r w:rsidR="00D674BC" w:rsidRPr="00D674BC">
        <w:rPr>
          <w:iCs/>
          <w:lang w:val="fr-CH"/>
        </w:rPr>
        <w:t xml:space="preserve"> grand nombre de réseaux IMT de Terre utilise</w:t>
      </w:r>
      <w:r w:rsidR="00D674BC">
        <w:rPr>
          <w:iCs/>
          <w:lang w:val="fr-CH"/>
        </w:rPr>
        <w:t>nt</w:t>
      </w:r>
      <w:r w:rsidR="00D674BC" w:rsidRPr="00D674BC">
        <w:rPr>
          <w:iCs/>
          <w:lang w:val="fr-CH"/>
        </w:rPr>
        <w:t xml:space="preserve"> plusieurs bandes de fréquences</w:t>
      </w:r>
      <w:r w:rsidR="00D674BC">
        <w:rPr>
          <w:iCs/>
          <w:lang w:val="fr-CH"/>
        </w:rPr>
        <w:t xml:space="preserve"> et que de ce fait, de nombreux terminaux d</w:t>
      </w:r>
      <w:r w:rsidR="007F49F0">
        <w:rPr>
          <w:iCs/>
          <w:lang w:val="fr-CH"/>
        </w:rPr>
        <w:t>'</w:t>
      </w:r>
      <w:r w:rsidR="00D674BC">
        <w:rPr>
          <w:iCs/>
          <w:lang w:val="fr-CH"/>
        </w:rPr>
        <w:t>utilisateur prennent en charge</w:t>
      </w:r>
      <w:r w:rsidR="00754429">
        <w:rPr>
          <w:iCs/>
          <w:lang w:val="fr-CH"/>
        </w:rPr>
        <w:t xml:space="preserve"> </w:t>
      </w:r>
      <w:r w:rsidR="00D674BC">
        <w:rPr>
          <w:iCs/>
          <w:lang w:val="fr-CH"/>
        </w:rPr>
        <w:t>plusieurs bandes;</w:t>
      </w:r>
    </w:p>
    <w:p w14:paraId="2304054D" w14:textId="16A75372" w:rsidR="00E101E7" w:rsidRPr="00304C0D" w:rsidRDefault="00E101E7" w:rsidP="00754429">
      <w:pPr>
        <w:rPr>
          <w:lang w:val="fr-CH"/>
        </w:rPr>
      </w:pPr>
      <w:r w:rsidRPr="00D674BC">
        <w:rPr>
          <w:i/>
          <w:lang w:val="fr-CH"/>
        </w:rPr>
        <w:t>g)</w:t>
      </w:r>
      <w:r w:rsidRPr="00D674BC">
        <w:rPr>
          <w:i/>
          <w:lang w:val="fr-CH"/>
        </w:rPr>
        <w:tab/>
      </w:r>
      <w:r w:rsidR="00D674BC">
        <w:rPr>
          <w:iCs/>
          <w:lang w:val="fr-CH"/>
        </w:rPr>
        <w:t>qu</w:t>
      </w:r>
      <w:r w:rsidR="007F49F0">
        <w:rPr>
          <w:iCs/>
          <w:lang w:val="fr-CH"/>
        </w:rPr>
        <w:t>'</w:t>
      </w:r>
      <w:r w:rsidR="00D674BC">
        <w:rPr>
          <w:iCs/>
          <w:lang w:val="fr-CH"/>
        </w:rPr>
        <w:t xml:space="preserve">étant donné que </w:t>
      </w:r>
      <w:r w:rsidR="00D674BC" w:rsidRPr="00D674BC">
        <w:rPr>
          <w:iCs/>
          <w:lang w:val="fr-CH"/>
        </w:rPr>
        <w:t xml:space="preserve">les caractéristiques techniques et opérationnelles </w:t>
      </w:r>
      <w:r w:rsidR="00D674BC">
        <w:rPr>
          <w:iCs/>
          <w:lang w:val="fr-CH"/>
        </w:rPr>
        <w:t xml:space="preserve">des </w:t>
      </w:r>
      <w:r w:rsidR="00D674BC" w:rsidRPr="00D674BC">
        <w:rPr>
          <w:iCs/>
          <w:lang w:val="fr-CH"/>
        </w:rPr>
        <w:t xml:space="preserve">stations </w:t>
      </w:r>
      <w:r w:rsidR="00D674BC" w:rsidRPr="00D674BC">
        <w:rPr>
          <w:lang w:val="fr-CH"/>
        </w:rPr>
        <w:t>HIBS</w:t>
      </w:r>
      <w:r w:rsidR="00D674BC">
        <w:rPr>
          <w:lang w:val="fr-CH"/>
        </w:rPr>
        <w:t xml:space="preserve"> d</w:t>
      </w:r>
      <w:r w:rsidR="00D40075">
        <w:rPr>
          <w:lang w:val="fr-CH"/>
        </w:rPr>
        <w:t>u</w:t>
      </w:r>
      <w:r w:rsidR="00D674BC">
        <w:rPr>
          <w:lang w:val="fr-CH"/>
        </w:rPr>
        <w:t xml:space="preserve"> service mobile</w:t>
      </w:r>
      <w:r w:rsidR="00D674BC" w:rsidRPr="00D674BC">
        <w:rPr>
          <w:lang w:val="fr-CH"/>
        </w:rPr>
        <w:t xml:space="preserve"> </w:t>
      </w:r>
      <w:r w:rsidR="00D674BC" w:rsidRPr="00D674BC">
        <w:rPr>
          <w:iCs/>
          <w:lang w:val="fr-CH"/>
        </w:rPr>
        <w:t>n'ont pas été définies</w:t>
      </w:r>
      <w:r w:rsidR="00D674BC">
        <w:rPr>
          <w:iCs/>
          <w:lang w:val="fr-CH"/>
        </w:rPr>
        <w:t>,</w:t>
      </w:r>
      <w:r w:rsidR="00D674BC" w:rsidRPr="00D674BC">
        <w:rPr>
          <w:iCs/>
          <w:lang w:val="fr-CH"/>
        </w:rPr>
        <w:t xml:space="preserve"> </w:t>
      </w:r>
      <w:r w:rsidR="00304C0D">
        <w:rPr>
          <w:iCs/>
          <w:lang w:val="fr-CH"/>
        </w:rPr>
        <w:t>ces caractéristiques doivent faire l</w:t>
      </w:r>
      <w:r w:rsidR="007F49F0">
        <w:rPr>
          <w:iCs/>
          <w:lang w:val="fr-CH"/>
        </w:rPr>
        <w:t>'</w:t>
      </w:r>
      <w:r w:rsidR="00304C0D">
        <w:rPr>
          <w:iCs/>
          <w:lang w:val="fr-CH"/>
        </w:rPr>
        <w:t>objet d</w:t>
      </w:r>
      <w:r w:rsidR="007F49F0">
        <w:rPr>
          <w:iCs/>
          <w:lang w:val="fr-CH"/>
        </w:rPr>
        <w:t>'</w:t>
      </w:r>
      <w:r w:rsidR="00304C0D">
        <w:rPr>
          <w:iCs/>
          <w:lang w:val="fr-CH"/>
        </w:rPr>
        <w:t>études;</w:t>
      </w:r>
    </w:p>
    <w:p w14:paraId="6C4C327D" w14:textId="6C8C5FCE" w:rsidR="00E101E7" w:rsidRPr="00304C0D" w:rsidRDefault="00E101E7" w:rsidP="00754429">
      <w:pPr>
        <w:rPr>
          <w:lang w:val="fr-CH"/>
        </w:rPr>
      </w:pPr>
      <w:r w:rsidRPr="00304C0D">
        <w:rPr>
          <w:i/>
          <w:lang w:val="fr-CH"/>
        </w:rPr>
        <w:t>h)</w:t>
      </w:r>
      <w:r w:rsidRPr="00304C0D">
        <w:rPr>
          <w:i/>
          <w:lang w:val="fr-CH"/>
        </w:rPr>
        <w:tab/>
      </w:r>
      <w:r w:rsidR="00304C0D" w:rsidRPr="00304C0D">
        <w:rPr>
          <w:lang w:val="fr-CH"/>
        </w:rPr>
        <w:t xml:space="preserve">que des brouillages transfrontières peuvent se produire lorsque des stations HIBS sont déployées </w:t>
      </w:r>
      <w:r w:rsidR="00304C0D">
        <w:rPr>
          <w:lang w:val="fr-CH"/>
        </w:rPr>
        <w:t>au moyen des mêmes bandes de fréquences et des bandes de fréquences adjacentes</w:t>
      </w:r>
      <w:r w:rsidRPr="00304C0D">
        <w:rPr>
          <w:lang w:val="fr-CH"/>
        </w:rPr>
        <w:t>;</w:t>
      </w:r>
    </w:p>
    <w:p w14:paraId="4239C53E" w14:textId="32C4802C" w:rsidR="00E101E7" w:rsidRPr="00304C0D" w:rsidRDefault="00E101E7" w:rsidP="00754429">
      <w:pPr>
        <w:rPr>
          <w:lang w:val="fr-CH"/>
        </w:rPr>
      </w:pPr>
      <w:r w:rsidRPr="00304C0D">
        <w:rPr>
          <w:i/>
          <w:lang w:val="fr-CH"/>
        </w:rPr>
        <w:t>i</w:t>
      </w:r>
      <w:r w:rsidRPr="00304C0D">
        <w:rPr>
          <w:lang w:val="fr-CH"/>
        </w:rPr>
        <w:t>)</w:t>
      </w:r>
      <w:r w:rsidRPr="00304C0D">
        <w:rPr>
          <w:lang w:val="fr-CH"/>
        </w:rPr>
        <w:tab/>
      </w:r>
      <w:r w:rsidR="00304C0D" w:rsidRPr="00304C0D">
        <w:rPr>
          <w:lang w:val="fr-CH"/>
        </w:rPr>
        <w:t xml:space="preserve">que des brouillages préjudiciables peuvent être causés au SMS (Terre vers espace) par des stations </w:t>
      </w:r>
      <w:r w:rsidRPr="00304C0D">
        <w:rPr>
          <w:lang w:val="fr-CH"/>
        </w:rPr>
        <w:t xml:space="preserve">HIBS </w:t>
      </w:r>
      <w:r w:rsidR="00304C0D" w:rsidRPr="00304C0D">
        <w:rPr>
          <w:lang w:val="fr-CH"/>
        </w:rPr>
        <w:t>déployées dans des pays autres que les pays</w:t>
      </w:r>
      <w:r w:rsidR="00304C0D">
        <w:rPr>
          <w:lang w:val="fr-CH"/>
        </w:rPr>
        <w:t xml:space="preserve"> voisins immédiats</w:t>
      </w:r>
      <w:r w:rsidR="00006E69">
        <w:rPr>
          <w:lang w:val="fr-CH"/>
        </w:rPr>
        <w:t xml:space="preserve"> et utilisant</w:t>
      </w:r>
      <w:r w:rsidR="00304C0D" w:rsidRPr="00304C0D">
        <w:rPr>
          <w:lang w:val="fr-CH"/>
        </w:rPr>
        <w:t xml:space="preserve"> </w:t>
      </w:r>
      <w:r w:rsidR="00006E69">
        <w:rPr>
          <w:lang w:val="fr-CH"/>
        </w:rPr>
        <w:t>les mêmes bandes de fréquences et les bandes de fréquences adjacentes</w:t>
      </w:r>
      <w:r w:rsidR="00BC05CE">
        <w:rPr>
          <w:lang w:val="fr-CH"/>
        </w:rPr>
        <w:t>;</w:t>
      </w:r>
    </w:p>
    <w:p w14:paraId="3D50C1A7" w14:textId="14717155" w:rsidR="00E101E7" w:rsidRPr="007C5397" w:rsidRDefault="00E101E7" w:rsidP="00754429">
      <w:pPr>
        <w:rPr>
          <w:lang w:val="fr-CH"/>
        </w:rPr>
      </w:pPr>
      <w:r w:rsidRPr="007C5397">
        <w:rPr>
          <w:i/>
          <w:lang w:val="fr-CH"/>
        </w:rPr>
        <w:t>j)</w:t>
      </w:r>
      <w:r w:rsidRPr="007C5397">
        <w:rPr>
          <w:lang w:val="fr-CH"/>
        </w:rPr>
        <w:tab/>
      </w:r>
      <w:r w:rsidR="007C5397" w:rsidRPr="007C5397">
        <w:rPr>
          <w:lang w:val="fr-CH"/>
        </w:rPr>
        <w:t xml:space="preserve"> que certaines administrations de la Région 3 utilisent certaines bandes de fréquences</w:t>
      </w:r>
      <w:r w:rsidR="00754429">
        <w:rPr>
          <w:lang w:val="fr-CH"/>
        </w:rPr>
        <w:t xml:space="preserve"> </w:t>
      </w:r>
      <w:r w:rsidR="007C5397" w:rsidRPr="007C5397">
        <w:rPr>
          <w:lang w:val="fr-CH"/>
        </w:rPr>
        <w:t>identifiées à l'échelle mondiale ou régionale pour les</w:t>
      </w:r>
      <w:r w:rsidR="00754429">
        <w:rPr>
          <w:lang w:val="fr-CH"/>
        </w:rPr>
        <w:t xml:space="preserve"> </w:t>
      </w:r>
      <w:r w:rsidRPr="007C5397">
        <w:rPr>
          <w:lang w:val="fr-CH"/>
        </w:rPr>
        <w:t>IMT</w:t>
      </w:r>
      <w:r w:rsidR="007C5397">
        <w:rPr>
          <w:lang w:val="fr-CH"/>
        </w:rPr>
        <w:t xml:space="preserve"> au-dessous de </w:t>
      </w:r>
      <w:r w:rsidRPr="007C5397">
        <w:rPr>
          <w:lang w:val="fr-CH"/>
        </w:rPr>
        <w:t>2</w:t>
      </w:r>
      <w:r w:rsidR="0078305E">
        <w:rPr>
          <w:lang w:val="fr-CH"/>
        </w:rPr>
        <w:t>,</w:t>
      </w:r>
      <w:r w:rsidRPr="007C5397">
        <w:rPr>
          <w:lang w:val="fr-CH"/>
        </w:rPr>
        <w:t>7 GHz</w:t>
      </w:r>
      <w:r w:rsidR="007C5397">
        <w:rPr>
          <w:lang w:val="fr-CH"/>
        </w:rPr>
        <w:t xml:space="preserve"> </w:t>
      </w:r>
      <w:r w:rsidR="007C5397" w:rsidRPr="007C5397">
        <w:rPr>
          <w:lang w:val="fr-CH"/>
        </w:rPr>
        <w:t>pour des systèmes d</w:t>
      </w:r>
      <w:r w:rsidR="007F49F0">
        <w:rPr>
          <w:lang w:val="fr-CH"/>
        </w:rPr>
        <w:t>'</w:t>
      </w:r>
      <w:r w:rsidR="007C5397" w:rsidRPr="007C5397">
        <w:rPr>
          <w:lang w:val="fr-CH"/>
        </w:rPr>
        <w:t>importance cruciale pour la réalisation de mission</w:t>
      </w:r>
      <w:r w:rsidR="007C5397">
        <w:rPr>
          <w:lang w:val="fr-CH"/>
        </w:rPr>
        <w:t>s, par exemple pour</w:t>
      </w:r>
      <w:r w:rsidR="007C5397" w:rsidRPr="007C5397">
        <w:rPr>
          <w:lang w:val="fr-CH"/>
        </w:rPr>
        <w:t xml:space="preserve"> la sécurité du public et les secours en cas de catastrophe</w:t>
      </w:r>
      <w:r w:rsidR="007C5397">
        <w:rPr>
          <w:lang w:val="fr-CH"/>
        </w:rPr>
        <w:t>,</w:t>
      </w:r>
      <w:r w:rsidRPr="007C5397">
        <w:rPr>
          <w:lang w:val="fr-CH"/>
        </w:rPr>
        <w:t xml:space="preserve"> </w:t>
      </w:r>
      <w:r w:rsidR="007C5397">
        <w:rPr>
          <w:lang w:val="fr-CH"/>
        </w:rPr>
        <w:t>et que ces services existants et leur développement à venir appellent une protection appropriée,</w:t>
      </w:r>
    </w:p>
    <w:p w14:paraId="5E21ED3F" w14:textId="096B41E3" w:rsidR="00E101E7" w:rsidRPr="00D674BC" w:rsidRDefault="007C5397" w:rsidP="00754429">
      <w:pPr>
        <w:pStyle w:val="Call"/>
        <w:rPr>
          <w:lang w:val="fr-CH"/>
        </w:rPr>
      </w:pPr>
      <w:proofErr w:type="gramStart"/>
      <w:r>
        <w:rPr>
          <w:lang w:val="fr-CH"/>
        </w:rPr>
        <w:t>reconnaissant</w:t>
      </w:r>
      <w:proofErr w:type="gramEnd"/>
      <w:r>
        <w:rPr>
          <w:lang w:val="fr-CH"/>
        </w:rPr>
        <w:t xml:space="preserve"> </w:t>
      </w:r>
    </w:p>
    <w:p w14:paraId="569771F6" w14:textId="7D3D2CCF" w:rsidR="00E101E7" w:rsidRPr="00EE2EFF" w:rsidRDefault="00E101E7" w:rsidP="00754429">
      <w:pPr>
        <w:rPr>
          <w:lang w:val="fr-CH"/>
        </w:rPr>
      </w:pPr>
      <w:r w:rsidRPr="00EE2EFF">
        <w:rPr>
          <w:i/>
          <w:iCs/>
          <w:lang w:val="fr-CH"/>
        </w:rPr>
        <w:t>a)</w:t>
      </w:r>
      <w:r w:rsidRPr="00EE2EFF">
        <w:rPr>
          <w:lang w:val="fr-CH"/>
        </w:rPr>
        <w:tab/>
      </w:r>
      <w:r w:rsidR="007C5397" w:rsidRPr="007C5397">
        <w:rPr>
          <w:color w:val="000000"/>
        </w:rPr>
        <w:t xml:space="preserve">qu'une station placée sur une plate-forme à haute altitude </w:t>
      </w:r>
      <w:r w:rsidR="008B1EF6">
        <w:rPr>
          <w:color w:val="000000"/>
        </w:rPr>
        <w:t xml:space="preserve">est définie au numéro </w:t>
      </w:r>
      <w:r w:rsidR="008B1EF6">
        <w:rPr>
          <w:b/>
          <w:bCs/>
          <w:color w:val="000000"/>
        </w:rPr>
        <w:t>1.66A</w:t>
      </w:r>
      <w:r w:rsidR="008B1EF6">
        <w:rPr>
          <w:color w:val="000000"/>
        </w:rPr>
        <w:t xml:space="preserve"> du Règlement des radiocommunications comme étant une station installée sur un objet placé à une altitude comprise entre 20 et 50 km et en un point spécifié, nominal, fixe par rapport à la Terre;</w:t>
      </w:r>
    </w:p>
    <w:p w14:paraId="0AFBCFAC" w14:textId="18746FD0" w:rsidR="00E101E7" w:rsidRPr="00794154" w:rsidRDefault="00E101E7" w:rsidP="00754429">
      <w:pPr>
        <w:rPr>
          <w:lang w:val="fr-CH"/>
        </w:rPr>
      </w:pPr>
      <w:r w:rsidRPr="00794154">
        <w:rPr>
          <w:i/>
          <w:lang w:val="fr-CH"/>
        </w:rPr>
        <w:t>b)</w:t>
      </w:r>
      <w:r w:rsidRPr="00794154">
        <w:rPr>
          <w:lang w:val="fr-CH"/>
        </w:rPr>
        <w:tab/>
      </w:r>
      <w:r w:rsidR="00794154" w:rsidRPr="00794154">
        <w:rPr>
          <w:lang w:val="fr-CH"/>
        </w:rPr>
        <w:t xml:space="preserve">que, conformément au numéro </w:t>
      </w:r>
      <w:r w:rsidR="00794154" w:rsidRPr="00D40075">
        <w:rPr>
          <w:b/>
          <w:bCs/>
          <w:lang w:val="fr-CH"/>
        </w:rPr>
        <w:t>4. 23</w:t>
      </w:r>
      <w:r w:rsidR="00794154" w:rsidRPr="00794154">
        <w:rPr>
          <w:lang w:val="fr-CH"/>
        </w:rPr>
        <w:t xml:space="preserve">, </w:t>
      </w:r>
      <w:r w:rsidR="00794154">
        <w:rPr>
          <w:lang w:val="fr-CH"/>
        </w:rPr>
        <w:t>l</w:t>
      </w:r>
      <w:r w:rsidR="00794154" w:rsidRPr="00794154">
        <w:rPr>
          <w:lang w:val="fr-CH"/>
        </w:rPr>
        <w:t xml:space="preserve">es émissions à destination ou en provenance de stations placées sur des plates-formes à haute altitude doivent être limitées aux bandes expressément identifiées dans l'Article </w:t>
      </w:r>
      <w:r w:rsidR="00794154" w:rsidRPr="001C597D">
        <w:rPr>
          <w:b/>
          <w:bCs/>
          <w:lang w:val="fr-CH"/>
        </w:rPr>
        <w:t>5</w:t>
      </w:r>
      <w:r w:rsidRPr="00794154">
        <w:rPr>
          <w:lang w:val="fr-CH"/>
        </w:rPr>
        <w:t>;</w:t>
      </w:r>
    </w:p>
    <w:p w14:paraId="795AC323" w14:textId="19E594B8" w:rsidR="00E101E7" w:rsidRPr="00AA277F" w:rsidRDefault="00E101E7" w:rsidP="00754429">
      <w:pPr>
        <w:rPr>
          <w:lang w:val="fr-CH"/>
        </w:rPr>
      </w:pPr>
      <w:r w:rsidRPr="00AA277F">
        <w:rPr>
          <w:i/>
          <w:iCs/>
          <w:lang w:val="fr-CH"/>
        </w:rPr>
        <w:t>c)</w:t>
      </w:r>
      <w:r w:rsidRPr="00AA277F">
        <w:rPr>
          <w:lang w:val="fr-CH"/>
        </w:rPr>
        <w:tab/>
      </w:r>
      <w:r w:rsidR="00AA277F" w:rsidRPr="00AA277F">
        <w:rPr>
          <w:lang w:val="fr-CH"/>
        </w:rPr>
        <w:t>que</w:t>
      </w:r>
      <w:r w:rsidR="00D40075">
        <w:rPr>
          <w:lang w:val="fr-CH"/>
        </w:rPr>
        <w:t xml:space="preserve"> </w:t>
      </w:r>
      <w:r w:rsidR="00AA277F" w:rsidRPr="00AA277F">
        <w:rPr>
          <w:lang w:val="fr-CH"/>
        </w:rPr>
        <w:t xml:space="preserve">les bandes 1 885-1 980 MHz, 2 010-2 025 MHz et 2 110-2 170 MHz dans les Régions 1 et 3 et les bandes 1 885-1 980 MHz et 2 110-2 160 MHz dans la Région 2 sont identifiées au numéro </w:t>
      </w:r>
      <w:r w:rsidR="00AA277F" w:rsidRPr="001C597D">
        <w:rPr>
          <w:b/>
          <w:bCs/>
          <w:lang w:val="fr-CH"/>
        </w:rPr>
        <w:t>5.388A</w:t>
      </w:r>
      <w:r w:rsidR="00AA277F" w:rsidRPr="00AA277F">
        <w:rPr>
          <w:lang w:val="fr-CH"/>
        </w:rPr>
        <w:t xml:space="preserve"> du RR pour les stations HIBS et peuvent être utilisé</w:t>
      </w:r>
      <w:r w:rsidR="00AA277F">
        <w:rPr>
          <w:lang w:val="fr-CH"/>
        </w:rPr>
        <w:t>es</w:t>
      </w:r>
      <w:r w:rsidR="00AA277F" w:rsidRPr="00AA277F">
        <w:rPr>
          <w:lang w:val="fr-CH"/>
        </w:rPr>
        <w:t xml:space="preserve"> conformément à la Résolution </w:t>
      </w:r>
      <w:r w:rsidR="00AA277F" w:rsidRPr="004B1DCC">
        <w:rPr>
          <w:b/>
          <w:bCs/>
          <w:lang w:val="fr-CH"/>
        </w:rPr>
        <w:t>221</w:t>
      </w:r>
      <w:r w:rsidR="00754429">
        <w:rPr>
          <w:lang w:val="fr-CH"/>
        </w:rPr>
        <w:t xml:space="preserve"> </w:t>
      </w:r>
      <w:r w:rsidRPr="00AA277F">
        <w:rPr>
          <w:b/>
          <w:lang w:val="fr-CH"/>
        </w:rPr>
        <w:t>(</w:t>
      </w:r>
      <w:r w:rsidR="00AA277F">
        <w:rPr>
          <w:b/>
          <w:lang w:val="fr-CH"/>
        </w:rPr>
        <w:t>Rév</w:t>
      </w:r>
      <w:r w:rsidRPr="00AA277F">
        <w:rPr>
          <w:b/>
          <w:lang w:val="fr-CH"/>
        </w:rPr>
        <w:t>.</w:t>
      </w:r>
      <w:r w:rsidR="001A193E" w:rsidRPr="00AA277F">
        <w:rPr>
          <w:b/>
          <w:lang w:val="fr-CH"/>
        </w:rPr>
        <w:t>CMR</w:t>
      </w:r>
      <w:r w:rsidRPr="00AA277F">
        <w:rPr>
          <w:b/>
          <w:lang w:val="fr-CH"/>
        </w:rPr>
        <w:t>-07)</w:t>
      </w:r>
      <w:r w:rsidRPr="00AA277F">
        <w:rPr>
          <w:lang w:val="fr-CH"/>
        </w:rPr>
        <w:t>;</w:t>
      </w:r>
    </w:p>
    <w:p w14:paraId="29FD04C3" w14:textId="487573C0" w:rsidR="00E101E7" w:rsidRPr="00EE2EFF" w:rsidRDefault="00E101E7" w:rsidP="00754429">
      <w:pPr>
        <w:rPr>
          <w:i/>
          <w:lang w:val="fr-CH"/>
        </w:rPr>
      </w:pPr>
      <w:r w:rsidRPr="00EE2EFF">
        <w:rPr>
          <w:i/>
          <w:lang w:val="fr-CH"/>
        </w:rPr>
        <w:t>d)</w:t>
      </w:r>
      <w:r w:rsidRPr="00EE2EFF">
        <w:rPr>
          <w:i/>
          <w:lang w:val="fr-CH"/>
        </w:rPr>
        <w:tab/>
      </w:r>
      <w:r w:rsidR="008B1EF6">
        <w:rPr>
          <w:color w:val="000000"/>
        </w:rPr>
        <w:t>que</w:t>
      </w:r>
      <w:r w:rsidR="00AA277F">
        <w:rPr>
          <w:color w:val="000000"/>
        </w:rPr>
        <w:t>,</w:t>
      </w:r>
      <w:r w:rsidR="00AA277F" w:rsidRPr="00AA277F">
        <w:rPr>
          <w:rFonts w:eastAsia="BatangChe"/>
          <w:b/>
          <w:lang w:val="fr-CH" w:eastAsia="ko-KR"/>
        </w:rPr>
        <w:t xml:space="preserve"> </w:t>
      </w:r>
      <w:r w:rsidR="00AA277F" w:rsidRPr="00794154">
        <w:rPr>
          <w:lang w:val="fr-CH"/>
        </w:rPr>
        <w:t xml:space="preserve">conformément au numéro </w:t>
      </w:r>
      <w:r w:rsidR="00AA277F" w:rsidRPr="00AA277F">
        <w:rPr>
          <w:rFonts w:eastAsia="BatangChe"/>
          <w:b/>
          <w:lang w:val="fr-CH" w:eastAsia="ko-KR"/>
        </w:rPr>
        <w:t>5.388A</w:t>
      </w:r>
      <w:r w:rsidR="00AA277F">
        <w:rPr>
          <w:rFonts w:eastAsia="BatangChe"/>
          <w:b/>
          <w:lang w:val="fr-CH" w:eastAsia="ko-KR"/>
        </w:rPr>
        <w:t>,</w:t>
      </w:r>
      <w:r w:rsidR="00AA277F">
        <w:rPr>
          <w:color w:val="000000"/>
        </w:rPr>
        <w:t xml:space="preserve"> l</w:t>
      </w:r>
      <w:r w:rsidR="007F49F0">
        <w:rPr>
          <w:color w:val="000000"/>
        </w:rPr>
        <w:t>'</w:t>
      </w:r>
      <w:r w:rsidR="00AA277F">
        <w:rPr>
          <w:color w:val="000000"/>
        </w:rPr>
        <w:t xml:space="preserve">utilisation des bandes de fréquences visées au point </w:t>
      </w:r>
      <w:r w:rsidR="00AA277F" w:rsidRPr="001C597D">
        <w:rPr>
          <w:i/>
          <w:iCs/>
          <w:color w:val="000000"/>
        </w:rPr>
        <w:t xml:space="preserve">c) </w:t>
      </w:r>
      <w:r w:rsidR="00AA277F" w:rsidRPr="0078305E">
        <w:rPr>
          <w:color w:val="000000"/>
        </w:rPr>
        <w:t>du</w:t>
      </w:r>
      <w:r w:rsidR="00AA277F" w:rsidRPr="001C597D">
        <w:rPr>
          <w:i/>
          <w:iCs/>
          <w:color w:val="000000"/>
        </w:rPr>
        <w:t xml:space="preserve"> reconnaissant</w:t>
      </w:r>
      <w:r w:rsidR="00AA277F">
        <w:rPr>
          <w:color w:val="000000"/>
        </w:rPr>
        <w:t xml:space="preserve"> ci-dessus </w:t>
      </w:r>
      <w:r w:rsidR="008B1EF6">
        <w:rPr>
          <w:color w:val="000000"/>
        </w:rPr>
        <w:t>par des applications IMT qui emploient des stations</w:t>
      </w:r>
      <w:r w:rsidR="00AA277F" w:rsidRPr="00AA277F">
        <w:rPr>
          <w:lang w:val="fr-CH"/>
        </w:rPr>
        <w:t xml:space="preserve"> </w:t>
      </w:r>
      <w:r w:rsidR="00AA277F" w:rsidRPr="00794154">
        <w:rPr>
          <w:lang w:val="fr-CH"/>
        </w:rPr>
        <w:t xml:space="preserve">placées sur des plates-formes à haute altitude </w:t>
      </w:r>
      <w:r w:rsidR="008B1EF6">
        <w:rPr>
          <w:color w:val="000000"/>
        </w:rPr>
        <w:t>comme stations de base n'exclut pas l'utilisation de ces bandes par toute station des services auxquels elles sont attribuées et n'établit pas de priorité dans le Règlement des radiocommunications;</w:t>
      </w:r>
    </w:p>
    <w:p w14:paraId="6AAC67CE" w14:textId="38E56E33" w:rsidR="00E101E7" w:rsidRPr="00A40E6D" w:rsidRDefault="00E101E7" w:rsidP="00754429">
      <w:pPr>
        <w:rPr>
          <w:i/>
          <w:lang w:val="fr-CH"/>
        </w:rPr>
      </w:pPr>
      <w:r w:rsidRPr="00A40E6D">
        <w:rPr>
          <w:i/>
          <w:lang w:val="fr-CH"/>
        </w:rPr>
        <w:t>e)</w:t>
      </w:r>
      <w:r w:rsidRPr="00A40E6D">
        <w:rPr>
          <w:i/>
          <w:lang w:val="fr-CH"/>
        </w:rPr>
        <w:tab/>
      </w:r>
      <w:r w:rsidR="00AA277F" w:rsidRPr="00A40E6D">
        <w:rPr>
          <w:lang w:val="fr-CH"/>
        </w:rPr>
        <w:t>que la</w:t>
      </w:r>
      <w:r w:rsidRPr="00A40E6D">
        <w:rPr>
          <w:lang w:val="fr-CH"/>
        </w:rPr>
        <w:t xml:space="preserve"> </w:t>
      </w:r>
      <w:r w:rsidR="00C035A3" w:rsidRPr="00A40E6D">
        <w:rPr>
          <w:lang w:val="fr-CH"/>
        </w:rPr>
        <w:t>Résolution</w:t>
      </w:r>
      <w:r w:rsidRPr="00A40E6D">
        <w:rPr>
          <w:lang w:val="fr-CH"/>
        </w:rPr>
        <w:t xml:space="preserve"> </w:t>
      </w:r>
      <w:r w:rsidRPr="00A40E6D">
        <w:rPr>
          <w:b/>
          <w:lang w:val="fr-CH"/>
        </w:rPr>
        <w:t>221 (</w:t>
      </w:r>
      <w:r w:rsidR="00AA277F" w:rsidRPr="00A40E6D">
        <w:rPr>
          <w:b/>
          <w:lang w:val="fr-CH"/>
        </w:rPr>
        <w:t>Rév</w:t>
      </w:r>
      <w:r w:rsidRPr="00A40E6D">
        <w:rPr>
          <w:b/>
          <w:lang w:val="fr-CH"/>
        </w:rPr>
        <w:t>.</w:t>
      </w:r>
      <w:r w:rsidR="001A193E" w:rsidRPr="00A40E6D">
        <w:rPr>
          <w:b/>
          <w:lang w:val="fr-CH"/>
        </w:rPr>
        <w:t>CMR</w:t>
      </w:r>
      <w:r w:rsidRPr="00A40E6D">
        <w:rPr>
          <w:b/>
          <w:lang w:val="fr-CH"/>
        </w:rPr>
        <w:t xml:space="preserve">-07) </w:t>
      </w:r>
      <w:r w:rsidR="00AA277F" w:rsidRPr="00A40E6D">
        <w:rPr>
          <w:bCs/>
          <w:lang w:val="fr-CH"/>
        </w:rPr>
        <w:t>définit les conditions techniques que doivent respecter les stations</w:t>
      </w:r>
      <w:r w:rsidRPr="00A40E6D">
        <w:rPr>
          <w:lang w:val="fr-CH"/>
        </w:rPr>
        <w:t xml:space="preserve"> HIBS </w:t>
      </w:r>
      <w:r w:rsidR="00A40E6D" w:rsidRPr="00A40E6D">
        <w:rPr>
          <w:lang w:val="fr-CH"/>
        </w:rPr>
        <w:t>pour assurer la protection des stations IMT au sol dans les pays voisins</w:t>
      </w:r>
      <w:r w:rsidR="001C597D">
        <w:rPr>
          <w:lang w:val="fr-CH"/>
        </w:rPr>
        <w:t xml:space="preserve"> ainsi que des autres services</w:t>
      </w:r>
      <w:r w:rsidR="00A40E6D">
        <w:rPr>
          <w:lang w:val="fr-CH"/>
        </w:rPr>
        <w:t>,</w:t>
      </w:r>
      <w:r w:rsidR="00A40E6D" w:rsidRPr="00A40E6D">
        <w:t xml:space="preserve"> </w:t>
      </w:r>
      <w:r w:rsidR="00A40E6D" w:rsidRPr="00A40E6D">
        <w:rPr>
          <w:lang w:val="fr-CH"/>
        </w:rPr>
        <w:t>compte tenu des études de partage et de compatibilité</w:t>
      </w:r>
      <w:r w:rsidR="00A40E6D">
        <w:rPr>
          <w:lang w:val="fr-CH"/>
        </w:rPr>
        <w:t xml:space="preserve"> avec les </w:t>
      </w:r>
      <w:r w:rsidRPr="00A40E6D">
        <w:rPr>
          <w:lang w:val="fr-CH"/>
        </w:rPr>
        <w:t>IMT</w:t>
      </w:r>
      <w:r w:rsidR="001C597D">
        <w:rPr>
          <w:lang w:val="fr-CH"/>
        </w:rPr>
        <w:noBreakHyphen/>
      </w:r>
      <w:r w:rsidRPr="00A40E6D">
        <w:rPr>
          <w:lang w:val="fr-CH"/>
        </w:rPr>
        <w:t>2000;</w:t>
      </w:r>
    </w:p>
    <w:p w14:paraId="7317482A" w14:textId="59BE37F7" w:rsidR="00E101E7" w:rsidRPr="00BC577D" w:rsidRDefault="00E101E7" w:rsidP="00754429">
      <w:pPr>
        <w:rPr>
          <w:i/>
          <w:lang w:val="fr-CH"/>
        </w:rPr>
      </w:pPr>
      <w:r w:rsidRPr="00BC577D">
        <w:rPr>
          <w:i/>
          <w:lang w:val="fr-CH"/>
        </w:rPr>
        <w:t>f)</w:t>
      </w:r>
      <w:r w:rsidR="00D40075">
        <w:rPr>
          <w:i/>
          <w:lang w:val="fr-CH"/>
        </w:rPr>
        <w:tab/>
      </w:r>
      <w:r w:rsidR="00BC577D" w:rsidRPr="00BC577D">
        <w:rPr>
          <w:lang w:val="fr-CH"/>
        </w:rPr>
        <w:t>que certaines bandes de fréquences au-dessous de</w:t>
      </w:r>
      <w:r w:rsidR="00BC577D">
        <w:rPr>
          <w:lang w:val="fr-CH"/>
        </w:rPr>
        <w:t xml:space="preserve"> </w:t>
      </w:r>
      <w:r w:rsidR="00BC577D" w:rsidRPr="00BC577D">
        <w:rPr>
          <w:lang w:val="fr-CH"/>
        </w:rPr>
        <w:t>2</w:t>
      </w:r>
      <w:r w:rsidR="0078305E">
        <w:rPr>
          <w:lang w:val="fr-CH"/>
        </w:rPr>
        <w:t>,</w:t>
      </w:r>
      <w:r w:rsidR="00BC577D" w:rsidRPr="00BC577D">
        <w:rPr>
          <w:lang w:val="fr-CH"/>
        </w:rPr>
        <w:t>7 GHz sont identifiées pour les IMT conformément au</w:t>
      </w:r>
      <w:r w:rsidR="00BC577D">
        <w:rPr>
          <w:lang w:val="fr-CH"/>
        </w:rPr>
        <w:t>x</w:t>
      </w:r>
      <w:r w:rsidR="00BC577D" w:rsidRPr="00BC577D">
        <w:rPr>
          <w:lang w:val="fr-CH"/>
        </w:rPr>
        <w:t xml:space="preserve"> numéro</w:t>
      </w:r>
      <w:r w:rsidR="00BC577D">
        <w:rPr>
          <w:lang w:val="fr-CH"/>
        </w:rPr>
        <w:t>s</w:t>
      </w:r>
      <w:r w:rsidR="00BC577D" w:rsidRPr="00BC577D">
        <w:rPr>
          <w:lang w:val="fr-CH"/>
        </w:rPr>
        <w:t xml:space="preserve"> </w:t>
      </w:r>
      <w:r w:rsidR="00BC577D" w:rsidRPr="00BC577D">
        <w:rPr>
          <w:b/>
          <w:lang w:val="fr-CH"/>
        </w:rPr>
        <w:t>5.286AA</w:t>
      </w:r>
      <w:r w:rsidR="00BC577D" w:rsidRPr="00BC577D">
        <w:rPr>
          <w:lang w:val="fr-CH"/>
        </w:rPr>
        <w:t xml:space="preserve">, </w:t>
      </w:r>
      <w:r w:rsidR="00BC577D" w:rsidRPr="00BC577D">
        <w:rPr>
          <w:b/>
          <w:lang w:val="fr-CH"/>
        </w:rPr>
        <w:t>5.295</w:t>
      </w:r>
      <w:r w:rsidR="00BC577D" w:rsidRPr="00BC577D">
        <w:rPr>
          <w:lang w:val="fr-CH"/>
        </w:rPr>
        <w:t xml:space="preserve">, </w:t>
      </w:r>
      <w:r w:rsidR="00BC577D" w:rsidRPr="00BC577D">
        <w:rPr>
          <w:b/>
          <w:lang w:val="fr-CH"/>
        </w:rPr>
        <w:t>5.296A</w:t>
      </w:r>
      <w:r w:rsidR="00BC577D" w:rsidRPr="00BC577D">
        <w:rPr>
          <w:lang w:val="fr-CH"/>
        </w:rPr>
        <w:t xml:space="preserve">, </w:t>
      </w:r>
      <w:r w:rsidR="00BC577D" w:rsidRPr="00BC577D">
        <w:rPr>
          <w:b/>
          <w:lang w:val="fr-CH"/>
        </w:rPr>
        <w:t>5.308A</w:t>
      </w:r>
      <w:r w:rsidR="00BC577D" w:rsidRPr="00BC577D">
        <w:rPr>
          <w:lang w:val="fr-CH"/>
        </w:rPr>
        <w:t xml:space="preserve">, </w:t>
      </w:r>
      <w:r w:rsidR="00BC577D" w:rsidRPr="00BC577D">
        <w:rPr>
          <w:b/>
          <w:lang w:val="fr-CH"/>
        </w:rPr>
        <w:t>5.313A</w:t>
      </w:r>
      <w:r w:rsidR="00BC577D" w:rsidRPr="00BC577D">
        <w:rPr>
          <w:lang w:val="fr-CH"/>
        </w:rPr>
        <w:t xml:space="preserve">, </w:t>
      </w:r>
      <w:r w:rsidR="00BC577D" w:rsidRPr="00BC577D">
        <w:rPr>
          <w:b/>
          <w:lang w:val="fr-CH"/>
        </w:rPr>
        <w:t>5.317A</w:t>
      </w:r>
      <w:r w:rsidR="00BC577D" w:rsidRPr="00BC577D">
        <w:rPr>
          <w:lang w:val="fr-CH"/>
        </w:rPr>
        <w:t xml:space="preserve">, </w:t>
      </w:r>
      <w:r w:rsidR="00BC577D" w:rsidRPr="00BC577D">
        <w:rPr>
          <w:b/>
          <w:lang w:val="fr-CH"/>
        </w:rPr>
        <w:t>5.341A</w:t>
      </w:r>
      <w:r w:rsidR="00BC577D" w:rsidRPr="00BC577D">
        <w:rPr>
          <w:lang w:val="fr-CH"/>
        </w:rPr>
        <w:t xml:space="preserve">, </w:t>
      </w:r>
      <w:r w:rsidR="00BC577D" w:rsidRPr="00BC577D">
        <w:rPr>
          <w:b/>
          <w:lang w:val="fr-CH"/>
        </w:rPr>
        <w:t>5.341B</w:t>
      </w:r>
      <w:r w:rsidR="00BC577D" w:rsidRPr="00BC577D">
        <w:rPr>
          <w:lang w:val="fr-CH"/>
        </w:rPr>
        <w:t xml:space="preserve">, </w:t>
      </w:r>
      <w:r w:rsidR="00BC577D" w:rsidRPr="00BC577D">
        <w:rPr>
          <w:b/>
          <w:lang w:val="fr-CH"/>
        </w:rPr>
        <w:t>5.341C</w:t>
      </w:r>
      <w:r w:rsidR="00BC577D" w:rsidRPr="00BC577D">
        <w:rPr>
          <w:lang w:val="fr-CH"/>
        </w:rPr>
        <w:t xml:space="preserve">, </w:t>
      </w:r>
      <w:r w:rsidR="00BC577D" w:rsidRPr="00BC577D">
        <w:rPr>
          <w:b/>
          <w:lang w:val="fr-CH"/>
        </w:rPr>
        <w:t>5.346</w:t>
      </w:r>
      <w:r w:rsidR="00BC577D" w:rsidRPr="00BC577D">
        <w:rPr>
          <w:lang w:val="fr-CH"/>
        </w:rPr>
        <w:t xml:space="preserve">, </w:t>
      </w:r>
      <w:r w:rsidR="00BC577D" w:rsidRPr="00BC577D">
        <w:rPr>
          <w:b/>
          <w:lang w:val="fr-CH"/>
        </w:rPr>
        <w:t>5.346A</w:t>
      </w:r>
      <w:r w:rsidR="00BC577D" w:rsidRPr="00BC577D">
        <w:rPr>
          <w:lang w:val="fr-CH"/>
        </w:rPr>
        <w:t xml:space="preserve">, </w:t>
      </w:r>
      <w:r w:rsidR="00BC577D" w:rsidRPr="00BC577D">
        <w:rPr>
          <w:b/>
          <w:lang w:val="fr-CH"/>
        </w:rPr>
        <w:t>5.384A</w:t>
      </w:r>
      <w:r w:rsidR="00BC577D" w:rsidRPr="00BC577D">
        <w:rPr>
          <w:lang w:val="fr-CH"/>
        </w:rPr>
        <w:t xml:space="preserve"> </w:t>
      </w:r>
      <w:r w:rsidR="00BC577D">
        <w:rPr>
          <w:lang w:val="fr-CH"/>
        </w:rPr>
        <w:t xml:space="preserve">et </w:t>
      </w:r>
      <w:r w:rsidR="00BC577D" w:rsidRPr="00BC577D">
        <w:rPr>
          <w:b/>
          <w:lang w:val="fr-CH"/>
        </w:rPr>
        <w:t xml:space="preserve">5.388 </w:t>
      </w:r>
      <w:r w:rsidR="00BC577D" w:rsidRPr="00BC577D">
        <w:rPr>
          <w:lang w:val="fr-CH"/>
        </w:rPr>
        <w:t xml:space="preserve">du Règlement des </w:t>
      </w:r>
      <w:r w:rsidR="00BC577D">
        <w:rPr>
          <w:lang w:val="fr-CH"/>
        </w:rPr>
        <w:t>radiocommunications,</w:t>
      </w:r>
    </w:p>
    <w:p w14:paraId="5F385689" w14:textId="7659EB28" w:rsidR="00E101E7" w:rsidRPr="004D2E9E" w:rsidRDefault="00E901DC" w:rsidP="00754429">
      <w:pPr>
        <w:pStyle w:val="Call"/>
        <w:rPr>
          <w:lang w:val="fr-CH"/>
        </w:rPr>
      </w:pPr>
      <w:proofErr w:type="gramStart"/>
      <w:r w:rsidRPr="004D2E9E">
        <w:rPr>
          <w:lang w:val="fr-CH"/>
        </w:rPr>
        <w:t>décide</w:t>
      </w:r>
      <w:proofErr w:type="gramEnd"/>
      <w:r w:rsidRPr="004D2E9E">
        <w:rPr>
          <w:lang w:val="fr-CH"/>
        </w:rPr>
        <w:t xml:space="preserve"> d</w:t>
      </w:r>
      <w:r w:rsidR="007F49F0">
        <w:rPr>
          <w:lang w:val="fr-CH"/>
        </w:rPr>
        <w:t>'</w:t>
      </w:r>
      <w:r w:rsidRPr="004D2E9E">
        <w:rPr>
          <w:lang w:val="fr-CH"/>
        </w:rPr>
        <w:t>inviter</w:t>
      </w:r>
      <w:r w:rsidR="00E101E7" w:rsidRPr="004D2E9E">
        <w:rPr>
          <w:lang w:val="fr-CH"/>
        </w:rPr>
        <w:t xml:space="preserve"> </w:t>
      </w:r>
      <w:r w:rsidRPr="004D2E9E">
        <w:rPr>
          <w:lang w:val="fr-CH"/>
        </w:rPr>
        <w:t>l</w:t>
      </w:r>
      <w:r w:rsidR="007F49F0">
        <w:rPr>
          <w:lang w:val="fr-CH"/>
        </w:rPr>
        <w:t>'</w:t>
      </w:r>
      <w:r w:rsidR="001A193E" w:rsidRPr="004D2E9E">
        <w:rPr>
          <w:lang w:val="fr-CH"/>
        </w:rPr>
        <w:t>UIT</w:t>
      </w:r>
      <w:r w:rsidR="00E101E7" w:rsidRPr="004D2E9E">
        <w:rPr>
          <w:lang w:val="fr-CH"/>
        </w:rPr>
        <w:t>-R</w:t>
      </w:r>
    </w:p>
    <w:p w14:paraId="0F5CB989" w14:textId="54C159B1" w:rsidR="00E101E7" w:rsidRPr="004D2E9E" w:rsidRDefault="00E101E7" w:rsidP="00754429">
      <w:pPr>
        <w:rPr>
          <w:lang w:val="fr-CH"/>
        </w:rPr>
      </w:pPr>
      <w:r w:rsidRPr="004D2E9E">
        <w:rPr>
          <w:rFonts w:hint="eastAsia"/>
          <w:lang w:val="fr-CH"/>
        </w:rPr>
        <w:t>1</w:t>
      </w:r>
      <w:r w:rsidRPr="004D2E9E">
        <w:rPr>
          <w:lang w:val="fr-CH"/>
        </w:rPr>
        <w:tab/>
      </w:r>
      <w:r w:rsidR="004D2E9E" w:rsidRPr="004D2E9E">
        <w:rPr>
          <w:lang w:val="fr-CH"/>
        </w:rPr>
        <w:t>à étudier les besoins de spectre, selon qu</w:t>
      </w:r>
      <w:r w:rsidR="007F49F0">
        <w:rPr>
          <w:lang w:val="fr-CH"/>
        </w:rPr>
        <w:t>'</w:t>
      </w:r>
      <w:r w:rsidR="004D2E9E" w:rsidRPr="004D2E9E">
        <w:rPr>
          <w:lang w:val="fr-CH"/>
        </w:rPr>
        <w:t xml:space="preserve">il conviendra, des stations </w:t>
      </w:r>
      <w:r w:rsidRPr="004D2E9E">
        <w:rPr>
          <w:lang w:val="fr-CH"/>
        </w:rPr>
        <w:t>HIBS</w:t>
      </w:r>
      <w:r w:rsidR="004D2E9E">
        <w:rPr>
          <w:lang w:val="fr-CH"/>
        </w:rPr>
        <w:t xml:space="preserve"> pour assurer une connectivité mobile dans le service mobile, compte tenu:</w:t>
      </w:r>
    </w:p>
    <w:p w14:paraId="294C26F7" w14:textId="2898ED8C" w:rsidR="00995AEB" w:rsidRPr="00995AEB" w:rsidRDefault="00995AEB" w:rsidP="00995AEB">
      <w:pPr>
        <w:pStyle w:val="enumlev1"/>
      </w:pPr>
      <w:r>
        <w:t>–</w:t>
      </w:r>
      <w:r>
        <w:tab/>
      </w:r>
      <w:r w:rsidR="004D2E9E" w:rsidRPr="00995AEB">
        <w:t>de l</w:t>
      </w:r>
      <w:r w:rsidR="007F49F0" w:rsidRPr="00995AEB">
        <w:t>'</w:t>
      </w:r>
      <w:r w:rsidR="004D2E9E" w:rsidRPr="00995AEB">
        <w:t xml:space="preserve">identification existante </w:t>
      </w:r>
      <w:r w:rsidR="001C597D" w:rsidRPr="00995AEB">
        <w:t xml:space="preserve">figurant </w:t>
      </w:r>
      <w:r w:rsidR="004D2E9E" w:rsidRPr="00995AEB">
        <w:t xml:space="preserve">au point </w:t>
      </w:r>
      <w:r w:rsidR="004D2E9E" w:rsidRPr="00995AEB">
        <w:rPr>
          <w:i/>
          <w:iCs/>
        </w:rPr>
        <w:t>b)</w:t>
      </w:r>
      <w:r w:rsidR="004D2E9E" w:rsidRPr="00995AEB">
        <w:t xml:space="preserve"> du </w:t>
      </w:r>
      <w:r w:rsidR="004D2E9E" w:rsidRPr="00995AEB">
        <w:rPr>
          <w:i/>
          <w:iCs/>
        </w:rPr>
        <w:t>reconnaissant</w:t>
      </w:r>
      <w:r w:rsidR="004D2E9E" w:rsidRPr="00995AEB">
        <w:t xml:space="preserve"> ci-dessus;</w:t>
      </w:r>
    </w:p>
    <w:p w14:paraId="73F32886" w14:textId="277782B8" w:rsidR="00E101E7" w:rsidRPr="00995AEB" w:rsidRDefault="00995AEB" w:rsidP="00995AEB">
      <w:pPr>
        <w:pStyle w:val="enumlev1"/>
      </w:pPr>
      <w:r>
        <w:lastRenderedPageBreak/>
        <w:t>–</w:t>
      </w:r>
      <w:r>
        <w:tab/>
      </w:r>
      <w:r w:rsidR="004D2E9E" w:rsidRPr="00995AEB">
        <w:t>du sc</w:t>
      </w:r>
      <w:r w:rsidR="004B1DCC">
        <w:t>é</w:t>
      </w:r>
      <w:r w:rsidR="004D2E9E" w:rsidRPr="00995AEB">
        <w:t>nario d</w:t>
      </w:r>
      <w:r w:rsidR="007F49F0" w:rsidRPr="00995AEB">
        <w:t>'</w:t>
      </w:r>
      <w:r w:rsidR="004D2E9E" w:rsidRPr="00995AEB">
        <w:t xml:space="preserve">utilisation et de déploiement envisagé pour les stations </w:t>
      </w:r>
      <w:r w:rsidR="00E101E7" w:rsidRPr="00995AEB">
        <w:t>HIBS</w:t>
      </w:r>
      <w:r w:rsidR="004D2E9E" w:rsidRPr="00995AEB">
        <w:t xml:space="preserve"> </w:t>
      </w:r>
      <w:r w:rsidR="00A97FD5" w:rsidRPr="00995AEB">
        <w:t xml:space="preserve">utilisées </w:t>
      </w:r>
      <w:r w:rsidR="004D2E9E" w:rsidRPr="00995AEB">
        <w:t>en complément des réseaux IMT de Terre</w:t>
      </w:r>
      <w:r w:rsidR="00E101E7" w:rsidRPr="00995AEB">
        <w:t>;</w:t>
      </w:r>
    </w:p>
    <w:p w14:paraId="78C19E24" w14:textId="7322AB4F" w:rsidR="00995AEB" w:rsidRPr="00BF797D" w:rsidRDefault="00995AEB" w:rsidP="00995AEB">
      <w:pPr>
        <w:pStyle w:val="enumlev1"/>
      </w:pPr>
      <w:r>
        <w:t>–</w:t>
      </w:r>
      <w:r>
        <w:tab/>
      </w:r>
      <w:r w:rsidR="00A97FD5" w:rsidRPr="00995AEB">
        <w:t xml:space="preserve">des caractéristiques techniques et opérationnelles et des besoins des stations </w:t>
      </w:r>
      <w:r w:rsidR="00E101E7" w:rsidRPr="00995AEB">
        <w:t>HIBS</w:t>
      </w:r>
      <w:r w:rsidR="00A97FD5" w:rsidRPr="00995AEB">
        <w:t>;</w:t>
      </w:r>
    </w:p>
    <w:p w14:paraId="461056AD" w14:textId="408E4C55" w:rsidR="00E101E7" w:rsidRPr="00A97FD5" w:rsidRDefault="00E101E7" w:rsidP="00754429">
      <w:pPr>
        <w:rPr>
          <w:lang w:val="fr-CH"/>
        </w:rPr>
      </w:pPr>
      <w:r w:rsidRPr="00A97FD5">
        <w:rPr>
          <w:lang w:val="fr-CH"/>
        </w:rPr>
        <w:t>2</w:t>
      </w:r>
      <w:r w:rsidRPr="00A97FD5">
        <w:rPr>
          <w:lang w:val="fr-CH"/>
        </w:rPr>
        <w:tab/>
      </w:r>
      <w:r w:rsidR="00A97FD5">
        <w:rPr>
          <w:lang w:val="fr-CH"/>
        </w:rPr>
        <w:t>à</w:t>
      </w:r>
      <w:r w:rsidR="00A97FD5" w:rsidRPr="00A97FD5">
        <w:rPr>
          <w:lang w:val="fr-CH"/>
        </w:rPr>
        <w:t xml:space="preserve"> procéd</w:t>
      </w:r>
      <w:r w:rsidR="00A97FD5">
        <w:rPr>
          <w:lang w:val="fr-CH"/>
        </w:rPr>
        <w:t>er</w:t>
      </w:r>
      <w:r w:rsidR="00A97FD5" w:rsidRPr="00A97FD5">
        <w:rPr>
          <w:lang w:val="fr-CH"/>
        </w:rPr>
        <w:t xml:space="preserve"> à des études sur les caractéristiques techniques et opérationnelles et </w:t>
      </w:r>
      <w:r w:rsidR="00A97FD5">
        <w:rPr>
          <w:lang w:val="fr-CH"/>
        </w:rPr>
        <w:t>l</w:t>
      </w:r>
      <w:r w:rsidR="00A97FD5" w:rsidRPr="00A97FD5">
        <w:rPr>
          <w:lang w:val="fr-CH"/>
        </w:rPr>
        <w:t>es besoins des stations</w:t>
      </w:r>
      <w:r w:rsidR="00A97FD5">
        <w:rPr>
          <w:lang w:val="fr-CH"/>
        </w:rPr>
        <w:t xml:space="preserve"> </w:t>
      </w:r>
      <w:r w:rsidR="00A97FD5" w:rsidRPr="00A97FD5">
        <w:rPr>
          <w:lang w:val="fr-CH"/>
        </w:rPr>
        <w:t>HIBS</w:t>
      </w:r>
      <w:r w:rsidRPr="00A97FD5">
        <w:rPr>
          <w:lang w:val="fr-CH"/>
        </w:rPr>
        <w:t>;</w:t>
      </w:r>
    </w:p>
    <w:p w14:paraId="7BD9FFD0" w14:textId="1F9B0FBA" w:rsidR="00E101E7" w:rsidRPr="00A74E1B" w:rsidRDefault="00E101E7" w:rsidP="00754429">
      <w:pPr>
        <w:rPr>
          <w:lang w:val="fr-CH"/>
        </w:rPr>
      </w:pPr>
      <w:r w:rsidRPr="00A74E1B">
        <w:rPr>
          <w:lang w:val="fr-CH"/>
        </w:rPr>
        <w:t>3</w:t>
      </w:r>
      <w:r w:rsidRPr="00A74E1B">
        <w:rPr>
          <w:lang w:val="fr-CH"/>
        </w:rPr>
        <w:tab/>
      </w:r>
      <w:r w:rsidR="00A74E1B" w:rsidRPr="00A74E1B">
        <w:rPr>
          <w:lang w:val="fr-CH"/>
        </w:rPr>
        <w:t xml:space="preserve">à mener, et à achever à temps pour la CMR-23, compte tenu des résultats des études déjà effectuées et de celles qui sont actuellement menées par l'UIT-R, </w:t>
      </w:r>
      <w:r w:rsidR="00A74E1B">
        <w:rPr>
          <w:lang w:val="fr-CH"/>
        </w:rPr>
        <w:t>d</w:t>
      </w:r>
      <w:r w:rsidR="00A74E1B" w:rsidRPr="00A74E1B">
        <w:rPr>
          <w:lang w:val="fr-CH"/>
        </w:rPr>
        <w:t>es études de partage et de compatibilité pour assurer la protection des</w:t>
      </w:r>
      <w:r w:rsidR="00A74E1B">
        <w:rPr>
          <w:lang w:val="fr-CH"/>
        </w:rPr>
        <w:t xml:space="preserve"> systèmes</w:t>
      </w:r>
      <w:r w:rsidR="001C597D">
        <w:rPr>
          <w:lang w:val="fr-CH"/>
        </w:rPr>
        <w:t xml:space="preserve"> des services </w:t>
      </w:r>
      <w:r w:rsidR="00A74E1B">
        <w:rPr>
          <w:lang w:val="fr-CH"/>
        </w:rPr>
        <w:t xml:space="preserve">existants </w:t>
      </w:r>
      <w:r w:rsidR="00A74E1B" w:rsidRPr="00A74E1B">
        <w:rPr>
          <w:lang w:val="fr-CH"/>
        </w:rPr>
        <w:t>auxquels la bande est attribuée</w:t>
      </w:r>
      <w:r w:rsidR="00A74E1B">
        <w:rPr>
          <w:lang w:val="fr-CH"/>
        </w:rPr>
        <w:t xml:space="preserve"> ainsi que de leur développement prévu, </w:t>
      </w:r>
      <w:r w:rsidR="00A74E1B" w:rsidRPr="00A74E1B">
        <w:rPr>
          <w:lang w:val="fr-CH"/>
        </w:rPr>
        <w:t xml:space="preserve">y compris des </w:t>
      </w:r>
      <w:r w:rsidR="00A74E1B">
        <w:rPr>
          <w:lang w:val="fr-CH"/>
        </w:rPr>
        <w:t>systèmes</w:t>
      </w:r>
      <w:r w:rsidR="00A74E1B" w:rsidRPr="00A74E1B">
        <w:rPr>
          <w:lang w:val="fr-CH"/>
        </w:rPr>
        <w:t xml:space="preserve"> exploités dans l</w:t>
      </w:r>
      <w:r w:rsidR="00A74E1B">
        <w:rPr>
          <w:lang w:val="fr-CH"/>
        </w:rPr>
        <w:t>a</w:t>
      </w:r>
      <w:r w:rsidR="00A74E1B" w:rsidRPr="00A74E1B">
        <w:rPr>
          <w:lang w:val="fr-CH"/>
        </w:rPr>
        <w:t xml:space="preserve"> bande</w:t>
      </w:r>
      <w:r w:rsidR="00754429">
        <w:rPr>
          <w:lang w:val="fr-CH"/>
        </w:rPr>
        <w:t xml:space="preserve"> </w:t>
      </w:r>
      <w:r w:rsidR="00A74E1B" w:rsidRPr="00A74E1B">
        <w:rPr>
          <w:lang w:val="fr-CH"/>
        </w:rPr>
        <w:t xml:space="preserve">adjacente, selon le cas, pour </w:t>
      </w:r>
      <w:r w:rsidR="00A74E1B">
        <w:rPr>
          <w:lang w:val="fr-CH"/>
        </w:rPr>
        <w:t xml:space="preserve">les </w:t>
      </w:r>
      <w:r w:rsidR="00A74E1B" w:rsidRPr="00A74E1B">
        <w:rPr>
          <w:lang w:val="fr-CH"/>
        </w:rPr>
        <w:t>bandes de fréquences</w:t>
      </w:r>
      <w:r w:rsidR="00A74E1B">
        <w:rPr>
          <w:lang w:val="fr-CH"/>
        </w:rPr>
        <w:t xml:space="preserve"> ci-après, ou des parties de ces bandes, </w:t>
      </w:r>
      <w:r w:rsidR="001C597D">
        <w:rPr>
          <w:lang w:val="fr-CH"/>
        </w:rPr>
        <w:t>telles qu'</w:t>
      </w:r>
      <w:r w:rsidR="00A74E1B">
        <w:rPr>
          <w:lang w:val="fr-CH"/>
        </w:rPr>
        <w:t>indiquées aux numéros</w:t>
      </w:r>
      <w:r w:rsidR="00754429">
        <w:rPr>
          <w:lang w:val="fr-CH"/>
        </w:rPr>
        <w:t xml:space="preserve"> </w:t>
      </w:r>
      <w:r w:rsidRPr="00A74E1B">
        <w:rPr>
          <w:b/>
          <w:lang w:val="fr-CH"/>
        </w:rPr>
        <w:t>5.286AA</w:t>
      </w:r>
      <w:r w:rsidRPr="00A74E1B">
        <w:rPr>
          <w:lang w:val="fr-CH"/>
        </w:rPr>
        <w:t xml:space="preserve">, </w:t>
      </w:r>
      <w:r w:rsidRPr="00A74E1B">
        <w:rPr>
          <w:b/>
          <w:lang w:val="fr-CH"/>
        </w:rPr>
        <w:t>5.313A</w:t>
      </w:r>
      <w:r w:rsidRPr="00A74E1B">
        <w:rPr>
          <w:lang w:val="fr-CH"/>
        </w:rPr>
        <w:t xml:space="preserve">, </w:t>
      </w:r>
      <w:r w:rsidRPr="00A74E1B">
        <w:rPr>
          <w:b/>
          <w:lang w:val="fr-CH"/>
        </w:rPr>
        <w:t>5.317A</w:t>
      </w:r>
      <w:r w:rsidR="00A74E1B">
        <w:rPr>
          <w:lang w:val="fr-CH"/>
        </w:rPr>
        <w:t xml:space="preserve"> et</w:t>
      </w:r>
      <w:r w:rsidRPr="00A74E1B">
        <w:rPr>
          <w:lang w:val="fr-CH"/>
        </w:rPr>
        <w:t xml:space="preserve"> </w:t>
      </w:r>
      <w:r w:rsidRPr="00A74E1B">
        <w:rPr>
          <w:b/>
          <w:lang w:val="fr-CH"/>
        </w:rPr>
        <w:t>5.384A</w:t>
      </w:r>
      <w:r w:rsidRPr="00A74E1B">
        <w:rPr>
          <w:bCs/>
          <w:lang w:val="fr-CH"/>
        </w:rPr>
        <w:t xml:space="preserve"> </w:t>
      </w:r>
      <w:r w:rsidR="00A74E1B">
        <w:rPr>
          <w:bCs/>
          <w:lang w:val="fr-CH"/>
        </w:rPr>
        <w:t>du Règlement des radiocommunications</w:t>
      </w:r>
      <w:r w:rsidRPr="00A74E1B">
        <w:rPr>
          <w:lang w:val="fr-CH"/>
        </w:rPr>
        <w:t>;</w:t>
      </w:r>
    </w:p>
    <w:p w14:paraId="7B528BD1" w14:textId="212669A2" w:rsidR="00BF797D" w:rsidRPr="00BF797D" w:rsidRDefault="00995AEB" w:rsidP="00995AEB">
      <w:pPr>
        <w:pStyle w:val="enumlev1"/>
      </w:pPr>
      <w:r>
        <w:t>–</w:t>
      </w:r>
      <w:r>
        <w:tab/>
      </w:r>
      <w:r w:rsidR="00E101E7" w:rsidRPr="00BF797D">
        <w:t>450-470 MHz, 703-960 MHz, 1 710-1 885 MHz (</w:t>
      </w:r>
      <w:r w:rsidR="00E231B6" w:rsidRPr="00BF797D">
        <w:t>la bande 1 710-1 815 MHz est utilisée uniquement pour la liaison montante en Région 3</w:t>
      </w:r>
      <w:r w:rsidR="00E101E7" w:rsidRPr="00BF797D">
        <w:t xml:space="preserve">) </w:t>
      </w:r>
      <w:r w:rsidR="00E231B6" w:rsidRPr="00BF797D">
        <w:t xml:space="preserve">et </w:t>
      </w:r>
      <w:r w:rsidR="00E101E7" w:rsidRPr="00BF797D">
        <w:t>2 500-2 690 MHz (</w:t>
      </w:r>
      <w:r w:rsidR="00E231B6" w:rsidRPr="00BF797D">
        <w:t xml:space="preserve">la bande </w:t>
      </w:r>
      <w:r w:rsidR="00E101E7" w:rsidRPr="00BF797D">
        <w:t>2</w:t>
      </w:r>
      <w:r w:rsidR="00E7687D" w:rsidRPr="00BF797D">
        <w:t> </w:t>
      </w:r>
      <w:r w:rsidR="00E101E7" w:rsidRPr="00BF797D">
        <w:t>500</w:t>
      </w:r>
      <w:r w:rsidR="00E7687D" w:rsidRPr="00BF797D">
        <w:noBreakHyphen/>
      </w:r>
      <w:r w:rsidR="00E101E7" w:rsidRPr="00BF797D">
        <w:t xml:space="preserve">2 515 MHz </w:t>
      </w:r>
      <w:r w:rsidR="00E231B6" w:rsidRPr="00BF797D">
        <w:t>est utilisée uniquement pour la liaison montante en Région 3 et la bande</w:t>
      </w:r>
      <w:r w:rsidR="00754429" w:rsidRPr="00BF797D">
        <w:t xml:space="preserve"> </w:t>
      </w:r>
      <w:r w:rsidR="00E101E7" w:rsidRPr="00BF797D">
        <w:t>2 655-2 690 MHz</w:t>
      </w:r>
      <w:r w:rsidR="00E231B6" w:rsidRPr="00BF797D">
        <w:t xml:space="preserve"> ne sera pas identifiée pour l</w:t>
      </w:r>
      <w:r w:rsidR="007F49F0" w:rsidRPr="00BF797D">
        <w:t>'</w:t>
      </w:r>
      <w:r w:rsidR="00E231B6" w:rsidRPr="00BF797D">
        <w:t xml:space="preserve">exploitation des stations HIBS dans les Régions </w:t>
      </w:r>
      <w:r w:rsidR="00E101E7" w:rsidRPr="00BF797D">
        <w:t xml:space="preserve">1 </w:t>
      </w:r>
      <w:r w:rsidR="00E231B6" w:rsidRPr="00BF797D">
        <w:t>et</w:t>
      </w:r>
      <w:r w:rsidR="00E101E7" w:rsidRPr="00BF797D">
        <w:t xml:space="preserve"> 3</w:t>
      </w:r>
      <w:r w:rsidR="00E231B6" w:rsidRPr="00BF797D">
        <w:t>, de sorte qu</w:t>
      </w:r>
      <w:r w:rsidR="007F49F0" w:rsidRPr="00BF797D">
        <w:t>'</w:t>
      </w:r>
      <w:r w:rsidR="00E231B6" w:rsidRPr="00BF797D">
        <w:t xml:space="preserve">elle ne sera pas étudiée pour </w:t>
      </w:r>
      <w:r w:rsidR="001C597D" w:rsidRPr="00BF797D">
        <w:t>c</w:t>
      </w:r>
      <w:r w:rsidR="00E231B6" w:rsidRPr="00BF797D">
        <w:t>es Régions</w:t>
      </w:r>
      <w:r w:rsidR="00E101E7" w:rsidRPr="00BF797D">
        <w:t>);</w:t>
      </w:r>
    </w:p>
    <w:p w14:paraId="78E7483D" w14:textId="51C9ADDF" w:rsidR="00E101E7" w:rsidRPr="008E2260" w:rsidRDefault="00E101E7" w:rsidP="00754429">
      <w:pPr>
        <w:rPr>
          <w:lang w:val="fr-CH"/>
        </w:rPr>
      </w:pPr>
      <w:r w:rsidRPr="008E2260">
        <w:rPr>
          <w:lang w:val="fr-CH"/>
        </w:rPr>
        <w:t>4</w:t>
      </w:r>
      <w:r w:rsidRPr="008E2260">
        <w:rPr>
          <w:lang w:val="fr-CH"/>
        </w:rPr>
        <w:tab/>
      </w:r>
      <w:r w:rsidR="008E2260">
        <w:rPr>
          <w:lang w:val="fr-CH"/>
        </w:rPr>
        <w:t xml:space="preserve">à </w:t>
      </w:r>
      <w:r w:rsidR="008E2260" w:rsidRPr="008E2260">
        <w:rPr>
          <w:lang w:val="fr-CH"/>
        </w:rPr>
        <w:t>étudier les modifications qu'il convient d'apporter au renvoi existant et à la Résolution associée en ce qui concerne l</w:t>
      </w:r>
      <w:r w:rsidR="001C597D">
        <w:rPr>
          <w:lang w:val="fr-CH"/>
        </w:rPr>
        <w:t>'identification de</w:t>
      </w:r>
      <w:r w:rsidR="008E2260" w:rsidRPr="008E2260">
        <w:rPr>
          <w:lang w:val="fr-CH"/>
        </w:rPr>
        <w:t xml:space="preserve"> bandes de fréquences </w:t>
      </w:r>
      <w:r w:rsidR="001C597D">
        <w:rPr>
          <w:lang w:val="fr-CH"/>
        </w:rPr>
        <w:t>conformément</w:t>
      </w:r>
      <w:r w:rsidR="008E2260" w:rsidRPr="008E2260">
        <w:rPr>
          <w:lang w:val="fr-CH"/>
        </w:rPr>
        <w:t xml:space="preserve"> au point </w:t>
      </w:r>
      <w:r w:rsidR="001C597D" w:rsidRPr="001C597D">
        <w:rPr>
          <w:i/>
          <w:iCs/>
          <w:lang w:val="fr-CH"/>
        </w:rPr>
        <w:t>b</w:t>
      </w:r>
      <w:r w:rsidR="008E2260" w:rsidRPr="001C597D">
        <w:rPr>
          <w:i/>
          <w:iCs/>
          <w:lang w:val="fr-CH"/>
        </w:rPr>
        <w:t xml:space="preserve">) </w:t>
      </w:r>
      <w:r w:rsidR="008E2260" w:rsidRPr="0078305E">
        <w:rPr>
          <w:lang w:val="fr-CH"/>
        </w:rPr>
        <w:t>du</w:t>
      </w:r>
      <w:r w:rsidR="008E2260" w:rsidRPr="001C597D">
        <w:rPr>
          <w:i/>
          <w:iCs/>
          <w:lang w:val="fr-CH"/>
        </w:rPr>
        <w:t xml:space="preserve"> reconnaissant</w:t>
      </w:r>
      <w:r w:rsidR="008E2260">
        <w:rPr>
          <w:lang w:val="fr-CH"/>
        </w:rPr>
        <w:t xml:space="preserve"> ci-dessus</w:t>
      </w:r>
      <w:r w:rsidR="008E2260" w:rsidRPr="008E2260">
        <w:rPr>
          <w:lang w:val="fr-CH"/>
        </w:rPr>
        <w:t>, afin de faciliter l'utilisation des stations HIBS</w:t>
      </w:r>
      <w:r w:rsidR="008E2260">
        <w:rPr>
          <w:lang w:val="fr-CH"/>
        </w:rPr>
        <w:t xml:space="preserve"> </w:t>
      </w:r>
      <w:r w:rsidR="008E2260" w:rsidRPr="008E2260">
        <w:rPr>
          <w:lang w:val="fr-CH"/>
        </w:rPr>
        <w:t>compte tenu des toutes dernières technologies d'interface radioélectrique des IMT</w:t>
      </w:r>
      <w:r w:rsidR="008E2260">
        <w:rPr>
          <w:lang w:val="fr-CH"/>
        </w:rPr>
        <w:t>;</w:t>
      </w:r>
    </w:p>
    <w:p w14:paraId="5BCB55CD" w14:textId="781FAB38" w:rsidR="00E101E7" w:rsidRPr="00C27319" w:rsidRDefault="00E101E7" w:rsidP="00754429">
      <w:pPr>
        <w:rPr>
          <w:lang w:val="fr-CH"/>
        </w:rPr>
      </w:pPr>
      <w:r w:rsidRPr="00C27319">
        <w:rPr>
          <w:lang w:val="fr-CH"/>
        </w:rPr>
        <w:t>5</w:t>
      </w:r>
      <w:r w:rsidRPr="00C27319">
        <w:rPr>
          <w:lang w:val="fr-CH"/>
        </w:rPr>
        <w:tab/>
      </w:r>
      <w:r w:rsidR="00C27319" w:rsidRPr="00C27319">
        <w:rPr>
          <w:lang w:val="fr-CH"/>
        </w:rPr>
        <w:t xml:space="preserve">à étudier la définition des stations </w:t>
      </w:r>
      <w:r w:rsidRPr="00C27319">
        <w:rPr>
          <w:lang w:val="fr-CH"/>
        </w:rPr>
        <w:t>HIBS</w:t>
      </w:r>
      <w:r w:rsidR="00C27319" w:rsidRPr="00C27319">
        <w:rPr>
          <w:lang w:val="fr-CH"/>
        </w:rPr>
        <w:t>, y compris les modifications qui pourraient être apportées aux dispositions du Règlement des radiocommunications</w:t>
      </w:r>
      <w:r w:rsidRPr="00C27319">
        <w:rPr>
          <w:lang w:val="fr-CH"/>
        </w:rPr>
        <w:t>;</w:t>
      </w:r>
    </w:p>
    <w:p w14:paraId="22A78D3D" w14:textId="2DE357AD" w:rsidR="00E101E7" w:rsidRPr="00C27319" w:rsidRDefault="00E101E7" w:rsidP="00754429">
      <w:pPr>
        <w:rPr>
          <w:lang w:val="fr-CH"/>
        </w:rPr>
      </w:pPr>
      <w:r w:rsidRPr="00C27319">
        <w:rPr>
          <w:lang w:val="fr-CH"/>
        </w:rPr>
        <w:t>6</w:t>
      </w:r>
      <w:r w:rsidRPr="00C27319">
        <w:rPr>
          <w:lang w:val="fr-CH"/>
        </w:rPr>
        <w:tab/>
      </w:r>
      <w:r w:rsidR="00C27319" w:rsidRPr="00C27319">
        <w:rPr>
          <w:lang w:val="fr-CH"/>
        </w:rPr>
        <w:t>à élaborer des Recommandations et des rapports UIT-R, selon le cas, compte tenu des points 1</w:t>
      </w:r>
      <w:r w:rsidR="00C27319">
        <w:rPr>
          <w:lang w:val="fr-CH"/>
        </w:rPr>
        <w:t>,</w:t>
      </w:r>
      <w:r w:rsidR="00C27319" w:rsidRPr="00C27319">
        <w:rPr>
          <w:lang w:val="fr-CH"/>
        </w:rPr>
        <w:t xml:space="preserve"> 2</w:t>
      </w:r>
      <w:r w:rsidR="00C231EE">
        <w:rPr>
          <w:lang w:val="fr-CH"/>
        </w:rPr>
        <w:t>,</w:t>
      </w:r>
      <w:r w:rsidR="00C27319" w:rsidRPr="00C27319">
        <w:rPr>
          <w:lang w:val="fr-CH"/>
        </w:rPr>
        <w:t xml:space="preserve"> 3, 4 </w:t>
      </w:r>
      <w:r w:rsidR="00C27319">
        <w:rPr>
          <w:lang w:val="fr-CH"/>
        </w:rPr>
        <w:t>et</w:t>
      </w:r>
      <w:r w:rsidR="00C27319" w:rsidRPr="00C27319">
        <w:rPr>
          <w:lang w:val="fr-CH"/>
        </w:rPr>
        <w:t xml:space="preserve"> 5 du </w:t>
      </w:r>
      <w:r w:rsidR="00C27319" w:rsidRPr="0078305E">
        <w:rPr>
          <w:i/>
          <w:iCs/>
          <w:lang w:val="fr-CH"/>
        </w:rPr>
        <w:t>décide d'inviter l'UIT-R</w:t>
      </w:r>
      <w:r w:rsidR="00C27319" w:rsidRPr="00C27319">
        <w:rPr>
          <w:lang w:val="fr-CH"/>
        </w:rPr>
        <w:t xml:space="preserve"> ci-dessus,</w:t>
      </w:r>
    </w:p>
    <w:p w14:paraId="10E228FE" w14:textId="76DC34BC" w:rsidR="00E101E7" w:rsidRPr="007D2C18" w:rsidRDefault="007D2C18" w:rsidP="00754429">
      <w:pPr>
        <w:pStyle w:val="Call"/>
        <w:rPr>
          <w:lang w:val="fr-CH"/>
        </w:rPr>
      </w:pPr>
      <w:proofErr w:type="gramStart"/>
      <w:r w:rsidRPr="007D2C18">
        <w:rPr>
          <w:lang w:val="fr-CH"/>
        </w:rPr>
        <w:t>décide</w:t>
      </w:r>
      <w:proofErr w:type="gramEnd"/>
      <w:r w:rsidRPr="007D2C18">
        <w:rPr>
          <w:lang w:val="fr-CH"/>
        </w:rPr>
        <w:t xml:space="preserve"> en outre d'inviter la CMR-23</w:t>
      </w:r>
    </w:p>
    <w:p w14:paraId="4F4B44DB" w14:textId="75DC3FAC" w:rsidR="00E101E7" w:rsidRPr="007D2C18" w:rsidRDefault="007D2C18" w:rsidP="00754429">
      <w:pPr>
        <w:rPr>
          <w:b/>
          <w:i/>
          <w:lang w:val="fr-CH"/>
        </w:rPr>
      </w:pPr>
      <w:proofErr w:type="gramStart"/>
      <w:r w:rsidRPr="007D2C18">
        <w:rPr>
          <w:lang w:val="fr-CH"/>
        </w:rPr>
        <w:t>à</w:t>
      </w:r>
      <w:proofErr w:type="gramEnd"/>
      <w:r w:rsidRPr="007D2C18">
        <w:rPr>
          <w:lang w:val="fr-CH"/>
        </w:rPr>
        <w:t xml:space="preserve"> examiner les résultats des études ci-dessus</w:t>
      </w:r>
      <w:r>
        <w:rPr>
          <w:lang w:val="fr-CH"/>
        </w:rPr>
        <w:t xml:space="preserve"> </w:t>
      </w:r>
      <w:r w:rsidRPr="007D2C18">
        <w:rPr>
          <w:lang w:val="fr-CH"/>
        </w:rPr>
        <w:t xml:space="preserve">et à prendre les mesures réglementaires nécessaires, le cas échéant, compte tenu du fait que des modifications apportées aux renvois visés au point </w:t>
      </w:r>
      <w:r w:rsidRPr="00C231EE">
        <w:rPr>
          <w:i/>
          <w:iCs/>
          <w:lang w:val="fr-CH"/>
        </w:rPr>
        <w:t xml:space="preserve">f) </w:t>
      </w:r>
      <w:r w:rsidRPr="0078305E">
        <w:rPr>
          <w:lang w:val="fr-CH"/>
        </w:rPr>
        <w:t>du</w:t>
      </w:r>
      <w:r w:rsidRPr="00C231EE">
        <w:rPr>
          <w:i/>
          <w:iCs/>
          <w:lang w:val="fr-CH"/>
        </w:rPr>
        <w:t xml:space="preserve"> reconnaissant</w:t>
      </w:r>
      <w:r w:rsidRPr="007D2C18">
        <w:rPr>
          <w:lang w:val="fr-CH"/>
        </w:rPr>
        <w:t xml:space="preserve"> </w:t>
      </w:r>
      <w:r w:rsidRPr="00C27319">
        <w:rPr>
          <w:lang w:val="fr-CH"/>
        </w:rPr>
        <w:t>ci-dessus</w:t>
      </w:r>
      <w:r w:rsidRPr="007D2C18">
        <w:rPr>
          <w:lang w:val="fr-CH"/>
        </w:rPr>
        <w:t xml:space="preserve"> n'entrent pas dans le cadre de la présente Résolution</w:t>
      </w:r>
      <w:r>
        <w:rPr>
          <w:lang w:val="fr-CH"/>
        </w:rPr>
        <w:t>.</w:t>
      </w:r>
    </w:p>
    <w:p w14:paraId="18A58BA0" w14:textId="21EA2556" w:rsidR="00A41CA3" w:rsidRPr="00A41CA3" w:rsidRDefault="00207A3A" w:rsidP="00A41CA3">
      <w:pPr>
        <w:pStyle w:val="Reasons"/>
        <w:rPr>
          <w:lang w:val="en-GB"/>
        </w:rPr>
      </w:pPr>
      <w:r>
        <w:rPr>
          <w:b/>
          <w:bCs/>
          <w:lang w:val="fr-CH"/>
        </w:rPr>
        <w:t>Motifs</w:t>
      </w:r>
      <w:r w:rsidR="00E101E7" w:rsidRPr="007D2C18">
        <w:rPr>
          <w:b/>
          <w:bCs/>
          <w:lang w:val="fr-CH"/>
        </w:rPr>
        <w:t>:</w:t>
      </w:r>
      <w:r w:rsidR="00E101E7" w:rsidRPr="007D2C18">
        <w:rPr>
          <w:lang w:val="fr-CH"/>
        </w:rPr>
        <w:tab/>
      </w:r>
      <w:r w:rsidR="007D2C18">
        <w:rPr>
          <w:lang w:val="fr-CH"/>
        </w:rPr>
        <w:t>La</w:t>
      </w:r>
      <w:r w:rsidR="00E101E7" w:rsidRPr="007D2C18">
        <w:rPr>
          <w:lang w:val="fr-CH"/>
        </w:rPr>
        <w:t xml:space="preserve"> </w:t>
      </w:r>
      <w:r w:rsidR="00C035A3" w:rsidRPr="007D2C18">
        <w:rPr>
          <w:lang w:val="fr-CH"/>
        </w:rPr>
        <w:t>Résolution</w:t>
      </w:r>
      <w:r w:rsidR="00E101E7" w:rsidRPr="007D2C18">
        <w:rPr>
          <w:lang w:val="fr-CH"/>
        </w:rPr>
        <w:t xml:space="preserve"> </w:t>
      </w:r>
      <w:r w:rsidR="007D2C18">
        <w:rPr>
          <w:lang w:val="fr-CH"/>
        </w:rPr>
        <w:t>proposée sur ce</w:t>
      </w:r>
      <w:r w:rsidR="007D2C18" w:rsidRPr="007D2C18">
        <w:rPr>
          <w:lang w:val="fr-CH"/>
        </w:rPr>
        <w:t xml:space="preserve"> nouveau point de l'ordre du jour, relatif à l'étude des stations de base IMT placées sur des plates-formes à haute altitude dans </w:t>
      </w:r>
      <w:r w:rsidR="007D2C18">
        <w:rPr>
          <w:lang w:val="fr-CH"/>
        </w:rPr>
        <w:t>les</w:t>
      </w:r>
      <w:r w:rsidR="007D2C18" w:rsidRPr="007D2C18">
        <w:rPr>
          <w:lang w:val="fr-CH"/>
        </w:rPr>
        <w:t xml:space="preserve"> bandes de fréquences </w:t>
      </w:r>
      <w:r w:rsidR="007D2C18">
        <w:rPr>
          <w:lang w:val="fr-CH"/>
        </w:rPr>
        <w:t xml:space="preserve">existantes </w:t>
      </w:r>
      <w:r w:rsidR="007D2C18" w:rsidRPr="007D2C18">
        <w:rPr>
          <w:lang w:val="fr-CH"/>
        </w:rPr>
        <w:t>attribuées aux IMT au-dessous de 2,7 GHz</w:t>
      </w:r>
      <w:r w:rsidR="00C231EE">
        <w:rPr>
          <w:lang w:val="fr-CH"/>
        </w:rPr>
        <w:t xml:space="preserve">, </w:t>
      </w:r>
      <w:r w:rsidR="007D2C18" w:rsidRPr="007D2C18">
        <w:rPr>
          <w:lang w:val="fr-CH"/>
        </w:rPr>
        <w:t>vise à permettre davantage de souplesse dans l'utilisation de ces bandes, afin de tenir compte de la nécessité d'élargir la couverture et de renforcer la capacité des réseaux large bande mobiles. Les résultats de ces études et les modifications éventuelles à apporter au RR seraient ensuite examinées par la CMR-23.</w:t>
      </w:r>
      <w:r w:rsidR="007D2C18">
        <w:rPr>
          <w:lang w:val="fr-CH"/>
        </w:rPr>
        <w:t xml:space="preserve"> </w:t>
      </w:r>
      <w:proofErr w:type="spellStart"/>
      <w:r w:rsidR="007D2C18">
        <w:rPr>
          <w:lang w:val="fr-CH"/>
        </w:rPr>
        <w:t>Veuillez vous</w:t>
      </w:r>
      <w:proofErr w:type="spellEnd"/>
      <w:r w:rsidR="007D2C18">
        <w:rPr>
          <w:lang w:val="fr-CH"/>
        </w:rPr>
        <w:t xml:space="preserve"> reporter au tableau ci-dessous.</w:t>
      </w:r>
    </w:p>
    <w:p w14:paraId="4E41E084" w14:textId="435B179C" w:rsidR="008B1EF6" w:rsidRPr="001A193E" w:rsidRDefault="008B1EF6" w:rsidP="00741839">
      <w:pPr>
        <w:rPr>
          <w:lang w:val="en-US"/>
        </w:rPr>
      </w:pPr>
      <w:r w:rsidRPr="001A193E">
        <w:rPr>
          <w:lang w:val="en-US"/>
        </w:rPr>
        <w:br w:type="page"/>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5089"/>
      </w:tblGrid>
      <w:tr w:rsidR="008B1EF6" w:rsidRPr="00D674BC" w14:paraId="0B53A7E6" w14:textId="77777777" w:rsidTr="00604CD4">
        <w:tc>
          <w:tcPr>
            <w:tcW w:w="9272" w:type="dxa"/>
            <w:gridSpan w:val="2"/>
            <w:tcBorders>
              <w:top w:val="nil"/>
              <w:bottom w:val="nil"/>
            </w:tcBorders>
          </w:tcPr>
          <w:p w14:paraId="49CB0769" w14:textId="77777777" w:rsidR="00C231EE" w:rsidRPr="00C231EE" w:rsidRDefault="00207A3A" w:rsidP="00C231EE">
            <w:pPr>
              <w:pStyle w:val="Headingb"/>
              <w:rPr>
                <w:i/>
                <w:iCs/>
                <w:lang w:val="en-US"/>
              </w:rPr>
            </w:pPr>
            <w:proofErr w:type="spellStart"/>
            <w:r w:rsidRPr="00C231EE">
              <w:rPr>
                <w:i/>
                <w:iCs/>
                <w:lang w:val="en-US"/>
              </w:rPr>
              <w:lastRenderedPageBreak/>
              <w:t>Objet</w:t>
            </w:r>
            <w:proofErr w:type="spellEnd"/>
            <w:r w:rsidR="008B1EF6" w:rsidRPr="00C231EE">
              <w:rPr>
                <w:i/>
                <w:iCs/>
                <w:lang w:val="en-US"/>
              </w:rPr>
              <w:t>:</w:t>
            </w:r>
          </w:p>
          <w:p w14:paraId="4043FD27" w14:textId="603D9F19" w:rsidR="008B1EF6" w:rsidRPr="00C231EE" w:rsidRDefault="00207A3A" w:rsidP="00C231EE">
            <w:pPr>
              <w:spacing w:after="120"/>
              <w:rPr>
                <w:b/>
                <w:bCs/>
                <w:i/>
                <w:iCs/>
                <w:lang w:val="en-US"/>
              </w:rPr>
            </w:pPr>
            <w:r>
              <w:rPr>
                <w:lang w:val="fr-CH"/>
              </w:rPr>
              <w:t xml:space="preserve">Proposition </w:t>
            </w:r>
            <w:r w:rsidRPr="00207A3A">
              <w:rPr>
                <w:lang w:val="fr-CH"/>
              </w:rPr>
              <w:t>d'inscription</w:t>
            </w:r>
            <w:r w:rsidR="009C68DC" w:rsidRPr="0015474D">
              <w:t xml:space="preserve"> </w:t>
            </w:r>
            <w:r w:rsidR="004B1DCC">
              <w:t>à</w:t>
            </w:r>
            <w:r>
              <w:rPr>
                <w:lang w:val="fr-CH"/>
              </w:rPr>
              <w:t xml:space="preserve"> l</w:t>
            </w:r>
            <w:r w:rsidR="007F49F0">
              <w:rPr>
                <w:lang w:val="fr-CH"/>
              </w:rPr>
              <w:t>'</w:t>
            </w:r>
            <w:r>
              <w:rPr>
                <w:lang w:val="fr-CH"/>
              </w:rPr>
              <w:t xml:space="preserve">ordre du jour de la </w:t>
            </w:r>
            <w:r w:rsidR="001A193E" w:rsidRPr="00207A3A">
              <w:rPr>
                <w:lang w:val="fr-CH"/>
              </w:rPr>
              <w:t>CMR</w:t>
            </w:r>
            <w:r w:rsidR="008B1EF6" w:rsidRPr="00207A3A">
              <w:rPr>
                <w:lang w:val="fr-CH"/>
              </w:rPr>
              <w:t>-23</w:t>
            </w:r>
            <w:r w:rsidR="00754429">
              <w:rPr>
                <w:lang w:val="fr-CH"/>
              </w:rPr>
              <w:t xml:space="preserve"> </w:t>
            </w:r>
            <w:r>
              <w:rPr>
                <w:lang w:val="fr-CH"/>
              </w:rPr>
              <w:t>d</w:t>
            </w:r>
            <w:r w:rsidR="007F49F0">
              <w:rPr>
                <w:lang w:val="fr-CH"/>
              </w:rPr>
              <w:t>'</w:t>
            </w:r>
            <w:r>
              <w:rPr>
                <w:lang w:val="fr-CH"/>
              </w:rPr>
              <w:t xml:space="preserve">un point </w:t>
            </w:r>
            <w:bookmarkStart w:id="9" w:name="_Hlk15576752"/>
            <w:r>
              <w:rPr>
                <w:lang w:val="fr-CH"/>
              </w:rPr>
              <w:t>visant à</w:t>
            </w:r>
            <w:r w:rsidR="00754429">
              <w:rPr>
                <w:lang w:val="fr-CH"/>
              </w:rPr>
              <w:t xml:space="preserve"> </w:t>
            </w:r>
            <w:r>
              <w:rPr>
                <w:lang w:val="fr-CH"/>
              </w:rPr>
              <w:t>examiner</w:t>
            </w:r>
            <w:r w:rsidRPr="001A193E">
              <w:rPr>
                <w:lang w:val="fr-CH"/>
              </w:rPr>
              <w:t xml:space="preserve"> l</w:t>
            </w:r>
            <w:r w:rsidR="007F49F0">
              <w:rPr>
                <w:lang w:val="fr-CH"/>
              </w:rPr>
              <w:t>'</w:t>
            </w:r>
            <w:r w:rsidRPr="001A193E">
              <w:rPr>
                <w:lang w:val="fr-CH"/>
              </w:rPr>
              <w:t>identification de certaines bandes de fréquences au-dessous de</w:t>
            </w:r>
            <w:r w:rsidR="00754429">
              <w:rPr>
                <w:lang w:val="fr-CH"/>
              </w:rPr>
              <w:t xml:space="preserve"> </w:t>
            </w:r>
            <w:r w:rsidRPr="001A193E">
              <w:rPr>
                <w:lang w:val="fr-CH"/>
              </w:rPr>
              <w:t>2</w:t>
            </w:r>
            <w:r w:rsidR="0078305E">
              <w:rPr>
                <w:lang w:val="fr-CH"/>
              </w:rPr>
              <w:t>,</w:t>
            </w:r>
            <w:r w:rsidRPr="001A193E">
              <w:rPr>
                <w:lang w:val="fr-CH"/>
              </w:rPr>
              <w:t xml:space="preserve">7 GHz </w:t>
            </w:r>
            <w:r>
              <w:rPr>
                <w:lang w:val="fr-CH"/>
              </w:rPr>
              <w:t xml:space="preserve">qui sont </w:t>
            </w:r>
            <w:r w:rsidRPr="001A193E">
              <w:rPr>
                <w:lang w:val="fr-CH"/>
              </w:rPr>
              <w:t>identifié</w:t>
            </w:r>
            <w:r>
              <w:rPr>
                <w:lang w:val="fr-CH"/>
              </w:rPr>
              <w:t>e</w:t>
            </w:r>
            <w:r w:rsidRPr="001A193E">
              <w:rPr>
                <w:lang w:val="fr-CH"/>
              </w:rPr>
              <w:t>s pour les IMT</w:t>
            </w:r>
            <w:r>
              <w:rPr>
                <w:lang w:val="fr-CH"/>
              </w:rPr>
              <w:t>,</w:t>
            </w:r>
            <w:r w:rsidRPr="001A193E">
              <w:rPr>
                <w:lang w:val="fr-CH"/>
              </w:rPr>
              <w:t xml:space="preserve"> en vue de leur utilisation par </w:t>
            </w:r>
            <w:r>
              <w:rPr>
                <w:lang w:val="fr-CH"/>
              </w:rPr>
              <w:t>d</w:t>
            </w:r>
            <w:r w:rsidRPr="001A193E">
              <w:rPr>
                <w:lang w:val="fr-CH"/>
              </w:rPr>
              <w:t>es stations placées sur des plates-formes</w:t>
            </w:r>
            <w:r>
              <w:rPr>
                <w:lang w:val="fr-CH"/>
              </w:rPr>
              <w:t xml:space="preserve"> à haute </w:t>
            </w:r>
            <w:r w:rsidRPr="001A193E">
              <w:rPr>
                <w:lang w:val="fr-CH"/>
              </w:rPr>
              <w:t>a</w:t>
            </w:r>
            <w:r>
              <w:rPr>
                <w:lang w:val="fr-CH"/>
              </w:rPr>
              <w:t>l</w:t>
            </w:r>
            <w:r w:rsidRPr="001A193E">
              <w:rPr>
                <w:lang w:val="fr-CH"/>
              </w:rPr>
              <w:t>titude en tant que stations de base IMT</w:t>
            </w:r>
            <w:r w:rsidR="00754429">
              <w:rPr>
                <w:lang w:val="fr-CH"/>
              </w:rPr>
              <w:t xml:space="preserve"> </w:t>
            </w:r>
            <w:r w:rsidRPr="001A193E">
              <w:rPr>
                <w:lang w:val="fr-CH"/>
              </w:rPr>
              <w:t xml:space="preserve">(HIBS), </w:t>
            </w:r>
            <w:r>
              <w:rPr>
                <w:lang w:val="fr-CH"/>
              </w:rPr>
              <w:t>et déterminer si des modifications</w:t>
            </w:r>
            <w:r w:rsidR="00754429">
              <w:rPr>
                <w:lang w:val="fr-CH"/>
              </w:rPr>
              <w:t xml:space="preserve"> </w:t>
            </w:r>
            <w:r>
              <w:rPr>
                <w:lang w:val="fr-CH"/>
              </w:rPr>
              <w:t>doivent être apportées à l</w:t>
            </w:r>
            <w:r w:rsidR="007F49F0">
              <w:rPr>
                <w:lang w:val="fr-CH"/>
              </w:rPr>
              <w:t>'</w:t>
            </w:r>
            <w:r>
              <w:rPr>
                <w:lang w:val="fr-CH"/>
              </w:rPr>
              <w:t>ensemble des bandes existantes identifiées pour pouvoir être utilisées par les stations</w:t>
            </w:r>
            <w:r w:rsidR="00754429">
              <w:rPr>
                <w:lang w:val="fr-CH"/>
              </w:rPr>
              <w:t xml:space="preserve"> </w:t>
            </w:r>
            <w:r w:rsidRPr="001A193E">
              <w:rPr>
                <w:lang w:val="fr-CH"/>
              </w:rPr>
              <w:t>HIBS.</w:t>
            </w:r>
            <w:bookmarkEnd w:id="9"/>
          </w:p>
        </w:tc>
      </w:tr>
      <w:tr w:rsidR="008B1EF6" w:rsidRPr="00207A3A" w14:paraId="3BB6E0A4" w14:textId="77777777" w:rsidTr="00604CD4">
        <w:tc>
          <w:tcPr>
            <w:tcW w:w="9272" w:type="dxa"/>
            <w:gridSpan w:val="2"/>
            <w:tcBorders>
              <w:top w:val="nil"/>
            </w:tcBorders>
          </w:tcPr>
          <w:p w14:paraId="235CD728" w14:textId="000D614E" w:rsidR="008B1EF6" w:rsidRPr="00207A3A" w:rsidRDefault="008B1EF6" w:rsidP="00754429">
            <w:pPr>
              <w:spacing w:after="120"/>
              <w:rPr>
                <w:lang w:val="fr-CH"/>
              </w:rPr>
            </w:pPr>
            <w:r w:rsidRPr="00207A3A">
              <w:rPr>
                <w:b/>
                <w:bCs/>
                <w:i/>
                <w:iCs/>
                <w:lang w:val="fr-CH"/>
              </w:rPr>
              <w:t>Origin</w:t>
            </w:r>
            <w:r w:rsidR="00207A3A" w:rsidRPr="00207A3A">
              <w:rPr>
                <w:b/>
                <w:bCs/>
                <w:i/>
                <w:iCs/>
                <w:lang w:val="fr-CH"/>
              </w:rPr>
              <w:t>e</w:t>
            </w:r>
            <w:r w:rsidRPr="00207A3A">
              <w:rPr>
                <w:b/>
                <w:bCs/>
                <w:i/>
                <w:iCs/>
                <w:lang w:val="fr-CH"/>
              </w:rPr>
              <w:t>:</w:t>
            </w:r>
            <w:r w:rsidRPr="00207A3A">
              <w:rPr>
                <w:lang w:val="fr-CH"/>
              </w:rPr>
              <w:t xml:space="preserve"> </w:t>
            </w:r>
            <w:proofErr w:type="spellStart"/>
            <w:r w:rsidR="00207A3A" w:rsidRPr="00207A3A">
              <w:rPr>
                <w:lang w:val="fr-CH"/>
              </w:rPr>
              <w:t>Télécommunauté</w:t>
            </w:r>
            <w:proofErr w:type="spellEnd"/>
            <w:r w:rsidR="00207A3A" w:rsidRPr="00207A3A">
              <w:rPr>
                <w:lang w:val="fr-CH"/>
              </w:rPr>
              <w:t xml:space="preserve"> Asie-Pacifique (APT)</w:t>
            </w:r>
            <w:r w:rsidR="00754429">
              <w:rPr>
                <w:lang w:val="fr-CH"/>
              </w:rPr>
              <w:t xml:space="preserve"> </w:t>
            </w:r>
          </w:p>
        </w:tc>
      </w:tr>
      <w:tr w:rsidR="008B1EF6" w:rsidRPr="00344477" w14:paraId="41A8E1D7" w14:textId="77777777" w:rsidTr="00604CD4">
        <w:tc>
          <w:tcPr>
            <w:tcW w:w="9272" w:type="dxa"/>
            <w:gridSpan w:val="2"/>
          </w:tcPr>
          <w:p w14:paraId="71D4B583" w14:textId="54B7B5E5" w:rsidR="008B1EF6" w:rsidRPr="00C231EE" w:rsidRDefault="008B1EF6" w:rsidP="00C231EE">
            <w:pPr>
              <w:pStyle w:val="Headingb"/>
              <w:rPr>
                <w:i/>
                <w:iCs/>
                <w:lang w:val="fr-CH"/>
              </w:rPr>
            </w:pPr>
            <w:r w:rsidRPr="00C231EE">
              <w:rPr>
                <w:i/>
                <w:iCs/>
                <w:lang w:val="fr-CH"/>
              </w:rPr>
              <w:t>Propos</w:t>
            </w:r>
            <w:r w:rsidR="00207A3A" w:rsidRPr="00C231EE">
              <w:rPr>
                <w:i/>
                <w:iCs/>
                <w:lang w:val="fr-CH"/>
              </w:rPr>
              <w:t>ition</w:t>
            </w:r>
            <w:r w:rsidRPr="00C231EE">
              <w:rPr>
                <w:i/>
                <w:iCs/>
                <w:lang w:val="fr-CH"/>
              </w:rPr>
              <w:t>:</w:t>
            </w:r>
          </w:p>
          <w:p w14:paraId="08445CCD" w14:textId="0FCE26EF" w:rsidR="008B1EF6" w:rsidRPr="00344477" w:rsidRDefault="0078305E" w:rsidP="00C231EE">
            <w:pPr>
              <w:spacing w:after="120"/>
              <w:rPr>
                <w:lang w:val="fr-CH"/>
              </w:rPr>
            </w:pPr>
            <w:r>
              <w:rPr>
                <w:lang w:val="fr-CH"/>
              </w:rPr>
              <w:t>É</w:t>
            </w:r>
            <w:r w:rsidR="00207A3A">
              <w:rPr>
                <w:lang w:val="fr-CH"/>
              </w:rPr>
              <w:t>tudier les applications IMT utilisant des</w:t>
            </w:r>
            <w:r w:rsidR="008B1EF6" w:rsidRPr="00344477">
              <w:rPr>
                <w:lang w:val="fr-CH"/>
              </w:rPr>
              <w:t xml:space="preserve"> </w:t>
            </w:r>
            <w:r w:rsidR="00344477" w:rsidRPr="00344477">
              <w:rPr>
                <w:lang w:val="fr-CH"/>
              </w:rPr>
              <w:t xml:space="preserve">stations placées sur des plates-formes à haute altitude </w:t>
            </w:r>
            <w:r w:rsidR="00207A3A">
              <w:rPr>
                <w:lang w:val="fr-CH"/>
              </w:rPr>
              <w:t>en tant que stations de base.</w:t>
            </w:r>
          </w:p>
        </w:tc>
      </w:tr>
      <w:tr w:rsidR="008B1EF6" w:rsidRPr="00994279" w14:paraId="0A1285B1" w14:textId="77777777" w:rsidTr="00604CD4">
        <w:tc>
          <w:tcPr>
            <w:tcW w:w="9272" w:type="dxa"/>
            <w:gridSpan w:val="2"/>
          </w:tcPr>
          <w:p w14:paraId="3CFF1F8E" w14:textId="77777777" w:rsidR="00207A3A" w:rsidRPr="00C231EE" w:rsidRDefault="00207A3A" w:rsidP="00C231EE">
            <w:pPr>
              <w:pStyle w:val="Headingb"/>
              <w:keepNext w:val="0"/>
              <w:rPr>
                <w:i/>
                <w:iCs/>
                <w:lang w:val="fr-CH"/>
              </w:rPr>
            </w:pPr>
            <w:r w:rsidRPr="00C231EE">
              <w:rPr>
                <w:i/>
                <w:iCs/>
                <w:lang w:val="fr-CH"/>
              </w:rPr>
              <w:t>Contexte/motif:</w:t>
            </w:r>
          </w:p>
          <w:p w14:paraId="44701B3C" w14:textId="370D7A91" w:rsidR="008B1EF6" w:rsidRPr="003F1D7D" w:rsidRDefault="0078305E" w:rsidP="00C231EE">
            <w:pPr>
              <w:rPr>
                <w:lang w:val="fr-CH"/>
              </w:rPr>
            </w:pPr>
            <w:r>
              <w:rPr>
                <w:lang w:val="fr-CH"/>
              </w:rPr>
              <w:t>É</w:t>
            </w:r>
            <w:r w:rsidR="00207A3A" w:rsidRPr="00207A3A">
              <w:rPr>
                <w:lang w:val="fr-CH"/>
              </w:rPr>
              <w:t>tant donné que la demande de services</w:t>
            </w:r>
            <w:r w:rsidR="00754429">
              <w:rPr>
                <w:lang w:val="fr-CH"/>
              </w:rPr>
              <w:t xml:space="preserve"> </w:t>
            </w:r>
            <w:r w:rsidR="00207A3A" w:rsidRPr="00207A3A">
              <w:rPr>
                <w:lang w:val="fr-CH"/>
              </w:rPr>
              <w:t xml:space="preserve">large bande ne cesse de croître, </w:t>
            </w:r>
            <w:r w:rsidR="003F1D7D">
              <w:rPr>
                <w:lang w:val="fr-CH"/>
              </w:rPr>
              <w:t>il est nécessaire de trouver une solution pour</w:t>
            </w:r>
            <w:r w:rsidR="00207A3A" w:rsidRPr="00207A3A">
              <w:rPr>
                <w:lang w:val="fr-CH"/>
              </w:rPr>
              <w:t xml:space="preserve"> fournir un accès large bande dans les zones mal desservies avec une infrastructure au sol</w:t>
            </w:r>
            <w:r w:rsidR="003F1D7D">
              <w:rPr>
                <w:lang w:val="fr-CH"/>
              </w:rPr>
              <w:t xml:space="preserve"> et moyennant une maintenance</w:t>
            </w:r>
            <w:r w:rsidR="00207A3A" w:rsidRPr="00207A3A">
              <w:rPr>
                <w:lang w:val="fr-CH"/>
              </w:rPr>
              <w:t xml:space="preserve"> minime.</w:t>
            </w:r>
            <w:r w:rsidR="003F1D7D">
              <w:t xml:space="preserve"> </w:t>
            </w:r>
            <w:r w:rsidR="003F1D7D">
              <w:rPr>
                <w:lang w:val="fr-CH"/>
              </w:rPr>
              <w:t>L</w:t>
            </w:r>
            <w:r w:rsidR="003F1D7D" w:rsidRPr="003F1D7D">
              <w:rPr>
                <w:lang w:val="fr-CH"/>
              </w:rPr>
              <w:t xml:space="preserve">a CMR-15 a adopté la </w:t>
            </w:r>
            <w:r w:rsidR="003F1D7D" w:rsidRPr="00C231EE">
              <w:rPr>
                <w:lang w:val="fr-CH"/>
              </w:rPr>
              <w:t xml:space="preserve">Résolution </w:t>
            </w:r>
            <w:r w:rsidR="003F1D7D" w:rsidRPr="00C231EE">
              <w:rPr>
                <w:b/>
                <w:bCs/>
                <w:lang w:val="fr-CH"/>
              </w:rPr>
              <w:t>160 (CMR-15)</w:t>
            </w:r>
            <w:r w:rsidR="003F1D7D">
              <w:rPr>
                <w:lang w:val="fr-CH"/>
              </w:rPr>
              <w:t>,</w:t>
            </w:r>
            <w:r w:rsidR="00754429">
              <w:rPr>
                <w:lang w:val="fr-CH"/>
              </w:rPr>
              <w:t xml:space="preserve"> </w:t>
            </w:r>
            <w:r w:rsidR="003F1D7D" w:rsidRPr="003F1D7D">
              <w:rPr>
                <w:lang w:val="fr-CH"/>
              </w:rPr>
              <w:t>afin d'étudier les solutions propres à faciliter l'accès partout dans le monde à des applications large bande fournies par des stations</w:t>
            </w:r>
            <w:r w:rsidR="008B1EF6" w:rsidRPr="00207A3A">
              <w:rPr>
                <w:lang w:val="fr-CH"/>
              </w:rPr>
              <w:t xml:space="preserve"> </w:t>
            </w:r>
            <w:r w:rsidR="00344477" w:rsidRPr="003F1D7D">
              <w:rPr>
                <w:lang w:val="fr-CH"/>
              </w:rPr>
              <w:t>placées sur des plates</w:t>
            </w:r>
            <w:r w:rsidR="00E7687D">
              <w:rPr>
                <w:lang w:val="fr-CH"/>
              </w:rPr>
              <w:noBreakHyphen/>
            </w:r>
            <w:r w:rsidR="00344477" w:rsidRPr="003F1D7D">
              <w:rPr>
                <w:lang w:val="fr-CH"/>
              </w:rPr>
              <w:t>formes à haute altitude</w:t>
            </w:r>
            <w:r w:rsidR="003F1D7D">
              <w:rPr>
                <w:lang w:val="fr-CH"/>
              </w:rPr>
              <w:t xml:space="preserve"> dans le service fixe</w:t>
            </w:r>
            <w:r w:rsidR="00C231EE">
              <w:rPr>
                <w:lang w:val="fr-CH"/>
              </w:rPr>
              <w:t>,</w:t>
            </w:r>
            <w:r w:rsidR="003F1D7D">
              <w:rPr>
                <w:lang w:val="fr-CH"/>
              </w:rPr>
              <w:t xml:space="preserve"> et des études sont en cours, au titre du point </w:t>
            </w:r>
            <w:r w:rsidR="003F1D7D" w:rsidRPr="003F1D7D">
              <w:rPr>
                <w:lang w:val="fr-CH"/>
              </w:rPr>
              <w:t xml:space="preserve">1.14 </w:t>
            </w:r>
            <w:r w:rsidR="003F1D7D">
              <w:rPr>
                <w:lang w:val="fr-CH"/>
              </w:rPr>
              <w:t>de l</w:t>
            </w:r>
            <w:r w:rsidR="007F49F0">
              <w:rPr>
                <w:lang w:val="fr-CH"/>
              </w:rPr>
              <w:t>'</w:t>
            </w:r>
            <w:r w:rsidR="003F1D7D">
              <w:rPr>
                <w:lang w:val="fr-CH"/>
              </w:rPr>
              <w:t>ordre du jour de la</w:t>
            </w:r>
            <w:r w:rsidR="008B1EF6" w:rsidRPr="003F1D7D">
              <w:rPr>
                <w:lang w:val="fr-CH"/>
              </w:rPr>
              <w:t xml:space="preserve"> </w:t>
            </w:r>
            <w:r w:rsidR="001A193E" w:rsidRPr="003F1D7D">
              <w:rPr>
                <w:lang w:val="fr-CH"/>
              </w:rPr>
              <w:t>CMR</w:t>
            </w:r>
            <w:r w:rsidR="008B1EF6" w:rsidRPr="003F1D7D">
              <w:rPr>
                <w:lang w:val="fr-CH"/>
              </w:rPr>
              <w:t>-19</w:t>
            </w:r>
            <w:r w:rsidR="003F1D7D">
              <w:rPr>
                <w:lang w:val="fr-CH"/>
              </w:rPr>
              <w:t xml:space="preserve">, concernant les </w:t>
            </w:r>
            <w:r w:rsidR="00344477" w:rsidRPr="003F1D7D">
              <w:rPr>
                <w:lang w:val="fr-CH"/>
              </w:rPr>
              <w:t xml:space="preserve">stations placées sur des plates-formes à haute altitude </w:t>
            </w:r>
            <w:r w:rsidR="003F1D7D">
              <w:rPr>
                <w:lang w:val="fr-CH"/>
              </w:rPr>
              <w:t xml:space="preserve">utilisant des bandes de fréquences au-dessus de 6 GHz pour la fourniture </w:t>
            </w:r>
            <w:proofErr w:type="gramStart"/>
            <w:r w:rsidR="003F1D7D">
              <w:rPr>
                <w:lang w:val="fr-CH"/>
              </w:rPr>
              <w:t>du large bande</w:t>
            </w:r>
            <w:proofErr w:type="gramEnd"/>
            <w:r w:rsidR="003F1D7D">
              <w:rPr>
                <w:lang w:val="fr-CH"/>
              </w:rPr>
              <w:t>.</w:t>
            </w:r>
            <w:r w:rsidR="00754429">
              <w:rPr>
                <w:lang w:val="fr-CH"/>
              </w:rPr>
              <w:t xml:space="preserve"> </w:t>
            </w:r>
          </w:p>
          <w:p w14:paraId="1BD1A61D" w14:textId="6EE8CCED" w:rsidR="008B1EF6" w:rsidRPr="00F74A1F" w:rsidRDefault="00A42CC7" w:rsidP="00C231EE">
            <w:pPr>
              <w:rPr>
                <w:lang w:val="fr-CH"/>
              </w:rPr>
            </w:pPr>
            <w:r w:rsidRPr="00A42CC7">
              <w:rPr>
                <w:lang w:val="fr-CH"/>
              </w:rPr>
              <w:t>Parallèlement, pour tirer parti de leur capacité de desservir des zones étendues (</w:t>
            </w:r>
            <w:r w:rsidR="00C231EE">
              <w:rPr>
                <w:lang w:val="fr-CH"/>
              </w:rPr>
              <w:t>s'étendant sur</w:t>
            </w:r>
            <w:r>
              <w:rPr>
                <w:lang w:val="fr-CH"/>
              </w:rPr>
              <w:t xml:space="preserve"> plus de</w:t>
            </w:r>
            <w:r w:rsidRPr="00A42CC7">
              <w:rPr>
                <w:lang w:val="fr-CH"/>
              </w:rPr>
              <w:t xml:space="preserve"> 30</w:t>
            </w:r>
            <w:r w:rsidR="00C231EE">
              <w:rPr>
                <w:lang w:val="fr-CH"/>
              </w:rPr>
              <w:t xml:space="preserve"> </w:t>
            </w:r>
            <w:r w:rsidRPr="00A42CC7">
              <w:rPr>
                <w:lang w:val="fr-CH"/>
              </w:rPr>
              <w:t>000 km</w:t>
            </w:r>
            <w:r w:rsidRPr="00A42CC7">
              <w:rPr>
                <w:vertAlign w:val="superscript"/>
                <w:lang w:val="fr-CH"/>
              </w:rPr>
              <w:t>2</w:t>
            </w:r>
            <w:r w:rsidRPr="00A42CC7">
              <w:rPr>
                <w:lang w:val="fr-CH"/>
              </w:rPr>
              <w:t>) avec un faible temps de latence</w:t>
            </w:r>
            <w:r w:rsidR="008B1EF6" w:rsidRPr="00A42CC7">
              <w:rPr>
                <w:lang w:val="fr-CH"/>
              </w:rPr>
              <w:t xml:space="preserve"> (1/30</w:t>
            </w:r>
            <w:r w:rsidR="00754429">
              <w:rPr>
                <w:lang w:val="fr-CH"/>
              </w:rPr>
              <w:t xml:space="preserve"> </w:t>
            </w:r>
            <w:r w:rsidR="00C231EE">
              <w:rPr>
                <w:lang w:val="fr-CH"/>
              </w:rPr>
              <w:t xml:space="preserve">pour les </w:t>
            </w:r>
            <w:r>
              <w:rPr>
                <w:lang w:val="fr-CH"/>
              </w:rPr>
              <w:t>satellites</w:t>
            </w:r>
            <w:r w:rsidR="008B1EF6" w:rsidRPr="00A42CC7">
              <w:rPr>
                <w:lang w:val="fr-CH"/>
              </w:rPr>
              <w:t xml:space="preserve"> LEO</w:t>
            </w:r>
            <w:r w:rsidR="00754429">
              <w:rPr>
                <w:lang w:val="fr-CH"/>
              </w:rPr>
              <w:t xml:space="preserve"> </w:t>
            </w:r>
            <w:r>
              <w:rPr>
                <w:lang w:val="fr-CH"/>
              </w:rPr>
              <w:t xml:space="preserve">et </w:t>
            </w:r>
            <w:r w:rsidR="008B1EF6" w:rsidRPr="00A42CC7">
              <w:rPr>
                <w:lang w:val="fr-CH"/>
              </w:rPr>
              <w:t xml:space="preserve">1/1800 </w:t>
            </w:r>
            <w:r w:rsidR="00C231EE">
              <w:rPr>
                <w:lang w:val="fr-CH"/>
              </w:rPr>
              <w:t>pour les</w:t>
            </w:r>
            <w:r>
              <w:rPr>
                <w:lang w:val="fr-CH"/>
              </w:rPr>
              <w:t xml:space="preserve"> satellites</w:t>
            </w:r>
            <w:r w:rsidRPr="00A42CC7">
              <w:rPr>
                <w:lang w:val="fr-CH"/>
              </w:rPr>
              <w:t xml:space="preserve"> </w:t>
            </w:r>
            <w:r w:rsidR="008B1EF6" w:rsidRPr="00A42CC7">
              <w:rPr>
                <w:lang w:val="fr-CH"/>
              </w:rPr>
              <w:t xml:space="preserve">GEO), </w:t>
            </w:r>
            <w:r w:rsidR="00142DA6">
              <w:rPr>
                <w:lang w:val="fr-CH"/>
              </w:rPr>
              <w:t xml:space="preserve">les </w:t>
            </w:r>
            <w:r w:rsidR="00344477" w:rsidRPr="00A42CC7">
              <w:rPr>
                <w:lang w:val="fr-CH"/>
              </w:rPr>
              <w:t>stations placées sur des plates-formes à haute altitude</w:t>
            </w:r>
            <w:r w:rsidR="00142DA6">
              <w:rPr>
                <w:lang w:val="fr-CH"/>
              </w:rPr>
              <w:t xml:space="preserve"> peuvent également être utilisées en tant que stations de base IMT</w:t>
            </w:r>
            <w:r w:rsidR="00344477" w:rsidRPr="00A42CC7">
              <w:rPr>
                <w:lang w:val="fr-CH"/>
              </w:rPr>
              <w:t xml:space="preserve"> </w:t>
            </w:r>
            <w:r w:rsidR="008B1EF6" w:rsidRPr="00A42CC7">
              <w:rPr>
                <w:lang w:val="fr-CH"/>
              </w:rPr>
              <w:t>(HIBS)</w:t>
            </w:r>
            <w:r w:rsidR="00142DA6">
              <w:rPr>
                <w:lang w:val="fr-CH"/>
              </w:rPr>
              <w:t xml:space="preserve"> dans les bandes de fréquences au-dessous de </w:t>
            </w:r>
            <w:r w:rsidR="008B1EF6" w:rsidRPr="00A42CC7">
              <w:rPr>
                <w:lang w:val="fr-CH"/>
              </w:rPr>
              <w:t>2</w:t>
            </w:r>
            <w:r w:rsidR="0078305E">
              <w:rPr>
                <w:lang w:val="fr-CH"/>
              </w:rPr>
              <w:t>,</w:t>
            </w:r>
            <w:r w:rsidR="008B1EF6" w:rsidRPr="00A42CC7">
              <w:rPr>
                <w:lang w:val="fr-CH"/>
              </w:rPr>
              <w:t>7 GHz</w:t>
            </w:r>
            <w:r w:rsidR="00142DA6">
              <w:rPr>
                <w:lang w:val="fr-CH"/>
              </w:rPr>
              <w:t>,</w:t>
            </w:r>
            <w:r w:rsidR="00142DA6" w:rsidRPr="00142DA6">
              <w:rPr>
                <w:lang w:val="fr-CH"/>
              </w:rPr>
              <w:t xml:space="preserve"> afin de</w:t>
            </w:r>
            <w:r w:rsidR="00142DA6">
              <w:rPr>
                <w:lang w:val="fr-CH"/>
              </w:rPr>
              <w:t xml:space="preserve"> fournir une connectivité mobile dans les zones</w:t>
            </w:r>
            <w:r w:rsidR="00142DA6" w:rsidRPr="00142DA6">
              <w:rPr>
                <w:lang w:val="fr-CH"/>
              </w:rPr>
              <w:t xml:space="preserve"> mal desservies</w:t>
            </w:r>
            <w:r w:rsidR="00142DA6">
              <w:rPr>
                <w:lang w:val="fr-CH"/>
              </w:rPr>
              <w:t xml:space="preserve">. </w:t>
            </w:r>
            <w:r w:rsidR="00142DA6" w:rsidRPr="00F74A1F">
              <w:rPr>
                <w:lang w:val="fr-CH"/>
              </w:rPr>
              <w:t>S</w:t>
            </w:r>
            <w:r w:rsidR="007F49F0">
              <w:rPr>
                <w:lang w:val="fr-CH"/>
              </w:rPr>
              <w:t>'</w:t>
            </w:r>
            <w:r w:rsidR="00142DA6" w:rsidRPr="00F74A1F">
              <w:rPr>
                <w:lang w:val="fr-CH"/>
              </w:rPr>
              <w:t xml:space="preserve">agissant plus particulièrement de la fourniture </w:t>
            </w:r>
            <w:r w:rsidR="00C231EE">
              <w:rPr>
                <w:lang w:val="fr-CH"/>
              </w:rPr>
              <w:t>d'</w:t>
            </w:r>
            <w:r w:rsidR="00142DA6" w:rsidRPr="00F74A1F">
              <w:rPr>
                <w:lang w:val="fr-CH"/>
              </w:rPr>
              <w:t>une connectivité pour l</w:t>
            </w:r>
            <w:r w:rsidR="007F49F0">
              <w:rPr>
                <w:lang w:val="fr-CH"/>
              </w:rPr>
              <w:t>'</w:t>
            </w:r>
            <w:r w:rsidR="008B1EF6" w:rsidRPr="00F74A1F">
              <w:rPr>
                <w:lang w:val="fr-CH"/>
              </w:rPr>
              <w:t xml:space="preserve">IoT, </w:t>
            </w:r>
            <w:r w:rsidR="00F74A1F" w:rsidRPr="00F74A1F">
              <w:rPr>
                <w:lang w:val="fr-CH"/>
              </w:rPr>
              <w:t>qui devrait se généraliser en 2020 et au-delà, les opérateurs de réseaux mobiles</w:t>
            </w:r>
            <w:r w:rsidR="00754429">
              <w:rPr>
                <w:lang w:val="fr-CH"/>
              </w:rPr>
              <w:t xml:space="preserve"> </w:t>
            </w:r>
            <w:r w:rsidR="008B1EF6" w:rsidRPr="00F74A1F">
              <w:rPr>
                <w:lang w:val="fr-CH"/>
              </w:rPr>
              <w:t xml:space="preserve">(MNO) </w:t>
            </w:r>
            <w:r w:rsidR="00F74A1F">
              <w:rPr>
                <w:lang w:val="fr-CH"/>
              </w:rPr>
              <w:t xml:space="preserve">sont censés réunir les conditions nécessaires pour </w:t>
            </w:r>
            <w:r w:rsidR="00F74A1F" w:rsidRPr="00F74A1F">
              <w:rPr>
                <w:lang w:val="fr-CH"/>
              </w:rPr>
              <w:t xml:space="preserve">desservir des zones plus vastes </w:t>
            </w:r>
            <w:r w:rsidR="00F74A1F">
              <w:rPr>
                <w:lang w:val="fr-CH"/>
              </w:rPr>
              <w:t>en utilisant les bandes de fréquences qui leur sont attribuées, et ce</w:t>
            </w:r>
            <w:r w:rsidR="00754429">
              <w:rPr>
                <w:lang w:val="fr-CH"/>
              </w:rPr>
              <w:t xml:space="preserve"> </w:t>
            </w:r>
            <w:r w:rsidR="00F74A1F">
              <w:rPr>
                <w:lang w:val="fr-CH"/>
              </w:rPr>
              <w:t xml:space="preserve">à un coût raisonnable. </w:t>
            </w:r>
            <w:r w:rsidR="00F74A1F" w:rsidRPr="00F74A1F">
              <w:rPr>
                <w:lang w:val="fr-CH"/>
              </w:rPr>
              <w:t>Les systèmes à satellites pourraient en effet desservir des zones beaucoup plus étendues, mais il est difficile de parvenir</w:t>
            </w:r>
            <w:r w:rsidR="00F74A1F">
              <w:rPr>
                <w:lang w:val="fr-CH"/>
              </w:rPr>
              <w:t>, pour les stations</w:t>
            </w:r>
            <w:r w:rsidR="00F74A1F" w:rsidRPr="00F74A1F">
              <w:rPr>
                <w:lang w:val="fr-CH"/>
              </w:rPr>
              <w:t xml:space="preserve"> HIBS</w:t>
            </w:r>
            <w:r w:rsidR="00F74A1F">
              <w:rPr>
                <w:lang w:val="fr-CH"/>
              </w:rPr>
              <w:t>,</w:t>
            </w:r>
            <w:r w:rsidR="00F74A1F" w:rsidRPr="00F74A1F">
              <w:rPr>
                <w:lang w:val="fr-CH"/>
              </w:rPr>
              <w:t xml:space="preserve"> à un faible temps de latence analogue</w:t>
            </w:r>
            <w:r w:rsidR="00F74A1F">
              <w:rPr>
                <w:lang w:val="fr-CH"/>
              </w:rPr>
              <w:t xml:space="preserve"> à celui des réseaux</w:t>
            </w:r>
            <w:r w:rsidR="00754429">
              <w:rPr>
                <w:lang w:val="fr-CH"/>
              </w:rPr>
              <w:t xml:space="preserve"> </w:t>
            </w:r>
            <w:r w:rsidR="00F74A1F">
              <w:rPr>
                <w:lang w:val="fr-CH"/>
              </w:rPr>
              <w:t>IMT au sol.</w:t>
            </w:r>
          </w:p>
          <w:p w14:paraId="54DE6DCB" w14:textId="39C5651F" w:rsidR="008B1EF6" w:rsidRPr="007949FD" w:rsidRDefault="001249D0" w:rsidP="00C231EE">
            <w:pPr>
              <w:rPr>
                <w:lang w:val="fr-CH"/>
              </w:rPr>
            </w:pPr>
            <w:r w:rsidRPr="001249D0">
              <w:rPr>
                <w:lang w:val="fr-CH"/>
              </w:rPr>
              <w:t>Lors de la</w:t>
            </w:r>
            <w:r w:rsidR="008B1EF6" w:rsidRPr="001249D0">
              <w:rPr>
                <w:lang w:val="fr-CH"/>
              </w:rPr>
              <w:t xml:space="preserve"> </w:t>
            </w:r>
            <w:r w:rsidR="001A193E" w:rsidRPr="001249D0">
              <w:rPr>
                <w:lang w:val="fr-CH"/>
              </w:rPr>
              <w:t>CMR</w:t>
            </w:r>
            <w:r w:rsidR="008B1EF6" w:rsidRPr="001249D0">
              <w:rPr>
                <w:lang w:val="fr-CH"/>
              </w:rPr>
              <w:t xml:space="preserve">-2000, </w:t>
            </w:r>
            <w:r w:rsidRPr="001249D0">
              <w:rPr>
                <w:lang w:val="fr-CH"/>
              </w:rPr>
              <w:t xml:space="preserve">les </w:t>
            </w:r>
            <w:r w:rsidR="008B1EF6" w:rsidRPr="001249D0">
              <w:rPr>
                <w:lang w:val="fr-CH"/>
              </w:rPr>
              <w:t>band</w:t>
            </w:r>
            <w:r w:rsidRPr="001249D0">
              <w:rPr>
                <w:lang w:val="fr-CH"/>
              </w:rPr>
              <w:t>e</w:t>
            </w:r>
            <w:r w:rsidR="008B1EF6" w:rsidRPr="001249D0">
              <w:rPr>
                <w:lang w:val="fr-CH"/>
              </w:rPr>
              <w:t>s 1 885-1 980 MHz, 2 010-2 025 MHz</w:t>
            </w:r>
            <w:r w:rsidR="00754429">
              <w:rPr>
                <w:lang w:val="fr-CH"/>
              </w:rPr>
              <w:t xml:space="preserve"> </w:t>
            </w:r>
            <w:r w:rsidRPr="001249D0">
              <w:rPr>
                <w:lang w:val="fr-CH"/>
              </w:rPr>
              <w:t>et</w:t>
            </w:r>
            <w:r w:rsidR="008B1EF6" w:rsidRPr="001249D0">
              <w:rPr>
                <w:lang w:val="fr-CH"/>
              </w:rPr>
              <w:t xml:space="preserve"> 2 110-2 170 MHz </w:t>
            </w:r>
            <w:r w:rsidRPr="001249D0">
              <w:rPr>
                <w:lang w:val="fr-CH"/>
              </w:rPr>
              <w:t>dans les</w:t>
            </w:r>
            <w:r w:rsidR="008B1EF6" w:rsidRPr="001249D0">
              <w:rPr>
                <w:lang w:val="fr-CH"/>
              </w:rPr>
              <w:t xml:space="preserve"> </w:t>
            </w:r>
            <w:r w:rsidRPr="001249D0">
              <w:rPr>
                <w:lang w:val="fr-CH"/>
              </w:rPr>
              <w:t>Régions</w:t>
            </w:r>
            <w:r w:rsidR="00754429">
              <w:rPr>
                <w:lang w:val="fr-CH"/>
              </w:rPr>
              <w:t xml:space="preserve"> </w:t>
            </w:r>
            <w:r w:rsidR="008B1EF6" w:rsidRPr="001249D0">
              <w:rPr>
                <w:lang w:val="fr-CH"/>
              </w:rPr>
              <w:t>1</w:t>
            </w:r>
            <w:r w:rsidR="00754429">
              <w:rPr>
                <w:lang w:val="fr-CH"/>
              </w:rPr>
              <w:t xml:space="preserve"> </w:t>
            </w:r>
            <w:r w:rsidRPr="001249D0">
              <w:rPr>
                <w:lang w:val="fr-CH"/>
              </w:rPr>
              <w:t>et</w:t>
            </w:r>
            <w:r w:rsidR="008B1EF6" w:rsidRPr="001249D0">
              <w:rPr>
                <w:lang w:val="fr-CH"/>
              </w:rPr>
              <w:t xml:space="preserve"> 3</w:t>
            </w:r>
            <w:r w:rsidRPr="001249D0">
              <w:rPr>
                <w:lang w:val="fr-CH"/>
              </w:rPr>
              <w:t xml:space="preserve"> et les bandes</w:t>
            </w:r>
            <w:r w:rsidR="00754429">
              <w:rPr>
                <w:lang w:val="fr-CH"/>
              </w:rPr>
              <w:t xml:space="preserve"> </w:t>
            </w:r>
            <w:r w:rsidR="008B1EF6" w:rsidRPr="001249D0">
              <w:rPr>
                <w:lang w:val="fr-CH"/>
              </w:rPr>
              <w:t xml:space="preserve">1 885-1 980 MHz </w:t>
            </w:r>
            <w:r w:rsidRPr="001249D0">
              <w:rPr>
                <w:lang w:val="fr-CH"/>
              </w:rPr>
              <w:t>et</w:t>
            </w:r>
            <w:r w:rsidR="008B1EF6" w:rsidRPr="001249D0">
              <w:rPr>
                <w:lang w:val="fr-CH"/>
              </w:rPr>
              <w:t xml:space="preserve"> 2 110-2 160 MHz </w:t>
            </w:r>
            <w:r w:rsidRPr="001249D0">
              <w:rPr>
                <w:lang w:val="fr-CH"/>
              </w:rPr>
              <w:t>en Région</w:t>
            </w:r>
            <w:r w:rsidR="00754429">
              <w:rPr>
                <w:lang w:val="fr-CH"/>
              </w:rPr>
              <w:t xml:space="preserve"> </w:t>
            </w:r>
            <w:r w:rsidR="008B1EF6" w:rsidRPr="001249D0">
              <w:rPr>
                <w:lang w:val="fr-CH"/>
              </w:rPr>
              <w:t xml:space="preserve">2 </w:t>
            </w:r>
            <w:r w:rsidRPr="001249D0">
              <w:rPr>
                <w:lang w:val="fr-CH"/>
              </w:rPr>
              <w:t>ont</w:t>
            </w:r>
            <w:r w:rsidR="004B1DCC">
              <w:rPr>
                <w:lang w:val="fr-CH"/>
              </w:rPr>
              <w:t> </w:t>
            </w:r>
            <w:r w:rsidRPr="001249D0">
              <w:rPr>
                <w:lang w:val="fr-CH"/>
              </w:rPr>
              <w:t>été identifiées dans le service mobile pour les stations</w:t>
            </w:r>
            <w:r>
              <w:rPr>
                <w:lang w:val="fr-CH"/>
              </w:rPr>
              <w:t xml:space="preserve"> </w:t>
            </w:r>
            <w:r w:rsidR="008B1EF6" w:rsidRPr="001249D0">
              <w:rPr>
                <w:lang w:val="fr-CH"/>
              </w:rPr>
              <w:t>HIBS</w:t>
            </w:r>
            <w:r>
              <w:rPr>
                <w:lang w:val="fr-CH"/>
              </w:rPr>
              <w:t xml:space="preserve"> en vertu du numéro </w:t>
            </w:r>
            <w:r w:rsidRPr="00D851CB">
              <w:rPr>
                <w:b/>
                <w:bCs/>
                <w:lang w:val="fr-CH"/>
              </w:rPr>
              <w:t>5.388A</w:t>
            </w:r>
            <w:r w:rsidR="00754429">
              <w:rPr>
                <w:lang w:val="fr-CH"/>
              </w:rPr>
              <w:t xml:space="preserve"> </w:t>
            </w:r>
            <w:r>
              <w:rPr>
                <w:lang w:val="fr-CH"/>
              </w:rPr>
              <w:t>du RR</w:t>
            </w:r>
            <w:r w:rsidR="00D851CB">
              <w:rPr>
                <w:lang w:val="fr-CH"/>
              </w:rPr>
              <w:t>;</w:t>
            </w:r>
            <w:r w:rsidR="00754429">
              <w:rPr>
                <w:lang w:val="fr-CH"/>
              </w:rPr>
              <w:t xml:space="preserve"> </w:t>
            </w:r>
            <w:r w:rsidR="00D851CB">
              <w:rPr>
                <w:lang w:val="fr-CH"/>
              </w:rPr>
              <w:t>de plus,</w:t>
            </w:r>
            <w:r w:rsidR="00296701">
              <w:rPr>
                <w:lang w:val="fr-CH"/>
              </w:rPr>
              <w:t xml:space="preserve"> la</w:t>
            </w:r>
            <w:r w:rsidR="008B1EF6" w:rsidRPr="001249D0">
              <w:rPr>
                <w:lang w:val="fr-CH"/>
              </w:rPr>
              <w:t xml:space="preserve"> </w:t>
            </w:r>
            <w:r w:rsidR="00C035A3" w:rsidRPr="001249D0">
              <w:rPr>
                <w:lang w:val="fr-CH"/>
              </w:rPr>
              <w:t>Résolution</w:t>
            </w:r>
            <w:r w:rsidR="008B1EF6" w:rsidRPr="001249D0">
              <w:rPr>
                <w:lang w:val="fr-CH"/>
              </w:rPr>
              <w:t xml:space="preserve"> </w:t>
            </w:r>
            <w:r w:rsidR="008B1EF6" w:rsidRPr="00D851CB">
              <w:rPr>
                <w:b/>
                <w:bCs/>
                <w:lang w:val="fr-CH"/>
              </w:rPr>
              <w:t>221 (</w:t>
            </w:r>
            <w:r w:rsidR="00AA277F" w:rsidRPr="00D851CB">
              <w:rPr>
                <w:b/>
                <w:bCs/>
                <w:lang w:val="fr-CH"/>
              </w:rPr>
              <w:t>Rév</w:t>
            </w:r>
            <w:r w:rsidR="008B1EF6" w:rsidRPr="00D851CB">
              <w:rPr>
                <w:b/>
                <w:bCs/>
                <w:lang w:val="fr-CH"/>
              </w:rPr>
              <w:t>.</w:t>
            </w:r>
            <w:r w:rsidR="001A193E" w:rsidRPr="00D851CB">
              <w:rPr>
                <w:b/>
                <w:bCs/>
                <w:lang w:val="fr-CH"/>
              </w:rPr>
              <w:t>CMR</w:t>
            </w:r>
            <w:r w:rsidR="008B1EF6" w:rsidRPr="00D851CB">
              <w:rPr>
                <w:b/>
                <w:bCs/>
                <w:lang w:val="fr-CH"/>
              </w:rPr>
              <w:t xml:space="preserve">-07) </w:t>
            </w:r>
            <w:r w:rsidR="00296701">
              <w:rPr>
                <w:lang w:val="fr-CH"/>
              </w:rPr>
              <w:t xml:space="preserve">définit les conditions techniques que doivent </w:t>
            </w:r>
            <w:r w:rsidR="00296701" w:rsidRPr="00A40E6D">
              <w:rPr>
                <w:bCs/>
                <w:lang w:val="fr-CH"/>
              </w:rPr>
              <w:t>respecter les stations</w:t>
            </w:r>
            <w:r w:rsidR="00296701" w:rsidRPr="00A40E6D">
              <w:rPr>
                <w:lang w:val="fr-CH"/>
              </w:rPr>
              <w:t xml:space="preserve"> HIBS pour assurer la protection des stations IMT au sol dans les pays voisins</w:t>
            </w:r>
            <w:r w:rsidR="00296701">
              <w:rPr>
                <w:lang w:val="fr-CH"/>
              </w:rPr>
              <w:t xml:space="preserve"> et des autres services,</w:t>
            </w:r>
            <w:r w:rsidR="00296701" w:rsidRPr="00A40E6D">
              <w:t xml:space="preserve"> </w:t>
            </w:r>
            <w:r w:rsidR="00296701" w:rsidRPr="00A40E6D">
              <w:rPr>
                <w:lang w:val="fr-CH"/>
              </w:rPr>
              <w:t>compte tenu des études de partage et de compatibilité</w:t>
            </w:r>
            <w:r w:rsidR="00296701">
              <w:rPr>
                <w:lang w:val="fr-CH"/>
              </w:rPr>
              <w:t xml:space="preserve"> avec les </w:t>
            </w:r>
            <w:r w:rsidR="00296701" w:rsidRPr="00A40E6D">
              <w:rPr>
                <w:lang w:val="fr-CH"/>
              </w:rPr>
              <w:t>IMT-2000</w:t>
            </w:r>
            <w:r w:rsidR="00296701">
              <w:rPr>
                <w:lang w:val="fr-CH"/>
              </w:rPr>
              <w:t>.</w:t>
            </w:r>
            <w:r w:rsidR="00754429">
              <w:rPr>
                <w:lang w:val="fr-CH"/>
              </w:rPr>
              <w:t xml:space="preserve"> </w:t>
            </w:r>
            <w:r w:rsidR="00296701" w:rsidRPr="00296701">
              <w:rPr>
                <w:lang w:val="fr-CH"/>
              </w:rPr>
              <w:t xml:space="preserve">Depuis </w:t>
            </w:r>
            <w:r w:rsidR="008B1EF6" w:rsidRPr="00296701">
              <w:rPr>
                <w:lang w:val="fr-CH"/>
              </w:rPr>
              <w:t xml:space="preserve">2000, </w:t>
            </w:r>
            <w:r w:rsidR="00296701" w:rsidRPr="00296701">
              <w:rPr>
                <w:lang w:val="fr-CH"/>
              </w:rPr>
              <w:t>le déploiement des systèmes IMT a connu un essor spectaculaire et les technologies d</w:t>
            </w:r>
            <w:r w:rsidR="007F49F0">
              <w:rPr>
                <w:lang w:val="fr-CH"/>
              </w:rPr>
              <w:t>'</w:t>
            </w:r>
            <w:r w:rsidR="00296701" w:rsidRPr="00296701">
              <w:rPr>
                <w:lang w:val="fr-CH"/>
              </w:rPr>
              <w:t>accès radioélectriques</w:t>
            </w:r>
            <w:r w:rsidR="00296701">
              <w:rPr>
                <w:lang w:val="fr-CH"/>
              </w:rPr>
              <w:t xml:space="preserve"> </w:t>
            </w:r>
            <w:r w:rsidR="00296701" w:rsidRPr="00296701">
              <w:rPr>
                <w:lang w:val="fr-CH"/>
              </w:rPr>
              <w:t>(</w:t>
            </w:r>
            <w:r w:rsidR="00296701">
              <w:rPr>
                <w:lang w:val="fr-CH"/>
              </w:rPr>
              <w:t>c</w:t>
            </w:r>
            <w:r w:rsidR="007F49F0">
              <w:rPr>
                <w:lang w:val="fr-CH"/>
              </w:rPr>
              <w:t>'</w:t>
            </w:r>
            <w:r w:rsidR="00296701">
              <w:rPr>
                <w:lang w:val="fr-CH"/>
              </w:rPr>
              <w:t xml:space="preserve">est-à-dire les </w:t>
            </w:r>
            <w:r w:rsidR="00296701" w:rsidRPr="00296701">
              <w:rPr>
                <w:lang w:val="fr-CH"/>
              </w:rPr>
              <w:t>IMT-</w:t>
            </w:r>
            <w:r w:rsidR="00296701">
              <w:rPr>
                <w:lang w:val="fr-CH"/>
              </w:rPr>
              <w:t>évoluées et les</w:t>
            </w:r>
            <w:r w:rsidR="00754429">
              <w:rPr>
                <w:lang w:val="fr-CH"/>
              </w:rPr>
              <w:t xml:space="preserve"> </w:t>
            </w:r>
            <w:r w:rsidR="00296701" w:rsidRPr="00296701">
              <w:rPr>
                <w:lang w:val="fr-CH"/>
              </w:rPr>
              <w:t>IMT-2020)</w:t>
            </w:r>
            <w:r w:rsidR="00296701">
              <w:t xml:space="preserve"> </w:t>
            </w:r>
            <w:r w:rsidR="00296701" w:rsidRPr="00296701">
              <w:rPr>
                <w:lang w:val="fr-CH"/>
              </w:rPr>
              <w:t>se sont considérablement améliorées. Dans ce contexte</w:t>
            </w:r>
            <w:r w:rsidR="008B1EF6" w:rsidRPr="00296701">
              <w:rPr>
                <w:lang w:val="fr-CH"/>
              </w:rPr>
              <w:t xml:space="preserve">, </w:t>
            </w:r>
            <w:r w:rsidR="00296701" w:rsidRPr="00296701">
              <w:rPr>
                <w:lang w:val="fr-CH"/>
              </w:rPr>
              <w:t>le</w:t>
            </w:r>
            <w:r w:rsidR="008B1EF6" w:rsidRPr="00296701">
              <w:rPr>
                <w:lang w:val="fr-CH"/>
              </w:rPr>
              <w:t xml:space="preserve"> </w:t>
            </w:r>
            <w:r w:rsidR="001A193E" w:rsidRPr="00296701">
              <w:rPr>
                <w:lang w:val="fr-CH"/>
              </w:rPr>
              <w:t>GT</w:t>
            </w:r>
            <w:r w:rsidR="008B1EF6" w:rsidRPr="00296701">
              <w:rPr>
                <w:lang w:val="fr-CH"/>
              </w:rPr>
              <w:t xml:space="preserve"> 5D</w:t>
            </w:r>
            <w:r w:rsidR="00D851CB">
              <w:rPr>
                <w:lang w:val="fr-CH"/>
              </w:rPr>
              <w:t xml:space="preserve"> de</w:t>
            </w:r>
            <w:r w:rsidR="00754429">
              <w:rPr>
                <w:lang w:val="fr-CH"/>
              </w:rPr>
              <w:t xml:space="preserve"> </w:t>
            </w:r>
            <w:r w:rsidR="00296701" w:rsidRPr="00296701">
              <w:rPr>
                <w:lang w:val="fr-CH"/>
              </w:rPr>
              <w:t>l</w:t>
            </w:r>
            <w:r w:rsidR="007F49F0">
              <w:rPr>
                <w:lang w:val="fr-CH"/>
              </w:rPr>
              <w:t>'</w:t>
            </w:r>
            <w:r w:rsidR="00296701" w:rsidRPr="00296701">
              <w:rPr>
                <w:lang w:val="fr-CH"/>
              </w:rPr>
              <w:t>UIT-R a procédé à une analyse du partage dans le même canal pour les syst</w:t>
            </w:r>
            <w:r w:rsidR="00D851CB">
              <w:rPr>
                <w:lang w:val="fr-CH"/>
              </w:rPr>
              <w:t>è</w:t>
            </w:r>
            <w:r w:rsidR="00296701" w:rsidRPr="00296701">
              <w:rPr>
                <w:lang w:val="fr-CH"/>
              </w:rPr>
              <w:t>m</w:t>
            </w:r>
            <w:r w:rsidR="00D851CB">
              <w:rPr>
                <w:lang w:val="fr-CH"/>
              </w:rPr>
              <w:t>e</w:t>
            </w:r>
            <w:r w:rsidR="00296701" w:rsidRPr="00296701">
              <w:rPr>
                <w:lang w:val="fr-CH"/>
              </w:rPr>
              <w:t xml:space="preserve">s IMT-évoluées utilisant des stations </w:t>
            </w:r>
            <w:r w:rsidR="008B1EF6" w:rsidRPr="00296701">
              <w:rPr>
                <w:lang w:val="fr-CH"/>
              </w:rPr>
              <w:t>HIBS</w:t>
            </w:r>
            <w:r w:rsidR="00296701" w:rsidRPr="00296701">
              <w:rPr>
                <w:lang w:val="fr-CH"/>
              </w:rPr>
              <w:t xml:space="preserve"> conformément au numéro </w:t>
            </w:r>
            <w:r w:rsidR="00296701" w:rsidRPr="00D851CB">
              <w:rPr>
                <w:b/>
                <w:bCs/>
                <w:lang w:val="fr-CH"/>
              </w:rPr>
              <w:t>5.388A</w:t>
            </w:r>
            <w:r w:rsidR="00296701" w:rsidRPr="00296701">
              <w:rPr>
                <w:lang w:val="fr-CH"/>
              </w:rPr>
              <w:t xml:space="preserve"> du </w:t>
            </w:r>
            <w:r w:rsidR="008B1EF6" w:rsidRPr="00296701">
              <w:rPr>
                <w:lang w:val="fr-CH"/>
              </w:rPr>
              <w:t>RR</w:t>
            </w:r>
            <w:r w:rsidR="00296701">
              <w:rPr>
                <w:lang w:val="fr-CH"/>
              </w:rPr>
              <w:t>.</w:t>
            </w:r>
            <w:r w:rsidR="00754429">
              <w:rPr>
                <w:lang w:val="fr-CH"/>
              </w:rPr>
              <w:t xml:space="preserve"> </w:t>
            </w:r>
            <w:r w:rsidR="00296701" w:rsidRPr="00296701">
              <w:rPr>
                <w:lang w:val="fr-CH"/>
              </w:rPr>
              <w:t>Cependant, le but de cette étude n</w:t>
            </w:r>
            <w:r w:rsidR="007F49F0">
              <w:rPr>
                <w:lang w:val="fr-CH"/>
              </w:rPr>
              <w:t>'</w:t>
            </w:r>
            <w:r w:rsidR="00296701" w:rsidRPr="00296701">
              <w:rPr>
                <w:lang w:val="fr-CH"/>
              </w:rPr>
              <w:t xml:space="preserve">est pas de revoir </w:t>
            </w:r>
            <w:r w:rsidR="00296701">
              <w:rPr>
                <w:lang w:val="fr-CH"/>
              </w:rPr>
              <w:t>l</w:t>
            </w:r>
            <w:r w:rsidR="007F49F0">
              <w:rPr>
                <w:lang w:val="fr-CH"/>
              </w:rPr>
              <w:t>'</w:t>
            </w:r>
            <w:r w:rsidR="00296701" w:rsidRPr="00296701">
              <w:rPr>
                <w:lang w:val="fr-CH"/>
              </w:rPr>
              <w:t>identification existante figurant dans le RR, et</w:t>
            </w:r>
            <w:r w:rsidR="00296701">
              <w:rPr>
                <w:lang w:val="fr-CH"/>
              </w:rPr>
              <w:t xml:space="preserve"> porte donc principalement </w:t>
            </w:r>
            <w:r w:rsidR="00296701" w:rsidRPr="00296701">
              <w:rPr>
                <w:lang w:val="fr-CH"/>
              </w:rPr>
              <w:t>sur l</w:t>
            </w:r>
            <w:r w:rsidR="007F49F0">
              <w:rPr>
                <w:lang w:val="fr-CH"/>
              </w:rPr>
              <w:t>'</w:t>
            </w:r>
            <w:r w:rsidR="00296701" w:rsidRPr="00296701">
              <w:rPr>
                <w:lang w:val="fr-CH"/>
              </w:rPr>
              <w:t xml:space="preserve">analyse </w:t>
            </w:r>
            <w:r w:rsidR="00296701" w:rsidRPr="00296701">
              <w:rPr>
                <w:lang w:val="fr-CH"/>
              </w:rPr>
              <w:lastRenderedPageBreak/>
              <w:t>technique des valeurs de puissances surfacique</w:t>
            </w:r>
            <w:r w:rsidR="00754429">
              <w:rPr>
                <w:lang w:val="fr-CH"/>
              </w:rPr>
              <w:t xml:space="preserve"> </w:t>
            </w:r>
            <w:r w:rsidR="00296701" w:rsidRPr="00296701">
              <w:rPr>
                <w:lang w:val="fr-CH"/>
              </w:rPr>
              <w:t>qui peuvent être dépassées si</w:t>
            </w:r>
            <w:r w:rsidR="00754429">
              <w:rPr>
                <w:lang w:val="fr-CH"/>
              </w:rPr>
              <w:t xml:space="preserve"> </w:t>
            </w:r>
            <w:r w:rsidR="00296701" w:rsidRPr="00296701">
              <w:rPr>
                <w:lang w:val="fr-CH"/>
              </w:rPr>
              <w:t>l'accord exprès</w:t>
            </w:r>
            <w:r w:rsidR="004B1DCC">
              <w:rPr>
                <w:lang w:val="fr-CH"/>
              </w:rPr>
              <w:t> </w:t>
            </w:r>
            <w:r w:rsidR="00296701" w:rsidRPr="00296701">
              <w:rPr>
                <w:lang w:val="fr-CH"/>
              </w:rPr>
              <w:t>de l'administration concernée</w:t>
            </w:r>
            <w:r w:rsidR="00296701">
              <w:rPr>
                <w:lang w:val="fr-CH"/>
              </w:rPr>
              <w:t xml:space="preserve"> est obtenu, conformément aux dispositions de la</w:t>
            </w:r>
            <w:r w:rsidR="008B1EF6" w:rsidRPr="00296701">
              <w:rPr>
                <w:lang w:val="fr-CH"/>
              </w:rPr>
              <w:t xml:space="preserve"> </w:t>
            </w:r>
            <w:r w:rsidR="00296701" w:rsidRPr="00296701">
              <w:rPr>
                <w:lang w:val="fr-CH"/>
              </w:rPr>
              <w:t>Résolution</w:t>
            </w:r>
            <w:r w:rsidR="00850888">
              <w:rPr>
                <w:lang w:val="fr-CH"/>
              </w:rPr>
              <w:t> </w:t>
            </w:r>
            <w:r w:rsidR="00296701" w:rsidRPr="00D851CB">
              <w:rPr>
                <w:b/>
                <w:bCs/>
                <w:lang w:val="fr-CH"/>
              </w:rPr>
              <w:t>221</w:t>
            </w:r>
            <w:r w:rsidR="00E7687D">
              <w:rPr>
                <w:b/>
                <w:bCs/>
                <w:lang w:val="fr-CH"/>
              </w:rPr>
              <w:t> </w:t>
            </w:r>
            <w:r w:rsidR="00296701" w:rsidRPr="00D851CB">
              <w:rPr>
                <w:b/>
                <w:bCs/>
                <w:lang w:val="fr-CH"/>
              </w:rPr>
              <w:t>(Rév.CMR-07)</w:t>
            </w:r>
            <w:r w:rsidR="00296701">
              <w:rPr>
                <w:lang w:val="fr-CH"/>
              </w:rPr>
              <w:t xml:space="preserve"> existante. </w:t>
            </w:r>
            <w:r w:rsidR="007949FD" w:rsidRPr="007949FD">
              <w:rPr>
                <w:lang w:val="fr-CH"/>
              </w:rPr>
              <w:t>Compte tenu de ces progrès, il conviendrait de déterminer s</w:t>
            </w:r>
            <w:r w:rsidR="007F49F0">
              <w:rPr>
                <w:lang w:val="fr-CH"/>
              </w:rPr>
              <w:t>'</w:t>
            </w:r>
            <w:r w:rsidR="007949FD" w:rsidRPr="007949FD">
              <w:rPr>
                <w:lang w:val="fr-CH"/>
              </w:rPr>
              <w:t>il y a lieu d</w:t>
            </w:r>
            <w:r w:rsidR="007F49F0">
              <w:rPr>
                <w:lang w:val="fr-CH"/>
              </w:rPr>
              <w:t>'</w:t>
            </w:r>
            <w:r w:rsidR="007949FD" w:rsidRPr="007949FD">
              <w:rPr>
                <w:lang w:val="fr-CH"/>
              </w:rPr>
              <w:t>apporter des modifications à l</w:t>
            </w:r>
            <w:r w:rsidR="007F49F0">
              <w:rPr>
                <w:lang w:val="fr-CH"/>
              </w:rPr>
              <w:t>'</w:t>
            </w:r>
            <w:r w:rsidR="007949FD" w:rsidRPr="007949FD">
              <w:rPr>
                <w:lang w:val="fr-CH"/>
              </w:rPr>
              <w:t>attribution existante pour les stations</w:t>
            </w:r>
            <w:r w:rsidR="008B1EF6" w:rsidRPr="007949FD">
              <w:rPr>
                <w:lang w:val="fr-CH"/>
              </w:rPr>
              <w:t xml:space="preserve"> HIBS.</w:t>
            </w:r>
          </w:p>
          <w:p w14:paraId="7426D49E" w14:textId="181C03BE" w:rsidR="008B1EF6" w:rsidRPr="006D2A0A" w:rsidRDefault="006D2A0A" w:rsidP="00C231EE">
            <w:pPr>
              <w:rPr>
                <w:lang w:val="fr-CH"/>
              </w:rPr>
            </w:pPr>
            <w:r w:rsidRPr="006D2A0A">
              <w:rPr>
                <w:lang w:val="fr-CH"/>
              </w:rPr>
              <w:t>Il convient de souligner en outre que les stations HIBS devraient être utilisées dans le cadre des réseaux IMT de Terre</w:t>
            </w:r>
            <w:r>
              <w:rPr>
                <w:lang w:val="fr-CH"/>
              </w:rPr>
              <w:t xml:space="preserve"> et peuvent utiliser les mêmes bandes de fréquences que les stations de base IMT au sol. À l</w:t>
            </w:r>
            <w:r w:rsidR="007F49F0">
              <w:rPr>
                <w:lang w:val="fr-CH"/>
              </w:rPr>
              <w:t>'</w:t>
            </w:r>
            <w:r>
              <w:rPr>
                <w:lang w:val="fr-CH"/>
              </w:rPr>
              <w:t>heure actuelle, un grand nombre de réseaux IMT de Terre utilise</w:t>
            </w:r>
            <w:r w:rsidR="00B91769">
              <w:rPr>
                <w:lang w:val="fr-CH"/>
              </w:rPr>
              <w:t>nt</w:t>
            </w:r>
            <w:r>
              <w:rPr>
                <w:lang w:val="fr-CH"/>
              </w:rPr>
              <w:t xml:space="preserve"> plusieurs bandes de fréquences, si bien que de nombreux terminaux d</w:t>
            </w:r>
            <w:r w:rsidR="007F49F0">
              <w:rPr>
                <w:lang w:val="fr-CH"/>
              </w:rPr>
              <w:t>'</w:t>
            </w:r>
            <w:r>
              <w:rPr>
                <w:lang w:val="fr-CH"/>
              </w:rPr>
              <w:t>utilisateurs prennent en charge plusieurs bandes.</w:t>
            </w:r>
            <w:r w:rsidRPr="006D2A0A">
              <w:rPr>
                <w:lang w:val="fr-CH"/>
              </w:rPr>
              <w:t xml:space="preserve"> En conséquence, pour permettre une utilisation souple des bandes de fréquences pour les stations HIBS, il faudra peut-être identifier une bande de fréquences additionnelle</w:t>
            </w:r>
            <w:r w:rsidR="00754429">
              <w:rPr>
                <w:lang w:val="fr-CH"/>
              </w:rPr>
              <w:t xml:space="preserve"> </w:t>
            </w:r>
            <w:r w:rsidRPr="006D2A0A">
              <w:rPr>
                <w:lang w:val="fr-CH"/>
              </w:rPr>
              <w:t>pour ces stations dans les bandes existantes</w:t>
            </w:r>
            <w:r>
              <w:rPr>
                <w:lang w:val="fr-CH"/>
              </w:rPr>
              <w:t xml:space="preserve"> des gammes de fréquences inférieures à </w:t>
            </w:r>
            <w:r w:rsidRPr="006D2A0A">
              <w:rPr>
                <w:lang w:val="fr-CH"/>
              </w:rPr>
              <w:t>2</w:t>
            </w:r>
            <w:r w:rsidR="0078305E">
              <w:rPr>
                <w:lang w:val="fr-CH"/>
              </w:rPr>
              <w:t>,</w:t>
            </w:r>
            <w:r w:rsidRPr="006D2A0A">
              <w:rPr>
                <w:lang w:val="fr-CH"/>
              </w:rPr>
              <w:t xml:space="preserve">7 GHz </w:t>
            </w:r>
            <w:r>
              <w:rPr>
                <w:lang w:val="fr-CH"/>
              </w:rPr>
              <w:t>qui sont identifiées pour les IMT.</w:t>
            </w:r>
          </w:p>
          <w:p w14:paraId="10B7A35E" w14:textId="30CE2A1C" w:rsidR="008B1EF6" w:rsidRPr="00677ED0" w:rsidRDefault="00677ED0" w:rsidP="00C231EE">
            <w:pPr>
              <w:rPr>
                <w:lang w:val="fr-CH"/>
              </w:rPr>
            </w:pPr>
            <w:r w:rsidRPr="00677ED0">
              <w:rPr>
                <w:lang w:val="fr-CH"/>
              </w:rPr>
              <w:t>Dans l</w:t>
            </w:r>
            <w:r w:rsidR="007F49F0">
              <w:rPr>
                <w:lang w:val="fr-CH"/>
              </w:rPr>
              <w:t>'</w:t>
            </w:r>
            <w:r w:rsidRPr="00677ED0">
              <w:rPr>
                <w:lang w:val="fr-CH"/>
              </w:rPr>
              <w:t>intervalle, au titre de ce</w:t>
            </w:r>
            <w:r w:rsidR="00B91769">
              <w:rPr>
                <w:lang w:val="fr-CH"/>
              </w:rPr>
              <w:t xml:space="preserve"> projet de</w:t>
            </w:r>
            <w:r w:rsidRPr="00677ED0">
              <w:rPr>
                <w:lang w:val="fr-CH"/>
              </w:rPr>
              <w:t xml:space="preserve"> nouveau point de l</w:t>
            </w:r>
            <w:r w:rsidR="007F49F0">
              <w:rPr>
                <w:lang w:val="fr-CH"/>
              </w:rPr>
              <w:t>'</w:t>
            </w:r>
            <w:r w:rsidRPr="00677ED0">
              <w:rPr>
                <w:lang w:val="fr-CH"/>
              </w:rPr>
              <w:t xml:space="preserve">ordre du jour, il est proposé </w:t>
            </w:r>
            <w:r>
              <w:rPr>
                <w:lang w:val="fr-CH"/>
              </w:rPr>
              <w:t>d</w:t>
            </w:r>
            <w:r w:rsidR="007F49F0">
              <w:rPr>
                <w:lang w:val="fr-CH"/>
              </w:rPr>
              <w:t>'</w:t>
            </w:r>
            <w:r>
              <w:rPr>
                <w:lang w:val="fr-CH"/>
              </w:rPr>
              <w:t>envisager d</w:t>
            </w:r>
            <w:r w:rsidR="007F49F0">
              <w:rPr>
                <w:lang w:val="fr-CH"/>
              </w:rPr>
              <w:t>'</w:t>
            </w:r>
            <w:r>
              <w:rPr>
                <w:lang w:val="fr-CH"/>
              </w:rPr>
              <w:t>identifier des bandes de fréquences additionnelles en vue de leur utilisation par les stations de base IMT selon la définition existante</w:t>
            </w:r>
            <w:r w:rsidR="00754429">
              <w:rPr>
                <w:lang w:val="fr-CH"/>
              </w:rPr>
              <w:t xml:space="preserve"> </w:t>
            </w:r>
            <w:r>
              <w:rPr>
                <w:lang w:val="fr-CH"/>
              </w:rPr>
              <w:t xml:space="preserve">des stations </w:t>
            </w:r>
            <w:r w:rsidR="008B1EF6" w:rsidRPr="00677ED0">
              <w:rPr>
                <w:lang w:val="fr-CH"/>
              </w:rPr>
              <w:t xml:space="preserve">HAPS (HIBS). </w:t>
            </w:r>
            <w:r w:rsidRPr="00677ED0">
              <w:rPr>
                <w:lang w:val="fr-CH"/>
              </w:rPr>
              <w:t>Néanmoins, il est nécessaire de clarifier la définition figurant dans le RR aux fins de l</w:t>
            </w:r>
            <w:r w:rsidR="007F49F0">
              <w:rPr>
                <w:lang w:val="fr-CH"/>
              </w:rPr>
              <w:t>'</w:t>
            </w:r>
            <w:r w:rsidRPr="00677ED0">
              <w:rPr>
                <w:lang w:val="fr-CH"/>
              </w:rPr>
              <w:t>utilisation par les stations HAPS dans le service mobile, en tenant compte des points suivants</w:t>
            </w:r>
            <w:r>
              <w:rPr>
                <w:lang w:val="fr-CH"/>
              </w:rPr>
              <w:t>:</w:t>
            </w:r>
          </w:p>
          <w:p w14:paraId="70030B43" w14:textId="6C5D6687" w:rsidR="008B1EF6" w:rsidRPr="0078305E" w:rsidRDefault="0078305E" w:rsidP="0078305E">
            <w:pPr>
              <w:pStyle w:val="enumlev1"/>
            </w:pPr>
            <w:r>
              <w:t>–</w:t>
            </w:r>
            <w:r>
              <w:tab/>
            </w:r>
            <w:r w:rsidR="00B91769" w:rsidRPr="0078305E">
              <w:t>c</w:t>
            </w:r>
            <w:r w:rsidR="00604CD4" w:rsidRPr="0078305E">
              <w:t>onformément au point 1.14 de l</w:t>
            </w:r>
            <w:r w:rsidR="007F49F0" w:rsidRPr="0078305E">
              <w:t>'</w:t>
            </w:r>
            <w:r w:rsidR="00604CD4" w:rsidRPr="0078305E">
              <w:t xml:space="preserve">ordre du jour de la </w:t>
            </w:r>
            <w:r w:rsidR="001A193E" w:rsidRPr="0078305E">
              <w:t>CMR</w:t>
            </w:r>
            <w:r w:rsidR="008B1EF6" w:rsidRPr="0078305E">
              <w:t>-19 (</w:t>
            </w:r>
            <w:r w:rsidR="00604CD4" w:rsidRPr="0078305E">
              <w:t xml:space="preserve">Examen des stations </w:t>
            </w:r>
            <w:r w:rsidR="008B1EF6" w:rsidRPr="0078305E">
              <w:t xml:space="preserve">HAPS </w:t>
            </w:r>
            <w:r w:rsidR="00604CD4" w:rsidRPr="0078305E">
              <w:t>dans les attributions au service fixe</w:t>
            </w:r>
            <w:r w:rsidR="008B1EF6" w:rsidRPr="0078305E">
              <w:t>),</w:t>
            </w:r>
            <w:r w:rsidR="00604CD4" w:rsidRPr="0078305E">
              <w:t xml:space="preserve"> l</w:t>
            </w:r>
            <w:r w:rsidR="007F49F0" w:rsidRPr="0078305E">
              <w:t>'</w:t>
            </w:r>
            <w:r w:rsidR="00604CD4" w:rsidRPr="0078305E">
              <w:t xml:space="preserve">expression </w:t>
            </w:r>
            <w:r w:rsidR="00B91769" w:rsidRPr="0078305E">
              <w:t>«</w:t>
            </w:r>
            <w:r w:rsidR="00604CD4" w:rsidRPr="0078305E">
              <w:t>station placée sur une plate</w:t>
            </w:r>
            <w:r w:rsidR="00E7687D" w:rsidRPr="0078305E">
              <w:noBreakHyphen/>
            </w:r>
            <w:r w:rsidR="00604CD4" w:rsidRPr="0078305E">
              <w:t>forme à haute altitude» en tant que telle est reconnue comme désignant une station du service fixe et est également</w:t>
            </w:r>
            <w:r w:rsidR="00754429" w:rsidRPr="0078305E">
              <w:t xml:space="preserve"> </w:t>
            </w:r>
            <w:r w:rsidR="00604CD4" w:rsidRPr="0078305E">
              <w:t>employée dans le rapport de la RPC.</w:t>
            </w:r>
            <w:r w:rsidR="00754429" w:rsidRPr="0078305E">
              <w:t xml:space="preserve"> </w:t>
            </w:r>
            <w:r w:rsidR="00604CD4" w:rsidRPr="0078305E">
              <w:t xml:space="preserve">Bien que le sigle </w:t>
            </w:r>
            <w:r w:rsidR="00B91769" w:rsidRPr="0078305E">
              <w:t>«</w:t>
            </w:r>
            <w:r w:rsidR="00604CD4" w:rsidRPr="0078305E">
              <w:t>HIBS</w:t>
            </w:r>
            <w:r w:rsidR="00B91769" w:rsidRPr="0078305E">
              <w:t>»</w:t>
            </w:r>
            <w:r w:rsidR="00604CD4" w:rsidRPr="0078305E">
              <w:t xml:space="preserve"> soit utilisé dans la présente proposition afin d</w:t>
            </w:r>
            <w:r w:rsidR="007F49F0" w:rsidRPr="0078305E">
              <w:t>'</w:t>
            </w:r>
            <w:r w:rsidR="00604CD4" w:rsidRPr="0078305E">
              <w:t xml:space="preserve">établir une distinction avec le sigle </w:t>
            </w:r>
            <w:r w:rsidR="00B91769" w:rsidRPr="0078305E">
              <w:t>«</w:t>
            </w:r>
            <w:r w:rsidR="008B1EF6" w:rsidRPr="0078305E">
              <w:t>HAPS</w:t>
            </w:r>
            <w:r w:rsidR="00604CD4" w:rsidRPr="0078305E">
              <w:t>»</w:t>
            </w:r>
            <w:r w:rsidR="008B1EF6" w:rsidRPr="0078305E">
              <w:t xml:space="preserve"> </w:t>
            </w:r>
            <w:r w:rsidR="00604CD4" w:rsidRPr="0078305E">
              <w:t>dans le service fixe,</w:t>
            </w:r>
            <w:r w:rsidR="00754429" w:rsidRPr="0078305E">
              <w:t xml:space="preserve"> </w:t>
            </w:r>
            <w:r w:rsidR="00F15020" w:rsidRPr="0078305E">
              <w:t>il relève toujours de la définition d</w:t>
            </w:r>
            <w:r w:rsidR="007F49F0" w:rsidRPr="0078305E">
              <w:t>'</w:t>
            </w:r>
            <w:r w:rsidR="00F15020" w:rsidRPr="0078305E">
              <w:t>une</w:t>
            </w:r>
            <w:r w:rsidR="00754429" w:rsidRPr="0078305E">
              <w:t xml:space="preserve"> </w:t>
            </w:r>
            <w:r w:rsidR="00B91769" w:rsidRPr="0078305E">
              <w:t>«</w:t>
            </w:r>
            <w:r w:rsidR="00F15020" w:rsidRPr="0078305E">
              <w:t>station placée sur une plate-forme à haute altitude» et risqu</w:t>
            </w:r>
            <w:r w:rsidR="00B91769" w:rsidRPr="0078305E">
              <w:t>e</w:t>
            </w:r>
            <w:r w:rsidR="00F15020" w:rsidRPr="0078305E">
              <w:t xml:space="preserve"> d</w:t>
            </w:r>
            <w:r w:rsidR="007F49F0" w:rsidRPr="0078305E">
              <w:t>'</w:t>
            </w:r>
            <w:r w:rsidR="00F15020" w:rsidRPr="0078305E">
              <w:t>être interprété à tort comme désignant une station du service fixe.</w:t>
            </w:r>
          </w:p>
          <w:p w14:paraId="3FD3F96F" w14:textId="03BF7EFD" w:rsidR="008B1EF6" w:rsidRPr="0078305E" w:rsidRDefault="0078305E" w:rsidP="0078305E">
            <w:pPr>
              <w:pStyle w:val="enumlev1"/>
            </w:pPr>
            <w:r>
              <w:t>–</w:t>
            </w:r>
            <w:r>
              <w:tab/>
            </w:r>
            <w:r w:rsidR="00F15020" w:rsidRPr="0078305E">
              <w:t xml:space="preserve">Conformément au numéro </w:t>
            </w:r>
            <w:r w:rsidR="00F15020" w:rsidRPr="0078305E">
              <w:rPr>
                <w:b/>
                <w:bCs/>
              </w:rPr>
              <w:t>1.66A</w:t>
            </w:r>
            <w:r w:rsidR="00F15020" w:rsidRPr="0078305E">
              <w:t xml:space="preserve"> du RR, une station placée sur une plate-forme à haute altitude est située</w:t>
            </w:r>
            <w:r w:rsidR="008B1EF6" w:rsidRPr="0078305E">
              <w:t xml:space="preserve"> </w:t>
            </w:r>
            <w:r w:rsidR="00F15020" w:rsidRPr="0078305E">
              <w:t>à une altitude comprise entre 20 et 50 km. Or, certaines stations placées sur des plates-formes stratosphériques</w:t>
            </w:r>
            <w:r w:rsidR="00764DCC" w:rsidRPr="0078305E">
              <w:t xml:space="preserve"> transportant une station HIBS, qui est une station pour le service mobile, maintiennent leur position en évoluant par cercles et fonctionnent parfois à des attitudes plus basses.</w:t>
            </w:r>
          </w:p>
          <w:p w14:paraId="043784E3" w14:textId="5C93C177" w:rsidR="00B91769" w:rsidRPr="00B91769" w:rsidRDefault="0078305E" w:rsidP="0078305E">
            <w:pPr>
              <w:pStyle w:val="enumlev1"/>
              <w:rPr>
                <w:lang w:val="fr-CH"/>
              </w:rPr>
            </w:pPr>
            <w:r>
              <w:t>–</w:t>
            </w:r>
            <w:r>
              <w:tab/>
            </w:r>
            <w:r w:rsidR="00764DCC" w:rsidRPr="0078305E">
              <w:t>Dans le cas d</w:t>
            </w:r>
            <w:r w:rsidR="007F49F0" w:rsidRPr="0078305E">
              <w:t>'</w:t>
            </w:r>
            <w:r w:rsidR="00764DCC" w:rsidRPr="0078305E">
              <w:t xml:space="preserve">une station HIBS, qui est une station pour le service mobile, il est prévu que non seulement les liaisons fixes entre stations HIBS et les stations au sol, mais aussi les liaisons entre stations HIBS et les liaisons par satellite soient utilisées pour les liaisons de connexion. </w:t>
            </w:r>
            <w:r w:rsidR="00B91769" w:rsidRPr="0078305E">
              <w:t>En conséquence,</w:t>
            </w:r>
            <w:r w:rsidR="00764DCC" w:rsidRPr="0078305E">
              <w:t xml:space="preserve"> il convient de clarifier comme il se doit la façon dont ces stations devraient être traitées dans le cadre du</w:t>
            </w:r>
            <w:r w:rsidR="004B1DCC">
              <w:t> </w:t>
            </w:r>
            <w:r w:rsidR="00764DCC" w:rsidRPr="0078305E">
              <w:t>RR.</w:t>
            </w:r>
          </w:p>
          <w:p w14:paraId="36EDBB85" w14:textId="3C1A6071" w:rsidR="008B1EF6" w:rsidRPr="00994279" w:rsidRDefault="00994279" w:rsidP="00C231EE">
            <w:pPr>
              <w:rPr>
                <w:lang w:val="fr-CH"/>
              </w:rPr>
            </w:pPr>
            <w:r w:rsidRPr="00994279">
              <w:rPr>
                <w:lang w:val="fr-CH"/>
              </w:rPr>
              <w:t xml:space="preserve">Il faut examiner la définition </w:t>
            </w:r>
            <w:r w:rsidR="00B91769">
              <w:rPr>
                <w:lang w:val="fr-CH"/>
              </w:rPr>
              <w:t xml:space="preserve">qui convient pour </w:t>
            </w:r>
            <w:r w:rsidRPr="00994279">
              <w:rPr>
                <w:lang w:val="fr-CH"/>
              </w:rPr>
              <w:t xml:space="preserve">une station HIBS, qui est une station pour le service mobile, </w:t>
            </w:r>
            <w:r>
              <w:rPr>
                <w:lang w:val="fr-CH"/>
              </w:rPr>
              <w:t>sur la base de</w:t>
            </w:r>
            <w:r w:rsidR="00754429">
              <w:rPr>
                <w:lang w:val="fr-CH"/>
              </w:rPr>
              <w:t xml:space="preserve"> </w:t>
            </w:r>
            <w:r>
              <w:rPr>
                <w:lang w:val="fr-CH"/>
              </w:rPr>
              <w:t>l</w:t>
            </w:r>
            <w:r w:rsidR="007F49F0">
              <w:rPr>
                <w:lang w:val="fr-CH"/>
              </w:rPr>
              <w:t>'</w:t>
            </w:r>
            <w:r>
              <w:rPr>
                <w:lang w:val="fr-CH"/>
              </w:rPr>
              <w:t>exploitation effective de cette station</w:t>
            </w:r>
            <w:r w:rsidR="00B91769">
              <w:rPr>
                <w:lang w:val="fr-CH"/>
              </w:rPr>
              <w:t>,</w:t>
            </w:r>
            <w:r>
              <w:rPr>
                <w:lang w:val="fr-CH"/>
              </w:rPr>
              <w:t xml:space="preserve"> afin de clarifier ces points. </w:t>
            </w:r>
            <w:r w:rsidRPr="00994279">
              <w:rPr>
                <w:lang w:val="fr-CH"/>
              </w:rPr>
              <w:t>À titre d</w:t>
            </w:r>
            <w:r w:rsidR="007F49F0">
              <w:rPr>
                <w:lang w:val="fr-CH"/>
              </w:rPr>
              <w:t>'</w:t>
            </w:r>
            <w:r w:rsidRPr="00994279">
              <w:rPr>
                <w:lang w:val="fr-CH"/>
              </w:rPr>
              <w:t>exemple, on pourrait prendre en considération les méthodes suivantes:</w:t>
            </w:r>
          </w:p>
          <w:p w14:paraId="593FA7B8" w14:textId="204B6014" w:rsidR="008B1EF6" w:rsidRPr="0078305E" w:rsidRDefault="0078305E" w:rsidP="0078305E">
            <w:pPr>
              <w:pStyle w:val="enumlev1"/>
            </w:pPr>
            <w:r>
              <w:t>–</w:t>
            </w:r>
            <w:r>
              <w:tab/>
            </w:r>
            <w:r w:rsidR="008B1EF6" w:rsidRPr="0078305E">
              <w:t>modification</w:t>
            </w:r>
            <w:r w:rsidR="00994279" w:rsidRPr="0078305E">
              <w:t xml:space="preserve"> de la définition existante figurant au numéro </w:t>
            </w:r>
            <w:r w:rsidR="00994279" w:rsidRPr="0078305E">
              <w:rPr>
                <w:b/>
                <w:bCs/>
              </w:rPr>
              <w:t>1.66A</w:t>
            </w:r>
            <w:r w:rsidR="00994279" w:rsidRPr="0078305E">
              <w:t xml:space="preserve"> du RR</w:t>
            </w:r>
          </w:p>
          <w:p w14:paraId="7A1225D7" w14:textId="03338F0F" w:rsidR="008B1EF6" w:rsidRPr="00994279" w:rsidRDefault="0078305E" w:rsidP="0078305E">
            <w:pPr>
              <w:pStyle w:val="enumlev1"/>
              <w:rPr>
                <w:lang w:val="fr-CH"/>
              </w:rPr>
            </w:pPr>
            <w:r>
              <w:t>–</w:t>
            </w:r>
            <w:r>
              <w:tab/>
            </w:r>
            <w:r w:rsidR="00994279" w:rsidRPr="0078305E">
              <w:t>adjonction d</w:t>
            </w:r>
            <w:r w:rsidR="007F49F0" w:rsidRPr="0078305E">
              <w:t>'</w:t>
            </w:r>
            <w:r w:rsidR="00994279" w:rsidRPr="0078305E">
              <w:t>une nouvelle définition relative à une station du service mobile utilisant une plate-forme stratosphérique</w:t>
            </w:r>
            <w:r w:rsidR="008B1EF6" w:rsidRPr="0078305E">
              <w:t xml:space="preserve"> (</w:t>
            </w:r>
            <w:r w:rsidR="00994279" w:rsidRPr="0078305E">
              <w:t xml:space="preserve">dans laquelle il pourra être fait mention du numéro </w:t>
            </w:r>
            <w:r w:rsidR="00994279" w:rsidRPr="0078305E">
              <w:rPr>
                <w:b/>
                <w:bCs/>
              </w:rPr>
              <w:t>1.66A</w:t>
            </w:r>
            <w:r w:rsidR="00994279" w:rsidRPr="0078305E">
              <w:t xml:space="preserve"> du RR</w:t>
            </w:r>
            <w:r w:rsidR="008B1EF6" w:rsidRPr="0078305E">
              <w:t>)</w:t>
            </w:r>
            <w:r w:rsidR="00966E62">
              <w:t>.</w:t>
            </w:r>
          </w:p>
          <w:p w14:paraId="2542ADCE" w14:textId="1DEBFB47" w:rsidR="008B1EF6" w:rsidRPr="00994279" w:rsidRDefault="00994279" w:rsidP="00C231EE">
            <w:pPr>
              <w:spacing w:after="120"/>
              <w:rPr>
                <w:lang w:val="fr-CH"/>
              </w:rPr>
            </w:pPr>
            <w:r w:rsidRPr="00994279">
              <w:rPr>
                <w:lang w:val="fr-CH"/>
              </w:rPr>
              <w:t>En outre, il y a lieu de noter que l</w:t>
            </w:r>
            <w:r w:rsidR="007F49F0">
              <w:rPr>
                <w:lang w:val="fr-CH"/>
              </w:rPr>
              <w:t>'</w:t>
            </w:r>
            <w:r w:rsidRPr="00994279">
              <w:rPr>
                <w:lang w:val="fr-CH"/>
              </w:rPr>
              <w:t>examen d</w:t>
            </w:r>
            <w:r w:rsidR="007F49F0">
              <w:rPr>
                <w:lang w:val="fr-CH"/>
              </w:rPr>
              <w:t>'</w:t>
            </w:r>
            <w:r w:rsidRPr="00994279">
              <w:rPr>
                <w:lang w:val="fr-CH"/>
              </w:rPr>
              <w:t>une définition au titre de ce nouveau point de l</w:t>
            </w:r>
            <w:r w:rsidR="007F49F0">
              <w:rPr>
                <w:lang w:val="fr-CH"/>
              </w:rPr>
              <w:t>'</w:t>
            </w:r>
            <w:r w:rsidRPr="00994279">
              <w:rPr>
                <w:lang w:val="fr-CH"/>
              </w:rPr>
              <w:t>ordre du jour proposé concerne une station</w:t>
            </w:r>
            <w:r w:rsidR="008B1EF6" w:rsidRPr="00994279">
              <w:rPr>
                <w:lang w:val="fr-CH"/>
              </w:rPr>
              <w:t xml:space="preserve"> HIBS,</w:t>
            </w:r>
            <w:r w:rsidRPr="00994279">
              <w:rPr>
                <w:lang w:val="fr-CH"/>
              </w:rPr>
              <w:t xml:space="preserve"> qui est une station pour le service mobile, </w:t>
            </w:r>
            <w:r>
              <w:rPr>
                <w:lang w:val="fr-CH"/>
              </w:rPr>
              <w:lastRenderedPageBreak/>
              <w:t>et ne se rapporte</w:t>
            </w:r>
            <w:r w:rsidR="00754429">
              <w:rPr>
                <w:lang w:val="fr-CH"/>
              </w:rPr>
              <w:t xml:space="preserve"> </w:t>
            </w:r>
            <w:r>
              <w:rPr>
                <w:lang w:val="fr-CH"/>
              </w:rPr>
              <w:t>pas directement aux études relatives aux stations</w:t>
            </w:r>
            <w:r w:rsidR="00754429">
              <w:rPr>
                <w:lang w:val="fr-CH"/>
              </w:rPr>
              <w:t xml:space="preserve"> </w:t>
            </w:r>
            <w:r w:rsidR="008B1EF6" w:rsidRPr="00994279">
              <w:rPr>
                <w:lang w:val="fr-CH"/>
              </w:rPr>
              <w:t>HAPS</w:t>
            </w:r>
            <w:r>
              <w:rPr>
                <w:lang w:val="fr-CH"/>
              </w:rPr>
              <w:t xml:space="preserve"> du service</w:t>
            </w:r>
            <w:r w:rsidR="00754429">
              <w:rPr>
                <w:lang w:val="fr-CH"/>
              </w:rPr>
              <w:t xml:space="preserve"> </w:t>
            </w:r>
            <w:r>
              <w:rPr>
                <w:lang w:val="fr-CH"/>
              </w:rPr>
              <w:t xml:space="preserve">fixe conformément au point </w:t>
            </w:r>
            <w:r w:rsidRPr="00994279">
              <w:rPr>
                <w:lang w:val="fr-CH"/>
              </w:rPr>
              <w:t>1.14</w:t>
            </w:r>
            <w:r w:rsidR="0049388E">
              <w:rPr>
                <w:lang w:val="fr-CH"/>
              </w:rPr>
              <w:t xml:space="preserve"> </w:t>
            </w:r>
            <w:r>
              <w:rPr>
                <w:lang w:val="fr-CH"/>
              </w:rPr>
              <w:t>de l</w:t>
            </w:r>
            <w:r w:rsidR="007F49F0">
              <w:rPr>
                <w:lang w:val="fr-CH"/>
              </w:rPr>
              <w:t>'</w:t>
            </w:r>
            <w:r>
              <w:rPr>
                <w:lang w:val="fr-CH"/>
              </w:rPr>
              <w:t xml:space="preserve">ordre du jour de la </w:t>
            </w:r>
            <w:r w:rsidR="001A193E" w:rsidRPr="00994279">
              <w:rPr>
                <w:lang w:val="fr-CH"/>
              </w:rPr>
              <w:t>CMR</w:t>
            </w:r>
            <w:r w:rsidR="008B1EF6" w:rsidRPr="00994279">
              <w:rPr>
                <w:lang w:val="fr-CH"/>
              </w:rPr>
              <w:t>-19</w:t>
            </w:r>
            <w:r>
              <w:rPr>
                <w:lang w:val="fr-CH"/>
              </w:rPr>
              <w:t>, qui ne porte pas sur l</w:t>
            </w:r>
            <w:r w:rsidR="007F49F0">
              <w:rPr>
                <w:lang w:val="fr-CH"/>
              </w:rPr>
              <w:t>'</w:t>
            </w:r>
            <w:r>
              <w:rPr>
                <w:lang w:val="fr-CH"/>
              </w:rPr>
              <w:t>examen de la définition existante d</w:t>
            </w:r>
            <w:r w:rsidR="007F49F0">
              <w:rPr>
                <w:lang w:val="fr-CH"/>
              </w:rPr>
              <w:t>'</w:t>
            </w:r>
            <w:r>
              <w:rPr>
                <w:lang w:val="fr-CH"/>
              </w:rPr>
              <w:t>une station</w:t>
            </w:r>
            <w:r w:rsidR="00754429">
              <w:rPr>
                <w:lang w:val="fr-CH"/>
              </w:rPr>
              <w:t xml:space="preserve"> </w:t>
            </w:r>
            <w:r w:rsidR="008B1EF6" w:rsidRPr="00994279">
              <w:rPr>
                <w:lang w:val="fr-CH"/>
              </w:rPr>
              <w:t>HAPS.</w:t>
            </w:r>
          </w:p>
        </w:tc>
      </w:tr>
      <w:tr w:rsidR="008B1EF6" w:rsidRPr="002B612B" w14:paraId="283E1B8A" w14:textId="77777777" w:rsidTr="00604CD4">
        <w:tc>
          <w:tcPr>
            <w:tcW w:w="9272" w:type="dxa"/>
            <w:gridSpan w:val="2"/>
          </w:tcPr>
          <w:p w14:paraId="039F8037" w14:textId="4F4C4C50" w:rsidR="008B1EF6" w:rsidRPr="0049388E" w:rsidRDefault="00207A3A" w:rsidP="0049388E">
            <w:pPr>
              <w:pStyle w:val="Headingb"/>
              <w:rPr>
                <w:i/>
                <w:iCs/>
                <w:lang w:val="fr-CH"/>
              </w:rPr>
            </w:pPr>
            <w:r w:rsidRPr="0049388E">
              <w:rPr>
                <w:i/>
                <w:iCs/>
                <w:lang w:val="fr-CH"/>
              </w:rPr>
              <w:lastRenderedPageBreak/>
              <w:t>Services de radiocommunication concernés:</w:t>
            </w:r>
          </w:p>
          <w:p w14:paraId="19067834" w14:textId="6D6D200E" w:rsidR="008B1EF6" w:rsidRPr="002B612B" w:rsidRDefault="002B612B" w:rsidP="00C231EE">
            <w:pPr>
              <w:spacing w:after="120"/>
              <w:rPr>
                <w:lang w:val="fr-CH"/>
              </w:rPr>
            </w:pPr>
            <w:r w:rsidRPr="002B612B">
              <w:rPr>
                <w:lang w:val="fr-CH"/>
              </w:rPr>
              <w:t>Service</w:t>
            </w:r>
            <w:r w:rsidR="00754429">
              <w:rPr>
                <w:lang w:val="fr-CH"/>
              </w:rPr>
              <w:t xml:space="preserve"> </w:t>
            </w:r>
            <w:r w:rsidRPr="002B612B">
              <w:rPr>
                <w:lang w:val="fr-CH"/>
              </w:rPr>
              <w:t>mobile, service</w:t>
            </w:r>
            <w:r w:rsidR="00754429">
              <w:rPr>
                <w:lang w:val="fr-CH"/>
              </w:rPr>
              <w:t xml:space="preserve"> </w:t>
            </w:r>
            <w:r w:rsidRPr="002B612B">
              <w:rPr>
                <w:lang w:val="fr-CH"/>
              </w:rPr>
              <w:t>fixe, service de radiodiffusion, service mobile par satellite et autre</w:t>
            </w:r>
            <w:r>
              <w:rPr>
                <w:lang w:val="fr-CH"/>
              </w:rPr>
              <w:t>s</w:t>
            </w:r>
            <w:r w:rsidRPr="002B612B">
              <w:rPr>
                <w:lang w:val="fr-CH"/>
              </w:rPr>
              <w:t xml:space="preserve"> services.</w:t>
            </w:r>
            <w:r w:rsidR="00754429">
              <w:rPr>
                <w:lang w:val="fr-CH"/>
              </w:rPr>
              <w:t xml:space="preserve"> </w:t>
            </w:r>
          </w:p>
        </w:tc>
      </w:tr>
      <w:tr w:rsidR="008B1EF6" w:rsidRPr="002B612B" w14:paraId="5BE8B993" w14:textId="77777777" w:rsidTr="00604CD4">
        <w:trPr>
          <w:trHeight w:val="941"/>
        </w:trPr>
        <w:tc>
          <w:tcPr>
            <w:tcW w:w="9272" w:type="dxa"/>
            <w:gridSpan w:val="2"/>
          </w:tcPr>
          <w:p w14:paraId="71B33CE5" w14:textId="0E73A0B7" w:rsidR="008B1EF6" w:rsidRPr="0049388E" w:rsidRDefault="00207A3A" w:rsidP="0049388E">
            <w:pPr>
              <w:pStyle w:val="Headingb"/>
              <w:rPr>
                <w:i/>
                <w:iCs/>
                <w:lang w:val="fr-CH"/>
              </w:rPr>
            </w:pPr>
            <w:r w:rsidRPr="0049388E">
              <w:rPr>
                <w:i/>
                <w:iCs/>
                <w:lang w:val="fr-CH"/>
              </w:rPr>
              <w:t>Indication des difficultés éventuelles:</w:t>
            </w:r>
          </w:p>
          <w:p w14:paraId="04340D23" w14:textId="04E9480D" w:rsidR="008B1EF6" w:rsidRPr="002B612B" w:rsidRDefault="002B612B" w:rsidP="00C231EE">
            <w:pPr>
              <w:spacing w:after="120"/>
              <w:rPr>
                <w:lang w:val="fr-CH"/>
              </w:rPr>
            </w:pPr>
            <w:r w:rsidRPr="002B612B">
              <w:rPr>
                <w:lang w:val="fr-CH"/>
              </w:rPr>
              <w:t>Les bandes proposées sont largement utilisées p</w:t>
            </w:r>
            <w:r>
              <w:rPr>
                <w:lang w:val="fr-CH"/>
              </w:rPr>
              <w:t>ar</w:t>
            </w:r>
            <w:r w:rsidRPr="002B612B">
              <w:rPr>
                <w:lang w:val="fr-CH"/>
              </w:rPr>
              <w:t xml:space="preserve"> les services de </w:t>
            </w:r>
            <w:r>
              <w:rPr>
                <w:lang w:val="fr-CH"/>
              </w:rPr>
              <w:t>T</w:t>
            </w:r>
            <w:r w:rsidRPr="002B612B">
              <w:rPr>
                <w:lang w:val="fr-CH"/>
              </w:rPr>
              <w:t>erre</w:t>
            </w:r>
            <w:r>
              <w:rPr>
                <w:lang w:val="fr-CH"/>
              </w:rPr>
              <w:t xml:space="preserve"> et les</w:t>
            </w:r>
            <w:r w:rsidRPr="002B612B">
              <w:rPr>
                <w:lang w:val="fr-CH"/>
              </w:rPr>
              <w:t xml:space="preserve"> service</w:t>
            </w:r>
            <w:r>
              <w:rPr>
                <w:lang w:val="fr-CH"/>
              </w:rPr>
              <w:t>s</w:t>
            </w:r>
            <w:r w:rsidRPr="002B612B">
              <w:rPr>
                <w:lang w:val="fr-CH"/>
              </w:rPr>
              <w:t xml:space="preserve"> spatiaux à titre primaire avec égalité des droits.</w:t>
            </w:r>
          </w:p>
        </w:tc>
      </w:tr>
      <w:tr w:rsidR="008B1EF6" w:rsidRPr="002B612B" w14:paraId="556A4F8C" w14:textId="77777777" w:rsidTr="00604CD4">
        <w:tc>
          <w:tcPr>
            <w:tcW w:w="9272" w:type="dxa"/>
            <w:gridSpan w:val="2"/>
          </w:tcPr>
          <w:p w14:paraId="0A242FA5" w14:textId="047DDDB6" w:rsidR="008B1EF6" w:rsidRPr="0049388E" w:rsidRDefault="00207A3A" w:rsidP="0049388E">
            <w:pPr>
              <w:pStyle w:val="Headingb"/>
              <w:rPr>
                <w:i/>
                <w:iCs/>
                <w:lang w:val="fr-CH"/>
              </w:rPr>
            </w:pPr>
            <w:r w:rsidRPr="0049388E">
              <w:rPr>
                <w:i/>
                <w:iCs/>
                <w:lang w:val="fr-CH"/>
              </w:rPr>
              <w:t>Études précédentes ou en cours sur la question:</w:t>
            </w:r>
          </w:p>
          <w:p w14:paraId="29448E5B" w14:textId="6BAF516D" w:rsidR="008B1EF6" w:rsidRPr="002B612B" w:rsidRDefault="002B612B" w:rsidP="00C231EE">
            <w:pPr>
              <w:rPr>
                <w:lang w:val="fr-CH"/>
              </w:rPr>
            </w:pPr>
            <w:r w:rsidRPr="002B612B">
              <w:rPr>
                <w:lang w:val="fr-CH"/>
              </w:rPr>
              <w:t>L</w:t>
            </w:r>
            <w:r>
              <w:rPr>
                <w:lang w:val="fr-CH"/>
              </w:rPr>
              <w:t xml:space="preserve">es </w:t>
            </w:r>
            <w:r w:rsidR="008B1EF6" w:rsidRPr="002B612B">
              <w:rPr>
                <w:lang w:val="fr-CH"/>
              </w:rPr>
              <w:t>Recomm</w:t>
            </w:r>
            <w:r w:rsidRPr="002B612B">
              <w:rPr>
                <w:lang w:val="fr-CH"/>
              </w:rPr>
              <w:t>a</w:t>
            </w:r>
            <w:r w:rsidR="008B1EF6" w:rsidRPr="002B612B">
              <w:rPr>
                <w:lang w:val="fr-CH"/>
              </w:rPr>
              <w:t xml:space="preserve">ndations </w:t>
            </w:r>
            <w:r w:rsidR="001A193E" w:rsidRPr="002B612B">
              <w:rPr>
                <w:lang w:val="fr-CH"/>
              </w:rPr>
              <w:t>UIT</w:t>
            </w:r>
            <w:r w:rsidR="008B1EF6" w:rsidRPr="002B612B">
              <w:rPr>
                <w:lang w:val="fr-CH"/>
              </w:rPr>
              <w:t>-R M.1456</w:t>
            </w:r>
            <w:r w:rsidR="00754429">
              <w:rPr>
                <w:lang w:val="fr-CH"/>
              </w:rPr>
              <w:t xml:space="preserve"> </w:t>
            </w:r>
            <w:r>
              <w:rPr>
                <w:lang w:val="fr-CH"/>
              </w:rPr>
              <w:t>et</w:t>
            </w:r>
            <w:r w:rsidR="008B1EF6" w:rsidRPr="002B612B">
              <w:rPr>
                <w:lang w:val="fr-CH"/>
              </w:rPr>
              <w:t xml:space="preserve"> M.1641 </w:t>
            </w:r>
            <w:r w:rsidRPr="002B612B">
              <w:rPr>
                <w:lang w:val="fr-CH"/>
              </w:rPr>
              <w:t>traitent des besoins et des études concernant la fourniture de services mobiles au moyen de stations placées sur des plates-formes à haute altitude utilisant certaines bandes au voisinage de 1,9/2,1 GHz.</w:t>
            </w:r>
          </w:p>
          <w:p w14:paraId="4616027D" w14:textId="330DBD71" w:rsidR="008B1EF6" w:rsidRPr="002B612B" w:rsidRDefault="002B612B" w:rsidP="00C231EE">
            <w:pPr>
              <w:spacing w:after="120"/>
              <w:rPr>
                <w:lang w:val="fr-CH"/>
              </w:rPr>
            </w:pPr>
            <w:r w:rsidRPr="002B612B">
              <w:rPr>
                <w:lang w:val="fr-CH"/>
              </w:rPr>
              <w:t>Le GT 5D de l</w:t>
            </w:r>
            <w:r w:rsidR="007F49F0">
              <w:rPr>
                <w:lang w:val="fr-CH"/>
              </w:rPr>
              <w:t>'</w:t>
            </w:r>
            <w:r w:rsidR="001A193E" w:rsidRPr="002B612B">
              <w:rPr>
                <w:lang w:val="fr-CH"/>
              </w:rPr>
              <w:t>UIT</w:t>
            </w:r>
            <w:r w:rsidR="008B1EF6" w:rsidRPr="002B612B">
              <w:rPr>
                <w:lang w:val="fr-CH"/>
              </w:rPr>
              <w:t>-R</w:t>
            </w:r>
            <w:r w:rsidR="00754429">
              <w:rPr>
                <w:lang w:val="fr-CH"/>
              </w:rPr>
              <w:t xml:space="preserve"> </w:t>
            </w:r>
            <w:r w:rsidRPr="002B612B">
              <w:rPr>
                <w:lang w:val="fr-CH"/>
              </w:rPr>
              <w:t>mène actuellement une</w:t>
            </w:r>
            <w:r>
              <w:rPr>
                <w:lang w:val="fr-CH"/>
              </w:rPr>
              <w:t xml:space="preserve"> analyse du </w:t>
            </w:r>
            <w:r w:rsidRPr="002B612B">
              <w:rPr>
                <w:lang w:val="fr-CH"/>
              </w:rPr>
              <w:t xml:space="preserve">partage </w:t>
            </w:r>
            <w:r>
              <w:rPr>
                <w:lang w:val="fr-CH"/>
              </w:rPr>
              <w:t>dans le même canal</w:t>
            </w:r>
            <w:r w:rsidR="00E7687D">
              <w:rPr>
                <w:lang w:val="fr-CH"/>
              </w:rPr>
              <w:t xml:space="preserve"> </w:t>
            </w:r>
            <w:r>
              <w:rPr>
                <w:lang w:val="fr-CH"/>
              </w:rPr>
              <w:t xml:space="preserve">concernant les systèmes IMT-évoluées utilisant des stations </w:t>
            </w:r>
            <w:r w:rsidR="008B1EF6" w:rsidRPr="002B612B">
              <w:rPr>
                <w:lang w:val="fr-CH"/>
              </w:rPr>
              <w:t>HIBS.</w:t>
            </w:r>
          </w:p>
        </w:tc>
      </w:tr>
      <w:tr w:rsidR="008B1EF6" w:rsidRPr="002B612B" w14:paraId="42135EF5" w14:textId="77777777" w:rsidTr="00604CD4">
        <w:tc>
          <w:tcPr>
            <w:tcW w:w="4183" w:type="dxa"/>
          </w:tcPr>
          <w:p w14:paraId="6A7A9B67" w14:textId="39378B37" w:rsidR="008B1EF6" w:rsidRPr="00207A3A" w:rsidRDefault="00207A3A" w:rsidP="00C231EE">
            <w:pPr>
              <w:rPr>
                <w:b/>
                <w:bCs/>
                <w:i/>
                <w:iCs/>
                <w:lang w:val="fr-CH"/>
              </w:rPr>
            </w:pPr>
            <w:r w:rsidRPr="00207A3A">
              <w:rPr>
                <w:b/>
                <w:bCs/>
                <w:i/>
                <w:iCs/>
                <w:lang w:val="fr-CH"/>
              </w:rPr>
              <w:t>Études devant être réalisées par:</w:t>
            </w:r>
          </w:p>
          <w:p w14:paraId="7CA8ADAF" w14:textId="6B5EA18C" w:rsidR="008B1EF6" w:rsidRPr="00207A3A" w:rsidRDefault="002B612B" w:rsidP="00C231EE">
            <w:pPr>
              <w:spacing w:after="120"/>
              <w:rPr>
                <w:lang w:val="fr-CH"/>
              </w:rPr>
            </w:pPr>
            <w:r w:rsidRPr="002B612B">
              <w:rPr>
                <w:lang w:val="fr-CH"/>
              </w:rPr>
              <w:t>GT 5D de l</w:t>
            </w:r>
            <w:r w:rsidR="007F49F0">
              <w:rPr>
                <w:lang w:val="fr-CH"/>
              </w:rPr>
              <w:t>'</w:t>
            </w:r>
            <w:r w:rsidRPr="002B612B">
              <w:rPr>
                <w:lang w:val="fr-CH"/>
              </w:rPr>
              <w:t>UIT-R</w:t>
            </w:r>
            <w:r w:rsidR="00754429">
              <w:rPr>
                <w:lang w:val="fr-CH"/>
              </w:rPr>
              <w:t xml:space="preserve"> </w:t>
            </w:r>
          </w:p>
        </w:tc>
        <w:tc>
          <w:tcPr>
            <w:tcW w:w="5089" w:type="dxa"/>
          </w:tcPr>
          <w:p w14:paraId="6E1C08A9" w14:textId="4955BFBC" w:rsidR="008B1EF6" w:rsidRPr="002B612B" w:rsidRDefault="00207A3A" w:rsidP="00C231EE">
            <w:pPr>
              <w:rPr>
                <w:b/>
                <w:bCs/>
                <w:i/>
                <w:iCs/>
                <w:lang w:val="fr-CH"/>
              </w:rPr>
            </w:pPr>
            <w:proofErr w:type="gramStart"/>
            <w:r w:rsidRPr="002B612B">
              <w:rPr>
                <w:b/>
                <w:bCs/>
                <w:i/>
                <w:iCs/>
                <w:lang w:val="fr-CH"/>
              </w:rPr>
              <w:t>avec</w:t>
            </w:r>
            <w:proofErr w:type="gramEnd"/>
            <w:r w:rsidRPr="002B612B">
              <w:rPr>
                <w:b/>
                <w:bCs/>
                <w:i/>
                <w:iCs/>
                <w:lang w:val="fr-CH"/>
              </w:rPr>
              <w:t xml:space="preserve"> la participation de:</w:t>
            </w:r>
          </w:p>
          <w:p w14:paraId="44851F6D" w14:textId="3877F492" w:rsidR="008B1EF6" w:rsidRPr="002B612B" w:rsidRDefault="008B1EF6" w:rsidP="0049388E">
            <w:pPr>
              <w:spacing w:after="120"/>
              <w:rPr>
                <w:lang w:val="fr-CH"/>
              </w:rPr>
            </w:pPr>
            <w:r w:rsidRPr="002B612B">
              <w:rPr>
                <w:lang w:val="fr-CH"/>
              </w:rPr>
              <w:t>Administrations</w:t>
            </w:r>
            <w:r w:rsidR="002B612B" w:rsidRPr="002B612B">
              <w:rPr>
                <w:lang w:val="fr-CH"/>
              </w:rPr>
              <w:t xml:space="preserve"> et Membres du Secteur de l</w:t>
            </w:r>
            <w:r w:rsidR="007F49F0">
              <w:rPr>
                <w:lang w:val="fr-CH"/>
              </w:rPr>
              <w:t>'</w:t>
            </w:r>
            <w:r w:rsidR="002B612B" w:rsidRPr="002B612B">
              <w:rPr>
                <w:lang w:val="fr-CH"/>
              </w:rPr>
              <w:t>UIT</w:t>
            </w:r>
            <w:r w:rsidR="0049388E">
              <w:rPr>
                <w:lang w:val="fr-CH"/>
              </w:rPr>
              <w:noBreakHyphen/>
            </w:r>
            <w:r w:rsidRPr="002B612B">
              <w:rPr>
                <w:lang w:val="fr-CH"/>
              </w:rPr>
              <w:t>R</w:t>
            </w:r>
          </w:p>
        </w:tc>
      </w:tr>
      <w:tr w:rsidR="008B1EF6" w:rsidRPr="008B1EF6" w14:paraId="0AC48326" w14:textId="77777777" w:rsidTr="00604CD4">
        <w:tc>
          <w:tcPr>
            <w:tcW w:w="9272" w:type="dxa"/>
            <w:gridSpan w:val="2"/>
          </w:tcPr>
          <w:p w14:paraId="7C2EA5FB" w14:textId="63C024A0" w:rsidR="008B1EF6" w:rsidRPr="00207A3A" w:rsidRDefault="00207A3A" w:rsidP="00C231EE">
            <w:pPr>
              <w:rPr>
                <w:b/>
                <w:bCs/>
                <w:i/>
                <w:iCs/>
                <w:lang w:val="fr-CH"/>
              </w:rPr>
            </w:pPr>
            <w:r w:rsidRPr="00207A3A">
              <w:rPr>
                <w:b/>
                <w:bCs/>
                <w:i/>
                <w:iCs/>
                <w:lang w:val="fr-CH"/>
              </w:rPr>
              <w:t>Commissions d'études de l'UIT-R concernées:</w:t>
            </w:r>
            <w:r w:rsidR="00754429">
              <w:rPr>
                <w:b/>
                <w:bCs/>
                <w:i/>
                <w:iCs/>
                <w:lang w:val="fr-CH"/>
              </w:rPr>
              <w:t xml:space="preserve"> </w:t>
            </w:r>
          </w:p>
          <w:p w14:paraId="24A28B3E" w14:textId="740A9BF4" w:rsidR="008B1EF6" w:rsidRPr="008B1EF6" w:rsidRDefault="002B612B" w:rsidP="00C231EE">
            <w:pPr>
              <w:spacing w:after="120"/>
              <w:rPr>
                <w:lang w:val="en-US"/>
              </w:rPr>
            </w:pPr>
            <w:r>
              <w:rPr>
                <w:lang w:val="en-US"/>
              </w:rPr>
              <w:t>CE</w:t>
            </w:r>
            <w:r w:rsidR="0078305E">
              <w:rPr>
                <w:lang w:val="en-US"/>
              </w:rPr>
              <w:t xml:space="preserve"> </w:t>
            </w:r>
            <w:r w:rsidR="008B1EF6" w:rsidRPr="008B1EF6">
              <w:rPr>
                <w:lang w:val="en-US"/>
              </w:rPr>
              <w:t xml:space="preserve">5 </w:t>
            </w:r>
            <w:r>
              <w:rPr>
                <w:lang w:val="en-US"/>
              </w:rPr>
              <w:t xml:space="preserve">et </w:t>
            </w:r>
            <w:proofErr w:type="spellStart"/>
            <w:r>
              <w:rPr>
                <w:lang w:val="en-US"/>
              </w:rPr>
              <w:t>autres</w:t>
            </w:r>
            <w:proofErr w:type="spellEnd"/>
            <w:r>
              <w:rPr>
                <w:lang w:val="en-US"/>
              </w:rPr>
              <w:t xml:space="preserve"> </w:t>
            </w:r>
            <w:proofErr w:type="spellStart"/>
            <w:r>
              <w:rPr>
                <w:lang w:val="en-US"/>
              </w:rPr>
              <w:t>groupes</w:t>
            </w:r>
            <w:proofErr w:type="spellEnd"/>
          </w:p>
        </w:tc>
      </w:tr>
      <w:tr w:rsidR="008B1EF6" w:rsidRPr="002B612B" w14:paraId="231D5D3B" w14:textId="77777777" w:rsidTr="00604CD4">
        <w:trPr>
          <w:trHeight w:val="1087"/>
        </w:trPr>
        <w:tc>
          <w:tcPr>
            <w:tcW w:w="9272" w:type="dxa"/>
            <w:gridSpan w:val="2"/>
          </w:tcPr>
          <w:p w14:paraId="2FE7F012" w14:textId="7CA40737" w:rsidR="008B1EF6" w:rsidRPr="00207A3A" w:rsidRDefault="00207A3A" w:rsidP="00C231EE">
            <w:pPr>
              <w:rPr>
                <w:b/>
                <w:bCs/>
                <w:i/>
                <w:iCs/>
                <w:lang w:val="fr-CH"/>
              </w:rPr>
            </w:pPr>
            <w:r w:rsidRPr="00207A3A">
              <w:rPr>
                <w:b/>
                <w:bCs/>
                <w:i/>
                <w:iCs/>
                <w:lang w:val="fr-CH"/>
              </w:rPr>
              <w:t>Répercussions au niveau des ressources de l'UIT, y compris incidences financières (voir le numéro 126 de la Convention):</w:t>
            </w:r>
            <w:r w:rsidR="00754429">
              <w:rPr>
                <w:b/>
                <w:bCs/>
                <w:i/>
                <w:iCs/>
                <w:lang w:val="fr-CH"/>
              </w:rPr>
              <w:t xml:space="preserve"> </w:t>
            </w:r>
          </w:p>
          <w:p w14:paraId="6FF19CE8" w14:textId="43EA7064" w:rsidR="008B1EF6" w:rsidRPr="002B612B" w:rsidRDefault="002B612B" w:rsidP="00C231EE">
            <w:pPr>
              <w:spacing w:after="120"/>
              <w:rPr>
                <w:lang w:val="fr-CH"/>
              </w:rPr>
            </w:pPr>
            <w:r w:rsidRPr="002B612B">
              <w:rPr>
                <w:lang w:val="fr-CH"/>
              </w:rPr>
              <w:t>Ce projet de point de l'ordre du jour sera traité dans le cadre des procédures normales et du budget prévu de l'UIT-R. Le</w:t>
            </w:r>
            <w:r w:rsidR="00754429">
              <w:rPr>
                <w:lang w:val="fr-CH"/>
              </w:rPr>
              <w:t xml:space="preserve"> </w:t>
            </w:r>
            <w:r w:rsidRPr="002B612B">
              <w:rPr>
                <w:lang w:val="fr-CH"/>
              </w:rPr>
              <w:t>GT 5D de l</w:t>
            </w:r>
            <w:r w:rsidR="007F49F0">
              <w:rPr>
                <w:lang w:val="fr-CH"/>
              </w:rPr>
              <w:t>'</w:t>
            </w:r>
            <w:r w:rsidRPr="002B612B">
              <w:rPr>
                <w:lang w:val="fr-CH"/>
              </w:rPr>
              <w:t xml:space="preserve">UIT-R, en sa qualité de groupe </w:t>
            </w:r>
            <w:r w:rsidR="00153EAF">
              <w:rPr>
                <w:lang w:val="fr-CH"/>
              </w:rPr>
              <w:t>responsable</w:t>
            </w:r>
            <w:r w:rsidRPr="002B612B">
              <w:rPr>
                <w:lang w:val="fr-CH"/>
              </w:rPr>
              <w:t xml:space="preserve"> des études relatives aux</w:t>
            </w:r>
            <w:r w:rsidR="008B1EF6" w:rsidRPr="002B612B">
              <w:rPr>
                <w:lang w:val="fr-CH"/>
              </w:rPr>
              <w:t xml:space="preserve"> IMT</w:t>
            </w:r>
            <w:r>
              <w:rPr>
                <w:lang w:val="fr-CH"/>
              </w:rPr>
              <w:t>, tient généralement trois réunions par an, d</w:t>
            </w:r>
            <w:r w:rsidR="007F49F0">
              <w:rPr>
                <w:lang w:val="fr-CH"/>
              </w:rPr>
              <w:t>'</w:t>
            </w:r>
            <w:r>
              <w:rPr>
                <w:lang w:val="fr-CH"/>
              </w:rPr>
              <w:t>une durée de six jours chacune.</w:t>
            </w:r>
          </w:p>
        </w:tc>
      </w:tr>
      <w:tr w:rsidR="008B1EF6" w:rsidRPr="00D674BC" w14:paraId="4D18AB95" w14:textId="77777777" w:rsidTr="00604CD4">
        <w:trPr>
          <w:trHeight w:val="612"/>
        </w:trPr>
        <w:tc>
          <w:tcPr>
            <w:tcW w:w="4183" w:type="dxa"/>
          </w:tcPr>
          <w:p w14:paraId="388E581B" w14:textId="0D9B67DB" w:rsidR="008B1EF6" w:rsidRPr="00153EAF" w:rsidRDefault="00207A3A" w:rsidP="00153EAF">
            <w:pPr>
              <w:pStyle w:val="Headingb"/>
              <w:rPr>
                <w:i/>
                <w:iCs/>
                <w:lang w:val="en-US"/>
              </w:rPr>
            </w:pPr>
            <w:r w:rsidRPr="00153EAF">
              <w:rPr>
                <w:i/>
                <w:iCs/>
                <w:lang w:val="en-US"/>
              </w:rPr>
              <w:t xml:space="preserve">Proposition </w:t>
            </w:r>
            <w:proofErr w:type="spellStart"/>
            <w:r w:rsidRPr="00153EAF">
              <w:rPr>
                <w:i/>
                <w:iCs/>
                <w:lang w:val="en-US"/>
              </w:rPr>
              <w:t>régionale</w:t>
            </w:r>
            <w:proofErr w:type="spellEnd"/>
            <w:r w:rsidRPr="00153EAF">
              <w:rPr>
                <w:i/>
                <w:iCs/>
                <w:lang w:val="en-US"/>
              </w:rPr>
              <w:t xml:space="preserve"> commune:</w:t>
            </w:r>
            <w:r w:rsidR="0049388E" w:rsidRPr="00153EAF">
              <w:rPr>
                <w:i/>
                <w:iCs/>
                <w:lang w:val="en-US"/>
              </w:rPr>
              <w:t xml:space="preserve"> </w:t>
            </w:r>
          </w:p>
          <w:p w14:paraId="47D6DC13" w14:textId="71D4E1D3" w:rsidR="008B1EF6" w:rsidRPr="008B1EF6" w:rsidRDefault="00207A3A" w:rsidP="00C231EE">
            <w:pPr>
              <w:spacing w:after="120"/>
              <w:rPr>
                <w:lang w:val="en-US"/>
              </w:rPr>
            </w:pPr>
            <w:proofErr w:type="spellStart"/>
            <w:r>
              <w:rPr>
                <w:lang w:val="en-US"/>
              </w:rPr>
              <w:t>Oui</w:t>
            </w:r>
            <w:proofErr w:type="spellEnd"/>
          </w:p>
        </w:tc>
        <w:tc>
          <w:tcPr>
            <w:tcW w:w="5089" w:type="dxa"/>
          </w:tcPr>
          <w:p w14:paraId="18C59DB2" w14:textId="5873BA32" w:rsidR="008B1EF6" w:rsidRPr="00207A3A" w:rsidRDefault="00207A3A" w:rsidP="00C231EE">
            <w:pPr>
              <w:rPr>
                <w:lang w:val="fr-CH"/>
              </w:rPr>
            </w:pPr>
            <w:r w:rsidRPr="00207A3A">
              <w:rPr>
                <w:b/>
                <w:bCs/>
                <w:i/>
                <w:iCs/>
                <w:lang w:val="fr-CH"/>
              </w:rPr>
              <w:t>Proposition soumise par plusieurs pays:</w:t>
            </w:r>
            <w:r w:rsidR="00754429">
              <w:rPr>
                <w:b/>
                <w:bCs/>
                <w:i/>
                <w:iCs/>
                <w:lang w:val="fr-CH"/>
              </w:rPr>
              <w:t xml:space="preserve"> </w:t>
            </w:r>
            <w:r w:rsidR="008B1EF6" w:rsidRPr="00207A3A">
              <w:rPr>
                <w:lang w:val="fr-CH"/>
              </w:rPr>
              <w:t>No</w:t>
            </w:r>
            <w:r>
              <w:rPr>
                <w:lang w:val="fr-CH"/>
              </w:rPr>
              <w:t>n</w:t>
            </w:r>
          </w:p>
          <w:p w14:paraId="703F7281" w14:textId="66743DB9" w:rsidR="008B1EF6" w:rsidRPr="00153EAF" w:rsidRDefault="00207A3A" w:rsidP="00153EAF">
            <w:pPr>
              <w:pStyle w:val="Headingb"/>
              <w:rPr>
                <w:i/>
                <w:iCs/>
                <w:lang w:val="en-US"/>
              </w:rPr>
            </w:pPr>
            <w:proofErr w:type="spellStart"/>
            <w:r w:rsidRPr="00153EAF">
              <w:rPr>
                <w:i/>
                <w:iCs/>
                <w:lang w:val="en-US"/>
              </w:rPr>
              <w:t>Nombre</w:t>
            </w:r>
            <w:proofErr w:type="spellEnd"/>
            <w:r w:rsidRPr="00153EAF">
              <w:rPr>
                <w:i/>
                <w:iCs/>
                <w:lang w:val="en-US"/>
              </w:rPr>
              <w:t xml:space="preserve"> de pays:</w:t>
            </w:r>
            <w:r w:rsidR="00754429" w:rsidRPr="00153EAF">
              <w:rPr>
                <w:i/>
                <w:iCs/>
                <w:lang w:val="en-US"/>
              </w:rPr>
              <w:t xml:space="preserve"> </w:t>
            </w:r>
          </w:p>
        </w:tc>
      </w:tr>
      <w:tr w:rsidR="008B1EF6" w:rsidRPr="008B1EF6" w14:paraId="06807286" w14:textId="77777777" w:rsidTr="00604CD4">
        <w:trPr>
          <w:trHeight w:val="70"/>
        </w:trPr>
        <w:tc>
          <w:tcPr>
            <w:tcW w:w="9272" w:type="dxa"/>
            <w:gridSpan w:val="2"/>
          </w:tcPr>
          <w:p w14:paraId="467B628C" w14:textId="3775F951" w:rsidR="008B1EF6" w:rsidRPr="00153EAF" w:rsidRDefault="00207A3A" w:rsidP="00153EAF">
            <w:pPr>
              <w:pStyle w:val="Headingb"/>
              <w:rPr>
                <w:i/>
                <w:iCs/>
                <w:lang w:val="en-US"/>
              </w:rPr>
            </w:pPr>
            <w:r w:rsidRPr="00153EAF">
              <w:rPr>
                <w:i/>
                <w:iCs/>
                <w:lang w:val="en-US"/>
              </w:rPr>
              <w:t>Observations</w:t>
            </w:r>
          </w:p>
        </w:tc>
      </w:tr>
    </w:tbl>
    <w:p w14:paraId="5C3335B3" w14:textId="77777777" w:rsidR="008B1EF6" w:rsidRDefault="008B1EF6" w:rsidP="00A41CA3"/>
    <w:p w14:paraId="6F52F2A2" w14:textId="19BFEBF6" w:rsidR="008B1EF6" w:rsidRDefault="008B1EF6" w:rsidP="00754429">
      <w:pPr>
        <w:jc w:val="center"/>
      </w:pPr>
      <w:r>
        <w:t>______________</w:t>
      </w:r>
    </w:p>
    <w:sectPr w:rsidR="008B1EF6">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D224C" w14:textId="77777777" w:rsidR="00604CD4" w:rsidRDefault="00604CD4">
      <w:r>
        <w:separator/>
      </w:r>
    </w:p>
  </w:endnote>
  <w:endnote w:type="continuationSeparator" w:id="0">
    <w:p w14:paraId="75075FA7" w14:textId="77777777" w:rsidR="00604CD4" w:rsidRDefault="0060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4BEB" w14:textId="0D8DA430" w:rsidR="00604CD4" w:rsidRDefault="00604CD4">
    <w:pPr>
      <w:rPr>
        <w:lang w:val="en-US"/>
      </w:rPr>
    </w:pPr>
    <w:r>
      <w:fldChar w:fldCharType="begin"/>
    </w:r>
    <w:r>
      <w:rPr>
        <w:lang w:val="en-US"/>
      </w:rPr>
      <w:instrText xml:space="preserve"> FILENAME \p  \* MERGEFORMAT </w:instrText>
    </w:r>
    <w:r>
      <w:fldChar w:fldCharType="separate"/>
    </w:r>
    <w:r w:rsidR="00DB632E">
      <w:rPr>
        <w:noProof/>
        <w:lang w:val="en-US"/>
      </w:rPr>
      <w:t>P:\FRA\ITU-R\CONF-R\CMR19\000\024ADD24ADD04F.docx</w:t>
    </w:r>
    <w:r>
      <w:fldChar w:fldCharType="end"/>
    </w:r>
    <w:r>
      <w:rPr>
        <w:lang w:val="en-US"/>
      </w:rPr>
      <w:tab/>
    </w:r>
    <w:r>
      <w:fldChar w:fldCharType="begin"/>
    </w:r>
    <w:r>
      <w:instrText xml:space="preserve"> SAVEDATE \@ DD.MM.YY </w:instrText>
    </w:r>
    <w:r>
      <w:fldChar w:fldCharType="separate"/>
    </w:r>
    <w:r w:rsidR="00DB632E">
      <w:rPr>
        <w:noProof/>
      </w:rPr>
      <w:t>01.10.19</w:t>
    </w:r>
    <w:r>
      <w:fldChar w:fldCharType="end"/>
    </w:r>
    <w:r>
      <w:rPr>
        <w:lang w:val="en-US"/>
      </w:rPr>
      <w:tab/>
    </w:r>
    <w:r>
      <w:fldChar w:fldCharType="begin"/>
    </w:r>
    <w:r>
      <w:instrText xml:space="preserve"> PRINTDATE \@ DD.MM.YY </w:instrText>
    </w:r>
    <w:r>
      <w:fldChar w:fldCharType="separate"/>
    </w:r>
    <w:r w:rsidR="00DB632E">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D94B" w14:textId="778E5A8C" w:rsidR="00604CD4" w:rsidRDefault="00604CD4" w:rsidP="007B2C34">
    <w:pPr>
      <w:pStyle w:val="Footer"/>
      <w:rPr>
        <w:lang w:val="en-US"/>
      </w:rPr>
    </w:pPr>
    <w:r>
      <w:fldChar w:fldCharType="begin"/>
    </w:r>
    <w:r>
      <w:rPr>
        <w:lang w:val="en-US"/>
      </w:rPr>
      <w:instrText xml:space="preserve"> FILENAME \p  \* MERGEFORMAT </w:instrText>
    </w:r>
    <w:r>
      <w:fldChar w:fldCharType="separate"/>
    </w:r>
    <w:r w:rsidR="00DB632E">
      <w:rPr>
        <w:lang w:val="en-US"/>
      </w:rPr>
      <w:t>P:\FRA\ITU-R\CONF-R\CMR19\000\024ADD24ADD04F.docx</w:t>
    </w:r>
    <w:r>
      <w:fldChar w:fldCharType="end"/>
    </w:r>
    <w:r w:rsidRPr="00EE2EFF">
      <w:rPr>
        <w:lang w:val="en-US"/>
      </w:rPr>
      <w:t xml:space="preserve"> (461091)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18D5" w14:textId="1E30B887" w:rsidR="00604CD4" w:rsidRDefault="00604CD4" w:rsidP="001A11F6">
    <w:pPr>
      <w:pStyle w:val="Footer"/>
      <w:rPr>
        <w:lang w:val="en-US"/>
      </w:rPr>
    </w:pPr>
    <w:r>
      <w:fldChar w:fldCharType="begin"/>
    </w:r>
    <w:r>
      <w:rPr>
        <w:lang w:val="en-US"/>
      </w:rPr>
      <w:instrText xml:space="preserve"> FILENAME \p  \* MERGEFORMAT </w:instrText>
    </w:r>
    <w:r>
      <w:fldChar w:fldCharType="separate"/>
    </w:r>
    <w:r w:rsidR="00DB632E">
      <w:rPr>
        <w:lang w:val="en-US"/>
      </w:rPr>
      <w:t>P:\FRA\ITU-R\CONF-R\CMR19\000\024ADD24ADD04F.docx</w:t>
    </w:r>
    <w:r>
      <w:fldChar w:fldCharType="end"/>
    </w:r>
    <w:r w:rsidRPr="00EE2EFF">
      <w:rPr>
        <w:lang w:val="en-US"/>
      </w:rPr>
      <w:t xml:space="preserve"> (461091)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A7C21" w14:textId="77777777" w:rsidR="00604CD4" w:rsidRDefault="00604CD4">
      <w:r>
        <w:rPr>
          <w:b/>
        </w:rPr>
        <w:t>_______________</w:t>
      </w:r>
    </w:p>
  </w:footnote>
  <w:footnote w:type="continuationSeparator" w:id="0">
    <w:p w14:paraId="15474F1F" w14:textId="77777777" w:rsidR="00604CD4" w:rsidRDefault="0060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1673" w14:textId="77777777" w:rsidR="00604CD4" w:rsidRDefault="00604CD4" w:rsidP="004F1F8E">
    <w:pPr>
      <w:pStyle w:val="Header"/>
    </w:pPr>
    <w:r>
      <w:fldChar w:fldCharType="begin"/>
    </w:r>
    <w:r>
      <w:instrText xml:space="preserve"> PAGE </w:instrText>
    </w:r>
    <w:r>
      <w:fldChar w:fldCharType="separate"/>
    </w:r>
    <w:r>
      <w:rPr>
        <w:noProof/>
      </w:rPr>
      <w:t>2</w:t>
    </w:r>
    <w:r>
      <w:fldChar w:fldCharType="end"/>
    </w:r>
  </w:p>
  <w:p w14:paraId="21812155" w14:textId="77777777" w:rsidR="00604CD4" w:rsidRDefault="00604CD4" w:rsidP="00FD7AA3">
    <w:pPr>
      <w:pStyle w:val="Header"/>
    </w:pPr>
    <w:r>
      <w:t>CMR19/24(Add.24)(Add.4)-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226D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F2D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04F8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EE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B28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D420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F8A4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EE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E5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AE8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79862B0"/>
    <w:multiLevelType w:val="hybridMultilevel"/>
    <w:tmpl w:val="E026BBE4"/>
    <w:lvl w:ilvl="0" w:tplc="C0646C62">
      <w:start w:val="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F4E42"/>
    <w:multiLevelType w:val="hybridMultilevel"/>
    <w:tmpl w:val="F620B006"/>
    <w:lvl w:ilvl="0" w:tplc="C0646C62">
      <w:start w:val="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B0034"/>
    <w:multiLevelType w:val="hybridMultilevel"/>
    <w:tmpl w:val="0C50D58C"/>
    <w:lvl w:ilvl="0" w:tplc="C0646C62">
      <w:start w:val="40"/>
      <w:numFmt w:val="bullet"/>
      <w:lvlText w:val="-"/>
      <w:lvlJc w:val="left"/>
      <w:pPr>
        <w:ind w:left="1081" w:hanging="420"/>
      </w:pPr>
      <w:rPr>
        <w:rFonts w:ascii="Arial" w:eastAsia="Times New Roman" w:hAnsi="Arial" w:cs="Arial" w:hint="default"/>
      </w:rPr>
    </w:lvl>
    <w:lvl w:ilvl="1" w:tplc="04090003" w:tentative="1">
      <w:start w:val="1"/>
      <w:numFmt w:val="bullet"/>
      <w:lvlText w:val=""/>
      <w:lvlJc w:val="left"/>
      <w:pPr>
        <w:ind w:left="1501" w:hanging="420"/>
      </w:pPr>
      <w:rPr>
        <w:rFonts w:ascii="Wingdings" w:hAnsi="Wingdings" w:hint="default"/>
      </w:rPr>
    </w:lvl>
    <w:lvl w:ilvl="2" w:tplc="04090005"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3" w:tentative="1">
      <w:start w:val="1"/>
      <w:numFmt w:val="bullet"/>
      <w:lvlText w:val=""/>
      <w:lvlJc w:val="left"/>
      <w:pPr>
        <w:ind w:left="2761" w:hanging="420"/>
      </w:pPr>
      <w:rPr>
        <w:rFonts w:ascii="Wingdings" w:hAnsi="Wingdings" w:hint="default"/>
      </w:rPr>
    </w:lvl>
    <w:lvl w:ilvl="5" w:tplc="04090005"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3" w:tentative="1">
      <w:start w:val="1"/>
      <w:numFmt w:val="bullet"/>
      <w:lvlText w:val=""/>
      <w:lvlJc w:val="left"/>
      <w:pPr>
        <w:ind w:left="4021" w:hanging="420"/>
      </w:pPr>
      <w:rPr>
        <w:rFonts w:ascii="Wingdings" w:hAnsi="Wingdings" w:hint="default"/>
      </w:rPr>
    </w:lvl>
    <w:lvl w:ilvl="8" w:tplc="04090005" w:tentative="1">
      <w:start w:val="1"/>
      <w:numFmt w:val="bullet"/>
      <w:lvlText w:val=""/>
      <w:lvlJc w:val="left"/>
      <w:pPr>
        <w:ind w:left="4441" w:hanging="420"/>
      </w:pPr>
      <w:rPr>
        <w:rFonts w:ascii="Wingdings" w:hAnsi="Wingdings" w:hint="default"/>
      </w:rPr>
    </w:lvl>
  </w:abstractNum>
  <w:abstractNum w:abstractNumId="14" w15:restartNumberingAfterBreak="0">
    <w:nsid w:val="68153848"/>
    <w:multiLevelType w:val="hybridMultilevel"/>
    <w:tmpl w:val="AD728354"/>
    <w:lvl w:ilvl="0" w:tplc="722A45E8">
      <w:start w:val="2"/>
      <w:numFmt w:val="bullet"/>
      <w:lvlText w:val="-"/>
      <w:lvlJc w:val="left"/>
      <w:pPr>
        <w:ind w:left="480" w:hanging="480"/>
      </w:pPr>
      <w:rPr>
        <w:rFonts w:ascii="Times New Roman" w:eastAsia="GulimChe" w:hAnsi="Times New Roman"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13F090F-6CEA-4DFE-BE18-3772A987C5D9}"/>
    <w:docVar w:name="dgnword-eventsink" w:val="1411609014032"/>
  </w:docVars>
  <w:rsids>
    <w:rsidRoot w:val="00BB1D82"/>
    <w:rsid w:val="00006E69"/>
    <w:rsid w:val="00007EC7"/>
    <w:rsid w:val="00010B43"/>
    <w:rsid w:val="00016648"/>
    <w:rsid w:val="0003522F"/>
    <w:rsid w:val="00063A1F"/>
    <w:rsid w:val="00080E2C"/>
    <w:rsid w:val="00081366"/>
    <w:rsid w:val="000863B3"/>
    <w:rsid w:val="000A4755"/>
    <w:rsid w:val="000A55AE"/>
    <w:rsid w:val="000B2E0C"/>
    <w:rsid w:val="000B3D0C"/>
    <w:rsid w:val="000F6746"/>
    <w:rsid w:val="0011471E"/>
    <w:rsid w:val="001167B9"/>
    <w:rsid w:val="001249D0"/>
    <w:rsid w:val="001267A0"/>
    <w:rsid w:val="00142DA6"/>
    <w:rsid w:val="0015203F"/>
    <w:rsid w:val="00153EAF"/>
    <w:rsid w:val="00160C64"/>
    <w:rsid w:val="0018169B"/>
    <w:rsid w:val="0019352B"/>
    <w:rsid w:val="001960D0"/>
    <w:rsid w:val="001A11F6"/>
    <w:rsid w:val="001A193E"/>
    <w:rsid w:val="001C597D"/>
    <w:rsid w:val="001F17E8"/>
    <w:rsid w:val="00204306"/>
    <w:rsid w:val="00207A3A"/>
    <w:rsid w:val="00232FD2"/>
    <w:rsid w:val="00254C9E"/>
    <w:rsid w:val="0026554E"/>
    <w:rsid w:val="00296701"/>
    <w:rsid w:val="002A4622"/>
    <w:rsid w:val="002A6F8F"/>
    <w:rsid w:val="002B17E5"/>
    <w:rsid w:val="002B26BC"/>
    <w:rsid w:val="002B612B"/>
    <w:rsid w:val="002C0EBF"/>
    <w:rsid w:val="002C28A4"/>
    <w:rsid w:val="002D7E0A"/>
    <w:rsid w:val="002E44DA"/>
    <w:rsid w:val="00304C0D"/>
    <w:rsid w:val="00315AFE"/>
    <w:rsid w:val="00322D5E"/>
    <w:rsid w:val="00332D0A"/>
    <w:rsid w:val="00344477"/>
    <w:rsid w:val="003606A6"/>
    <w:rsid w:val="0036650C"/>
    <w:rsid w:val="00393ACD"/>
    <w:rsid w:val="003A583E"/>
    <w:rsid w:val="003E112B"/>
    <w:rsid w:val="003E1D1C"/>
    <w:rsid w:val="003E7B05"/>
    <w:rsid w:val="003F1D7D"/>
    <w:rsid w:val="003F3719"/>
    <w:rsid w:val="003F6F2D"/>
    <w:rsid w:val="00466211"/>
    <w:rsid w:val="00483196"/>
    <w:rsid w:val="004834A9"/>
    <w:rsid w:val="0049388E"/>
    <w:rsid w:val="004B1DCC"/>
    <w:rsid w:val="004D01FC"/>
    <w:rsid w:val="004D2E9E"/>
    <w:rsid w:val="004E28C3"/>
    <w:rsid w:val="004F1F8E"/>
    <w:rsid w:val="00512A32"/>
    <w:rsid w:val="005343DA"/>
    <w:rsid w:val="00560874"/>
    <w:rsid w:val="00586CF2"/>
    <w:rsid w:val="005A7C75"/>
    <w:rsid w:val="005C3768"/>
    <w:rsid w:val="005C6C3F"/>
    <w:rsid w:val="00604CD4"/>
    <w:rsid w:val="00613635"/>
    <w:rsid w:val="0062093D"/>
    <w:rsid w:val="00637ECF"/>
    <w:rsid w:val="00647B59"/>
    <w:rsid w:val="00677ED0"/>
    <w:rsid w:val="00690C7B"/>
    <w:rsid w:val="006A4B45"/>
    <w:rsid w:val="006C6AC7"/>
    <w:rsid w:val="006D2A0A"/>
    <w:rsid w:val="006D4724"/>
    <w:rsid w:val="006F5FA2"/>
    <w:rsid w:val="0070076C"/>
    <w:rsid w:val="00701BAE"/>
    <w:rsid w:val="00721F04"/>
    <w:rsid w:val="00730E95"/>
    <w:rsid w:val="00731EFE"/>
    <w:rsid w:val="00741839"/>
    <w:rsid w:val="007426B9"/>
    <w:rsid w:val="00754429"/>
    <w:rsid w:val="00764342"/>
    <w:rsid w:val="00764DCC"/>
    <w:rsid w:val="00774362"/>
    <w:rsid w:val="0078305E"/>
    <w:rsid w:val="00786598"/>
    <w:rsid w:val="00790C74"/>
    <w:rsid w:val="00794154"/>
    <w:rsid w:val="007949FD"/>
    <w:rsid w:val="007A04E8"/>
    <w:rsid w:val="007B2C34"/>
    <w:rsid w:val="007C5397"/>
    <w:rsid w:val="007D2C18"/>
    <w:rsid w:val="007F49F0"/>
    <w:rsid w:val="00830086"/>
    <w:rsid w:val="00850888"/>
    <w:rsid w:val="00851625"/>
    <w:rsid w:val="00863C0A"/>
    <w:rsid w:val="008A3120"/>
    <w:rsid w:val="008A4B97"/>
    <w:rsid w:val="008B1EF6"/>
    <w:rsid w:val="008C5B8E"/>
    <w:rsid w:val="008C5DD5"/>
    <w:rsid w:val="008D41BE"/>
    <w:rsid w:val="008D58D3"/>
    <w:rsid w:val="008E2260"/>
    <w:rsid w:val="008E3BC9"/>
    <w:rsid w:val="00923064"/>
    <w:rsid w:val="00930FFD"/>
    <w:rsid w:val="00936D25"/>
    <w:rsid w:val="00941EA5"/>
    <w:rsid w:val="00964700"/>
    <w:rsid w:val="00966C16"/>
    <w:rsid w:val="00966E62"/>
    <w:rsid w:val="0098732F"/>
    <w:rsid w:val="00994279"/>
    <w:rsid w:val="00995AEB"/>
    <w:rsid w:val="009A045F"/>
    <w:rsid w:val="009A6A2B"/>
    <w:rsid w:val="009C2318"/>
    <w:rsid w:val="009C68DC"/>
    <w:rsid w:val="009C7E7C"/>
    <w:rsid w:val="00A00473"/>
    <w:rsid w:val="00A03C9B"/>
    <w:rsid w:val="00A37105"/>
    <w:rsid w:val="00A40E6D"/>
    <w:rsid w:val="00A41CA3"/>
    <w:rsid w:val="00A42CC7"/>
    <w:rsid w:val="00A606C3"/>
    <w:rsid w:val="00A67139"/>
    <w:rsid w:val="00A74E1B"/>
    <w:rsid w:val="00A77D4A"/>
    <w:rsid w:val="00A83B09"/>
    <w:rsid w:val="00A84541"/>
    <w:rsid w:val="00A97FD5"/>
    <w:rsid w:val="00AA277F"/>
    <w:rsid w:val="00AA289F"/>
    <w:rsid w:val="00AE36A0"/>
    <w:rsid w:val="00AF0066"/>
    <w:rsid w:val="00B00294"/>
    <w:rsid w:val="00B3749C"/>
    <w:rsid w:val="00B64FD0"/>
    <w:rsid w:val="00B76CD6"/>
    <w:rsid w:val="00B85865"/>
    <w:rsid w:val="00B91769"/>
    <w:rsid w:val="00BA5BD0"/>
    <w:rsid w:val="00BB1D82"/>
    <w:rsid w:val="00BC05CE"/>
    <w:rsid w:val="00BC577D"/>
    <w:rsid w:val="00BD078B"/>
    <w:rsid w:val="00BD51C5"/>
    <w:rsid w:val="00BF26E7"/>
    <w:rsid w:val="00BF797D"/>
    <w:rsid w:val="00C035A3"/>
    <w:rsid w:val="00C101E2"/>
    <w:rsid w:val="00C231EE"/>
    <w:rsid w:val="00C27319"/>
    <w:rsid w:val="00C53FCA"/>
    <w:rsid w:val="00C76BAF"/>
    <w:rsid w:val="00C814B9"/>
    <w:rsid w:val="00CD516F"/>
    <w:rsid w:val="00D119A7"/>
    <w:rsid w:val="00D25FBA"/>
    <w:rsid w:val="00D32B28"/>
    <w:rsid w:val="00D40075"/>
    <w:rsid w:val="00D42954"/>
    <w:rsid w:val="00D66EAC"/>
    <w:rsid w:val="00D674BC"/>
    <w:rsid w:val="00D730DF"/>
    <w:rsid w:val="00D772F0"/>
    <w:rsid w:val="00D77BDC"/>
    <w:rsid w:val="00D851CB"/>
    <w:rsid w:val="00DB632E"/>
    <w:rsid w:val="00DC402B"/>
    <w:rsid w:val="00DE0932"/>
    <w:rsid w:val="00E03A27"/>
    <w:rsid w:val="00E049F1"/>
    <w:rsid w:val="00E101E7"/>
    <w:rsid w:val="00E231B6"/>
    <w:rsid w:val="00E37A25"/>
    <w:rsid w:val="00E537FF"/>
    <w:rsid w:val="00E6539B"/>
    <w:rsid w:val="00E70A31"/>
    <w:rsid w:val="00E723A7"/>
    <w:rsid w:val="00E7687D"/>
    <w:rsid w:val="00E901DC"/>
    <w:rsid w:val="00EA3F38"/>
    <w:rsid w:val="00EA5AB6"/>
    <w:rsid w:val="00EC7615"/>
    <w:rsid w:val="00ED16AA"/>
    <w:rsid w:val="00ED6B8D"/>
    <w:rsid w:val="00EE2A68"/>
    <w:rsid w:val="00EE2EFF"/>
    <w:rsid w:val="00EE3D7B"/>
    <w:rsid w:val="00EF662E"/>
    <w:rsid w:val="00F10064"/>
    <w:rsid w:val="00F148F1"/>
    <w:rsid w:val="00F15020"/>
    <w:rsid w:val="00F3069B"/>
    <w:rsid w:val="00F4154F"/>
    <w:rsid w:val="00F711A7"/>
    <w:rsid w:val="00F74A1F"/>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CCB0E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R16-WRC19-C-0024!A24-A4!MSW-F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B09323-5C38-46D3-AF6F-9805A600D4BB}">
  <ds:schemaRefs>
    <ds:schemaRef ds:uri="http://schemas.microsoft.com/office/2006/documentManagement/types"/>
    <ds:schemaRef ds:uri="http://schemas.microsoft.com/office/2006/metadata/properties"/>
    <ds:schemaRef ds:uri="http://purl.org/dc/dcmitype/"/>
    <ds:schemaRef ds:uri="http://purl.org/dc/elements/1.1/"/>
    <ds:schemaRef ds:uri="32a1a8c5-2265-4ebc-b7a0-2071e2c5c9bb"/>
    <ds:schemaRef ds:uri="http://schemas.microsoft.com/office/infopath/2007/PartnerControls"/>
    <ds:schemaRef ds:uri="996b2e75-67fd-4955-a3b0-5ab9934cb50b"/>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6BF1990-092F-47E9-9071-6A6439BD1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480DA-BE4D-401C-BA57-928F9A5BD2E2}">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3001</Words>
  <Characters>16053</Characters>
  <Application>Microsoft Office Word</Application>
  <DocSecurity>0</DocSecurity>
  <Lines>276</Lines>
  <Paragraphs>112</Paragraphs>
  <ScaleCrop>false</ScaleCrop>
  <HeadingPairs>
    <vt:vector size="2" baseType="variant">
      <vt:variant>
        <vt:lpstr>Title</vt:lpstr>
      </vt:variant>
      <vt:variant>
        <vt:i4>1</vt:i4>
      </vt:variant>
    </vt:vector>
  </HeadingPairs>
  <TitlesOfParts>
    <vt:vector size="1" baseType="lpstr">
      <vt:lpstr>R16-WRC19-C-0024!A24-A4!MSW-F</vt:lpstr>
    </vt:vector>
  </TitlesOfParts>
  <Manager>Secrétariat général - Pool</Manager>
  <Company>Union internationale des télécommunications (UIT)</Company>
  <LinksUpToDate>false</LinksUpToDate>
  <CharactersWithSpaces>18942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R16-WRC19-C-0024!A24-A4!MSW-F</dc:title>
  <dc:subject>Conférence mondiale des radiocommunications - 2019</dc:subject>
  <dc:creator>Documents Proposals Manager (DPM)</dc:creator>
  <cp:keywords>DPM_v2019.9.25.1_prod</cp:keywords>
  <dc:description/>
  <cp:lastModifiedBy>Barbier, Marie-Claire</cp:lastModifiedBy>
  <cp:revision>23</cp:revision>
  <cp:lastPrinted>2019-10-01T07:07:00Z</cp:lastPrinted>
  <dcterms:created xsi:type="dcterms:W3CDTF">2019-09-30T09:51:00Z</dcterms:created>
  <dcterms:modified xsi:type="dcterms:W3CDTF">2019-10-01T07:07:00Z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