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C33202" w14:paraId="79D8F0F6" w14:textId="77777777" w:rsidTr="001226EC">
        <w:trPr>
          <w:cantSplit/>
        </w:trPr>
        <w:tc>
          <w:tcPr>
            <w:tcW w:w="6771" w:type="dxa"/>
          </w:tcPr>
          <w:p w14:paraId="6B04C75D" w14:textId="77777777" w:rsidR="005651C9" w:rsidRPr="00C33202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3320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C33202">
              <w:rPr>
                <w:rFonts w:ascii="Verdana" w:hAnsi="Verdana"/>
                <w:b/>
                <w:bCs/>
                <w:szCs w:val="22"/>
              </w:rPr>
              <w:t>9</w:t>
            </w:r>
            <w:r w:rsidRPr="00C33202">
              <w:rPr>
                <w:rFonts w:ascii="Verdana" w:hAnsi="Verdana"/>
                <w:b/>
                <w:bCs/>
                <w:szCs w:val="22"/>
              </w:rPr>
              <w:t>)</w:t>
            </w:r>
            <w:r w:rsidRPr="00C33202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C3320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C3320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C3320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C3320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3161391E" w14:textId="77777777" w:rsidR="005651C9" w:rsidRPr="00C33202" w:rsidRDefault="00966C93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33202">
              <w:rPr>
                <w:szCs w:val="22"/>
                <w:lang w:eastAsia="en-GB"/>
              </w:rPr>
              <w:drawing>
                <wp:inline distT="0" distB="0" distL="0" distR="0" wp14:anchorId="675369C0" wp14:editId="060CD693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33202" w14:paraId="067A9A2D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2A10EFF" w14:textId="77777777" w:rsidR="005651C9" w:rsidRPr="00C33202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7C90967" w14:textId="77777777" w:rsidR="005651C9" w:rsidRPr="00C3320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33202" w14:paraId="1A816322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8795716" w14:textId="77777777" w:rsidR="005651C9" w:rsidRPr="00C3320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20EBD4F" w14:textId="77777777" w:rsidR="005651C9" w:rsidRPr="00C3320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33202" w14:paraId="538DE553" w14:textId="77777777" w:rsidTr="001226EC">
        <w:trPr>
          <w:cantSplit/>
        </w:trPr>
        <w:tc>
          <w:tcPr>
            <w:tcW w:w="6771" w:type="dxa"/>
          </w:tcPr>
          <w:p w14:paraId="70C4C440" w14:textId="77777777" w:rsidR="005651C9" w:rsidRPr="00C3320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3320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47A9AE3B" w14:textId="77777777" w:rsidR="005651C9" w:rsidRPr="00C3320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33202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3</w:t>
            </w:r>
            <w:r w:rsidRPr="00C33202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24(Add.24)</w:t>
            </w:r>
            <w:r w:rsidR="005651C9" w:rsidRPr="00C3320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3320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33202" w14:paraId="65934AB2" w14:textId="77777777" w:rsidTr="001226EC">
        <w:trPr>
          <w:cantSplit/>
        </w:trPr>
        <w:tc>
          <w:tcPr>
            <w:tcW w:w="6771" w:type="dxa"/>
          </w:tcPr>
          <w:p w14:paraId="05A37D78" w14:textId="77777777" w:rsidR="000F33D8" w:rsidRPr="00C3320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C110FAD" w14:textId="77777777" w:rsidR="000F33D8" w:rsidRPr="00C3320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33202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C33202" w14:paraId="6C66CDD8" w14:textId="77777777" w:rsidTr="001226EC">
        <w:trPr>
          <w:cantSplit/>
        </w:trPr>
        <w:tc>
          <w:tcPr>
            <w:tcW w:w="6771" w:type="dxa"/>
          </w:tcPr>
          <w:p w14:paraId="5EA56967" w14:textId="77777777" w:rsidR="000F33D8" w:rsidRPr="00C3320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AC96CFD" w14:textId="77777777" w:rsidR="000F33D8" w:rsidRPr="00C3320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3320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33202" w14:paraId="2A949F72" w14:textId="77777777" w:rsidTr="0073266D">
        <w:trPr>
          <w:cantSplit/>
        </w:trPr>
        <w:tc>
          <w:tcPr>
            <w:tcW w:w="10031" w:type="dxa"/>
            <w:gridSpan w:val="2"/>
          </w:tcPr>
          <w:p w14:paraId="3EF3D08E" w14:textId="77777777" w:rsidR="000F33D8" w:rsidRPr="00C3320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33202" w14:paraId="2AE10EB3" w14:textId="77777777">
        <w:trPr>
          <w:cantSplit/>
        </w:trPr>
        <w:tc>
          <w:tcPr>
            <w:tcW w:w="10031" w:type="dxa"/>
            <w:gridSpan w:val="2"/>
          </w:tcPr>
          <w:p w14:paraId="22B5934F" w14:textId="77777777" w:rsidR="000F33D8" w:rsidRPr="00C33202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C33202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C33202" w14:paraId="1C721B21" w14:textId="77777777">
        <w:trPr>
          <w:cantSplit/>
        </w:trPr>
        <w:tc>
          <w:tcPr>
            <w:tcW w:w="10031" w:type="dxa"/>
            <w:gridSpan w:val="2"/>
          </w:tcPr>
          <w:p w14:paraId="16FDAA11" w14:textId="531B10FB" w:rsidR="000F33D8" w:rsidRPr="00C33202" w:rsidRDefault="00751753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C33202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C33202" w14:paraId="4AADC6D2" w14:textId="77777777">
        <w:trPr>
          <w:cantSplit/>
        </w:trPr>
        <w:tc>
          <w:tcPr>
            <w:tcW w:w="10031" w:type="dxa"/>
            <w:gridSpan w:val="2"/>
          </w:tcPr>
          <w:p w14:paraId="6087895E" w14:textId="77777777" w:rsidR="000F33D8" w:rsidRPr="00C33202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C33202" w14:paraId="360FE27F" w14:textId="77777777">
        <w:trPr>
          <w:cantSplit/>
        </w:trPr>
        <w:tc>
          <w:tcPr>
            <w:tcW w:w="10031" w:type="dxa"/>
            <w:gridSpan w:val="2"/>
          </w:tcPr>
          <w:p w14:paraId="07B140CE" w14:textId="77777777" w:rsidR="000F33D8" w:rsidRPr="00C33202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33202">
              <w:rPr>
                <w:lang w:val="ru-RU"/>
              </w:rPr>
              <w:t>Пункт 10 повестки дня</w:t>
            </w:r>
          </w:p>
        </w:tc>
      </w:tr>
    </w:tbl>
    <w:bookmarkEnd w:id="7"/>
    <w:p w14:paraId="1A70FCCD" w14:textId="77777777" w:rsidR="0073266D" w:rsidRPr="00C33202" w:rsidRDefault="007804B0" w:rsidP="0073266D">
      <w:r w:rsidRPr="00C33202">
        <w:t>10</w:t>
      </w:r>
      <w:r w:rsidRPr="00C33202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C33202">
        <w:t>рекомендовать Совету пункты для включения в повестку дня следующей ВКР и 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 в соответствии со Статьей 7 Конвенции,</w:t>
      </w:r>
    </w:p>
    <w:p w14:paraId="1FBCA6F2" w14:textId="363CAC55" w:rsidR="00751753" w:rsidRPr="00C33202" w:rsidRDefault="00F068C7" w:rsidP="00751753">
      <w:pPr>
        <w:pStyle w:val="Headingb"/>
        <w:rPr>
          <w:rFonts w:eastAsia="SimSun"/>
          <w:lang w:val="ru-RU" w:eastAsia="zh-CN"/>
        </w:rPr>
      </w:pPr>
      <w:r w:rsidRPr="00C33202">
        <w:rPr>
          <w:rFonts w:eastAsia="SimSun"/>
          <w:lang w:val="ru-RU" w:eastAsia="zh-CN"/>
        </w:rPr>
        <w:t>Введение</w:t>
      </w:r>
    </w:p>
    <w:p w14:paraId="235D60D1" w14:textId="605427AC" w:rsidR="00751753" w:rsidRPr="00C33202" w:rsidRDefault="00F068C7" w:rsidP="009351EC">
      <w:pPr>
        <w:rPr>
          <w:rFonts w:eastAsia="SimSun"/>
          <w:lang w:eastAsia="zh-CN"/>
        </w:rPr>
      </w:pPr>
      <w:r w:rsidRPr="00C33202">
        <w:t xml:space="preserve">Члены АТСЭ рассмотрели новые пункты, предлагаемые для включения </w:t>
      </w:r>
      <w:r w:rsidR="007250A0" w:rsidRPr="00C33202">
        <w:t>в повестку дня</w:t>
      </w:r>
      <w:r w:rsidR="00751753" w:rsidRPr="00C33202">
        <w:t xml:space="preserve"> </w:t>
      </w:r>
      <w:r w:rsidR="00AF721F" w:rsidRPr="00C33202">
        <w:t>ВКР</w:t>
      </w:r>
      <w:r w:rsidR="00751753" w:rsidRPr="00C33202">
        <w:t>-23</w:t>
      </w:r>
      <w:r w:rsidR="007250A0" w:rsidRPr="00C33202">
        <w:t xml:space="preserve">, и приняли решение о рассмотрении определения для </w:t>
      </w:r>
      <w:r w:rsidR="00751753" w:rsidRPr="00C33202">
        <w:rPr>
          <w:rFonts w:eastAsia="MS Mincho"/>
          <w:kern w:val="2"/>
          <w:lang w:eastAsia="ja-JP"/>
        </w:rPr>
        <w:t xml:space="preserve">IMT </w:t>
      </w:r>
      <w:r w:rsidR="007250A0" w:rsidRPr="00C33202">
        <w:rPr>
          <w:rFonts w:eastAsia="MS Mincho"/>
          <w:kern w:val="2"/>
          <w:lang w:eastAsia="ja-JP"/>
        </w:rPr>
        <w:t xml:space="preserve">в </w:t>
      </w:r>
      <w:r w:rsidR="008E0554" w:rsidRPr="00C33202">
        <w:rPr>
          <w:rFonts w:eastAsia="MS Mincho"/>
          <w:kern w:val="2"/>
          <w:lang w:eastAsia="ja-JP"/>
        </w:rPr>
        <w:t>диапазоне</w:t>
      </w:r>
      <w:r w:rsidR="007250A0" w:rsidRPr="00C33202">
        <w:rPr>
          <w:rFonts w:eastAsia="MS Mincho"/>
          <w:kern w:val="2"/>
          <w:lang w:eastAsia="ja-JP"/>
        </w:rPr>
        <w:t xml:space="preserve"> частот</w:t>
      </w:r>
      <w:r w:rsidR="00751753" w:rsidRPr="00C33202">
        <w:rPr>
          <w:rFonts w:eastAsia="MS Mincho"/>
          <w:kern w:val="2"/>
          <w:lang w:eastAsia="ja-JP"/>
        </w:rPr>
        <w:t xml:space="preserve"> </w:t>
      </w:r>
      <w:r w:rsidR="00751753" w:rsidRPr="00C33202">
        <w:t>7025</w:t>
      </w:r>
      <w:r w:rsidR="00AF721F" w:rsidRPr="00C33202">
        <w:t>−</w:t>
      </w:r>
      <w:r w:rsidR="00751753" w:rsidRPr="00C33202">
        <w:t>7125</w:t>
      </w:r>
      <w:r w:rsidR="00AF721F" w:rsidRPr="00C33202">
        <w:t> МГц</w:t>
      </w:r>
      <w:r w:rsidR="00751753" w:rsidRPr="00C33202">
        <w:rPr>
          <w:rFonts w:eastAsia="SimSun"/>
          <w:color w:val="000000"/>
          <w:lang w:eastAsia="zh-CN"/>
        </w:rPr>
        <w:t>.</w:t>
      </w:r>
      <w:r w:rsidR="00751753" w:rsidRPr="00C33202">
        <w:rPr>
          <w:rFonts w:eastAsia="SimSun"/>
          <w:lang w:eastAsia="zh-CN"/>
        </w:rPr>
        <w:t xml:space="preserve"> </w:t>
      </w:r>
    </w:p>
    <w:p w14:paraId="5057EFAB" w14:textId="529EC8CA" w:rsidR="00751753" w:rsidRPr="00C33202" w:rsidRDefault="008702B2" w:rsidP="00751753">
      <w:pPr>
        <w:rPr>
          <w:rFonts w:eastAsia="SimSun"/>
          <w:lang w:eastAsia="zh-CN"/>
        </w:rPr>
      </w:pPr>
      <w:r w:rsidRPr="00C33202">
        <w:rPr>
          <w:rFonts w:eastAsia="SimSun"/>
          <w:lang w:eastAsia="zh-CN"/>
        </w:rPr>
        <w:t>В дополнение к полосе частот</w:t>
      </w:r>
      <w:r w:rsidR="00751753" w:rsidRPr="00C33202">
        <w:rPr>
          <w:rFonts w:eastAsia="SimSun"/>
          <w:lang w:eastAsia="zh-CN"/>
        </w:rPr>
        <w:t xml:space="preserve"> </w:t>
      </w:r>
      <w:r w:rsidR="00751753" w:rsidRPr="00C33202">
        <w:t>7025</w:t>
      </w:r>
      <w:r w:rsidR="00AF721F" w:rsidRPr="00C33202">
        <w:t>−</w:t>
      </w:r>
      <w:r w:rsidR="00751753" w:rsidRPr="00C33202">
        <w:t>7125</w:t>
      </w:r>
      <w:r w:rsidR="00AF721F" w:rsidRPr="00C33202">
        <w:t> МГц</w:t>
      </w:r>
      <w:r w:rsidRPr="00C33202">
        <w:t xml:space="preserve"> также рассматривалась полоса частот</w:t>
      </w:r>
      <w:r w:rsidR="00751753" w:rsidRPr="00C33202">
        <w:rPr>
          <w:rFonts w:eastAsia="SimSun"/>
          <w:lang w:eastAsia="zh-CN"/>
        </w:rPr>
        <w:t xml:space="preserve"> </w:t>
      </w:r>
      <w:r w:rsidR="00751753" w:rsidRPr="00C33202">
        <w:t>5925</w:t>
      </w:r>
      <w:r w:rsidR="00AF721F" w:rsidRPr="00C33202">
        <w:t>−</w:t>
      </w:r>
      <w:r w:rsidR="00751753" w:rsidRPr="00C33202">
        <w:t>6725</w:t>
      </w:r>
      <w:r w:rsidR="00AF721F" w:rsidRPr="00C33202">
        <w:t> МГц</w:t>
      </w:r>
      <w:r w:rsidRPr="00C33202">
        <w:t>, по которой на данном этапе еще предстоит достичь консенсуса</w:t>
      </w:r>
      <w:r w:rsidR="00751753" w:rsidRPr="00C33202">
        <w:rPr>
          <w:rFonts w:eastAsia="SimSun"/>
          <w:lang w:eastAsia="zh-CN"/>
        </w:rPr>
        <w:t>.</w:t>
      </w:r>
    </w:p>
    <w:p w14:paraId="611CDCDB" w14:textId="470B4D96" w:rsidR="0003535B" w:rsidRPr="00C33202" w:rsidRDefault="008702B2" w:rsidP="00751753">
      <w:pPr>
        <w:pStyle w:val="Headingb"/>
        <w:rPr>
          <w:lang w:val="ru-RU"/>
        </w:rPr>
      </w:pPr>
      <w:r w:rsidRPr="00C33202">
        <w:rPr>
          <w:rFonts w:eastAsia="SimSun"/>
          <w:lang w:val="ru-RU" w:eastAsia="zh-CN"/>
        </w:rPr>
        <w:t>Предложение</w:t>
      </w:r>
    </w:p>
    <w:p w14:paraId="2B51B36C" w14:textId="77777777" w:rsidR="009B5CC2" w:rsidRPr="00C33202" w:rsidRDefault="009B5CC2" w:rsidP="00751753">
      <w:r w:rsidRPr="00C33202">
        <w:br w:type="page"/>
      </w:r>
    </w:p>
    <w:p w14:paraId="785D055B" w14:textId="77777777" w:rsidR="009613AA" w:rsidRPr="00C33202" w:rsidRDefault="007804B0">
      <w:pPr>
        <w:pStyle w:val="Proposal"/>
      </w:pPr>
      <w:r w:rsidRPr="00C33202">
        <w:lastRenderedPageBreak/>
        <w:t>ADD</w:t>
      </w:r>
      <w:r w:rsidRPr="00C33202">
        <w:tab/>
        <w:t>ACP/24A24A3/1</w:t>
      </w:r>
    </w:p>
    <w:p w14:paraId="23A36D12" w14:textId="45BE9A39" w:rsidR="009613AA" w:rsidRPr="00C33202" w:rsidRDefault="007804B0">
      <w:pPr>
        <w:pStyle w:val="ResNo"/>
      </w:pPr>
      <w:r w:rsidRPr="00C33202">
        <w:t>Проект новой Резолюции [ACP-A10-WRC23]</w:t>
      </w:r>
      <w:r w:rsidR="00AF721F" w:rsidRPr="00C33202">
        <w:t xml:space="preserve"> (ВКР</w:t>
      </w:r>
      <w:r w:rsidR="00AF721F" w:rsidRPr="00C33202">
        <w:noBreakHyphen/>
        <w:t>19)</w:t>
      </w:r>
    </w:p>
    <w:p w14:paraId="4F9C0C80" w14:textId="1413B78A" w:rsidR="009613AA" w:rsidRPr="00C33202" w:rsidRDefault="008702B2" w:rsidP="00AF721F">
      <w:pPr>
        <w:pStyle w:val="Restitle"/>
      </w:pPr>
      <w:bookmarkStart w:id="8" w:name="_Toc319401926"/>
      <w:bookmarkStart w:id="9" w:name="_Toc450048857"/>
      <w:r w:rsidRPr="00C33202">
        <w:t>Повестка дня Всемирной конференции радиосвязи</w:t>
      </w:r>
      <w:r w:rsidR="00AF721F" w:rsidRPr="00C33202">
        <w:t xml:space="preserve"> 2023</w:t>
      </w:r>
      <w:r w:rsidRPr="00C33202">
        <w:t> года</w:t>
      </w:r>
      <w:bookmarkEnd w:id="8"/>
      <w:bookmarkEnd w:id="9"/>
    </w:p>
    <w:p w14:paraId="11F1B11E" w14:textId="37310266" w:rsidR="00AF721F" w:rsidRPr="00C33202" w:rsidRDefault="00294476" w:rsidP="00AF721F">
      <w:pPr>
        <w:pStyle w:val="Normalaftertitle"/>
      </w:pPr>
      <w:r w:rsidRPr="00C33202">
        <w:t>Всемирная конференция радиосвязи</w:t>
      </w:r>
      <w:r w:rsidR="00AF721F" w:rsidRPr="00C33202">
        <w:t xml:space="preserve"> (</w:t>
      </w:r>
      <w:r w:rsidRPr="00C33202">
        <w:t>Шарм-эль-Шейх</w:t>
      </w:r>
      <w:r w:rsidR="00AF721F" w:rsidRPr="00C33202">
        <w:t>, 2019</w:t>
      </w:r>
      <w:r w:rsidRPr="00C33202">
        <w:t> г.</w:t>
      </w:r>
      <w:r w:rsidR="00AF721F" w:rsidRPr="00C33202">
        <w:t>),</w:t>
      </w:r>
    </w:p>
    <w:p w14:paraId="00247B42" w14:textId="77777777" w:rsidR="00AF721F" w:rsidRPr="00C33202" w:rsidRDefault="00AF721F" w:rsidP="00AF721F">
      <w:r w:rsidRPr="00C33202">
        <w:t>…</w:t>
      </w:r>
    </w:p>
    <w:p w14:paraId="12993EAA" w14:textId="0F51C5BE" w:rsidR="00AF721F" w:rsidRPr="00C33202" w:rsidRDefault="00AF721F" w:rsidP="00AF721F">
      <w:r w:rsidRPr="00C33202">
        <w:t>1.x</w:t>
      </w:r>
      <w:r w:rsidRPr="00C33202">
        <w:tab/>
      </w:r>
      <w:r w:rsidR="008702B2" w:rsidRPr="00C33202">
        <w:t xml:space="preserve">рассмотреть определение для </w:t>
      </w:r>
      <w:r w:rsidR="008702B2" w:rsidRPr="00C33202">
        <w:rPr>
          <w:rFonts w:eastAsia="MS Mincho"/>
          <w:kern w:val="2"/>
          <w:lang w:eastAsia="ja-JP"/>
        </w:rPr>
        <w:t xml:space="preserve">IMT в </w:t>
      </w:r>
      <w:r w:rsidR="008E0554" w:rsidRPr="00C33202">
        <w:rPr>
          <w:rFonts w:eastAsia="MS Mincho"/>
          <w:kern w:val="2"/>
          <w:lang w:eastAsia="ja-JP"/>
        </w:rPr>
        <w:t>диапазоне</w:t>
      </w:r>
      <w:r w:rsidR="008702B2" w:rsidRPr="00C33202">
        <w:rPr>
          <w:rFonts w:eastAsia="MS Mincho"/>
          <w:kern w:val="2"/>
          <w:lang w:eastAsia="ja-JP"/>
        </w:rPr>
        <w:t xml:space="preserve"> частот </w:t>
      </w:r>
      <w:r w:rsidR="008702B2" w:rsidRPr="00C33202">
        <w:t>7025−7125 МГц</w:t>
      </w:r>
      <w:r w:rsidR="008702B2" w:rsidRPr="00C33202">
        <w:rPr>
          <w:rFonts w:eastAsia="MS Mincho"/>
          <w:kern w:val="2"/>
          <w:lang w:eastAsia="ja-JP"/>
        </w:rPr>
        <w:t xml:space="preserve"> в соответствии с Резолюцией</w:t>
      </w:r>
      <w:r w:rsidRPr="00C33202">
        <w:rPr>
          <w:rFonts w:eastAsia="MS Mincho"/>
          <w:kern w:val="2"/>
          <w:lang w:eastAsia="ja-JP"/>
        </w:rPr>
        <w:t xml:space="preserve"> </w:t>
      </w:r>
      <w:r w:rsidRPr="00C33202">
        <w:rPr>
          <w:rFonts w:eastAsia="SimSun"/>
          <w:b/>
          <w:bCs/>
          <w:lang w:eastAsia="zh-CN"/>
        </w:rPr>
        <w:t>[ACP-C10-IMT] (</w:t>
      </w:r>
      <w:r w:rsidR="00DE2510" w:rsidRPr="00C33202">
        <w:rPr>
          <w:rFonts w:eastAsia="SimSun"/>
          <w:b/>
          <w:bCs/>
          <w:lang w:eastAsia="zh-CN"/>
        </w:rPr>
        <w:t>ВКР</w:t>
      </w:r>
      <w:r w:rsidRPr="00C33202">
        <w:rPr>
          <w:rFonts w:eastAsia="SimSun"/>
          <w:b/>
          <w:bCs/>
          <w:lang w:eastAsia="zh-CN"/>
        </w:rPr>
        <w:t>-19)</w:t>
      </w:r>
      <w:r w:rsidRPr="00C33202">
        <w:t>;</w:t>
      </w:r>
    </w:p>
    <w:p w14:paraId="1C05AF44" w14:textId="77777777" w:rsidR="00AF721F" w:rsidRPr="00C33202" w:rsidRDefault="00AF721F" w:rsidP="00AF721F">
      <w:r w:rsidRPr="00C33202">
        <w:t>…</w:t>
      </w:r>
    </w:p>
    <w:p w14:paraId="64142F55" w14:textId="76A92483" w:rsidR="009613AA" w:rsidRPr="00C33202" w:rsidRDefault="007804B0" w:rsidP="00AF721F">
      <w:pPr>
        <w:pStyle w:val="Reasons"/>
      </w:pPr>
      <w:r w:rsidRPr="00C33202">
        <w:rPr>
          <w:b/>
          <w:bCs/>
        </w:rPr>
        <w:t>Основания</w:t>
      </w:r>
      <w:r w:rsidRPr="00C33202">
        <w:t>:</w:t>
      </w:r>
      <w:r w:rsidRPr="00C33202">
        <w:tab/>
      </w:r>
      <w:r w:rsidR="008702B2" w:rsidRPr="00C33202">
        <w:t xml:space="preserve">Предложение по новому пункту повестки дня </w:t>
      </w:r>
      <w:r w:rsidR="00AF721F" w:rsidRPr="00C33202">
        <w:t xml:space="preserve">ВКР-23 </w:t>
      </w:r>
      <w:r w:rsidR="008702B2" w:rsidRPr="00C33202">
        <w:t xml:space="preserve">по рассмотрению определения для </w:t>
      </w:r>
      <w:r w:rsidR="008702B2" w:rsidRPr="00C33202">
        <w:rPr>
          <w:rFonts w:eastAsia="MS Mincho"/>
          <w:kern w:val="2"/>
          <w:lang w:eastAsia="ja-JP"/>
        </w:rPr>
        <w:t xml:space="preserve">IMT в </w:t>
      </w:r>
      <w:r w:rsidR="008E0554" w:rsidRPr="00C33202">
        <w:rPr>
          <w:rFonts w:eastAsia="MS Mincho"/>
          <w:kern w:val="2"/>
          <w:lang w:eastAsia="ja-JP"/>
        </w:rPr>
        <w:t>диапазоне</w:t>
      </w:r>
      <w:r w:rsidR="008702B2" w:rsidRPr="00C33202">
        <w:rPr>
          <w:rFonts w:eastAsia="MS Mincho"/>
          <w:kern w:val="2"/>
          <w:lang w:eastAsia="ja-JP"/>
        </w:rPr>
        <w:t xml:space="preserve"> частот </w:t>
      </w:r>
      <w:r w:rsidR="008702B2" w:rsidRPr="00C33202">
        <w:t>7025−7125 МГц</w:t>
      </w:r>
      <w:r w:rsidR="00AF721F" w:rsidRPr="00C33202">
        <w:rPr>
          <w:rFonts w:eastAsia="MS Mincho"/>
        </w:rPr>
        <w:t>.</w:t>
      </w:r>
    </w:p>
    <w:p w14:paraId="7568BB2C" w14:textId="77777777" w:rsidR="009613AA" w:rsidRPr="00C33202" w:rsidRDefault="007804B0">
      <w:pPr>
        <w:pStyle w:val="Proposal"/>
      </w:pPr>
      <w:r w:rsidRPr="00C33202">
        <w:t>ADD</w:t>
      </w:r>
      <w:r w:rsidRPr="00C33202">
        <w:tab/>
        <w:t>ACP/24A24A3/2</w:t>
      </w:r>
    </w:p>
    <w:p w14:paraId="4DE18B62" w14:textId="1EA64476" w:rsidR="009613AA" w:rsidRPr="00C33202" w:rsidRDefault="007804B0">
      <w:pPr>
        <w:pStyle w:val="ResNo"/>
      </w:pPr>
      <w:r w:rsidRPr="00C33202">
        <w:t>Проект новой Резолюции [ACP-C10-IMT]</w:t>
      </w:r>
      <w:r w:rsidR="00882E6B" w:rsidRPr="00C33202">
        <w:t xml:space="preserve"> (ВКР</w:t>
      </w:r>
      <w:r w:rsidR="00882E6B" w:rsidRPr="00C33202">
        <w:noBreakHyphen/>
        <w:t>19)</w:t>
      </w:r>
    </w:p>
    <w:p w14:paraId="60AD06F1" w14:textId="34FF367A" w:rsidR="009613AA" w:rsidRPr="00C33202" w:rsidRDefault="008702B2" w:rsidP="00882E6B">
      <w:pPr>
        <w:pStyle w:val="Restitle"/>
      </w:pPr>
      <w:r w:rsidRPr="00C33202">
        <w:rPr>
          <w:color w:val="000000"/>
        </w:rPr>
        <w:t>Исследования связанных с частотами во</w:t>
      </w:r>
      <w:bookmarkStart w:id="10" w:name="_GoBack"/>
      <w:bookmarkEnd w:id="10"/>
      <w:r w:rsidRPr="00C33202">
        <w:rPr>
          <w:color w:val="000000"/>
        </w:rPr>
        <w:t>просов</w:t>
      </w:r>
      <w:r w:rsidRPr="00C33202">
        <w:t xml:space="preserve"> для определения Международной подвижной электросвязи в </w:t>
      </w:r>
      <w:r w:rsidR="008E0554" w:rsidRPr="00C33202">
        <w:t>диапазоне</w:t>
      </w:r>
      <w:r w:rsidRPr="00C33202">
        <w:t xml:space="preserve"> частот</w:t>
      </w:r>
      <w:r w:rsidR="00882E6B" w:rsidRPr="00C33202">
        <w:t xml:space="preserve"> 7025−7125 МГц </w:t>
      </w:r>
      <w:r w:rsidR="00A133A5" w:rsidRPr="00C33202">
        <w:t xml:space="preserve">или ее частях </w:t>
      </w:r>
      <w:r w:rsidR="00A133A5" w:rsidRPr="00C33202">
        <w:rPr>
          <w:color w:val="000000"/>
        </w:rPr>
        <w:t>для будущего развития</w:t>
      </w:r>
      <w:r w:rsidR="00A133A5" w:rsidRPr="00C33202">
        <w:t xml:space="preserve"> Международной подвижной электросвязи</w:t>
      </w:r>
    </w:p>
    <w:p w14:paraId="31471C83" w14:textId="17240B9A" w:rsidR="00EC1708" w:rsidRPr="00C33202" w:rsidRDefault="00EC1708" w:rsidP="00EC1708">
      <w:pPr>
        <w:pStyle w:val="Normalaftertitle"/>
        <w:rPr>
          <w:rFonts w:eastAsia="MS Mincho"/>
        </w:rPr>
      </w:pPr>
      <w:r w:rsidRPr="00C33202">
        <w:rPr>
          <w:rFonts w:eastAsia="MS Mincho"/>
        </w:rPr>
        <w:t>Всемирная конференция радиосвязи (Шарм-эль-Шейх, 2019 г.),</w:t>
      </w:r>
    </w:p>
    <w:p w14:paraId="101DA795" w14:textId="68CB9901" w:rsidR="00EC1708" w:rsidRPr="00C33202" w:rsidRDefault="00EC1708" w:rsidP="00EC1708">
      <w:pPr>
        <w:pStyle w:val="Call"/>
        <w:rPr>
          <w:rFonts w:eastAsia="MS Mincho"/>
          <w:lang w:eastAsia="ja-JP"/>
        </w:rPr>
      </w:pPr>
      <w:r w:rsidRPr="00C33202">
        <w:rPr>
          <w:rFonts w:eastAsia="MS Mincho"/>
          <w:lang w:eastAsia="ja-JP"/>
        </w:rPr>
        <w:t>учитывая</w:t>
      </w:r>
      <w:r w:rsidRPr="00C33202">
        <w:rPr>
          <w:rFonts w:eastAsia="MS Mincho"/>
          <w:i w:val="0"/>
          <w:iCs/>
          <w:lang w:eastAsia="ja-JP"/>
        </w:rPr>
        <w:t>,</w:t>
      </w:r>
    </w:p>
    <w:p w14:paraId="5CB2B85F" w14:textId="7C4CE60D" w:rsidR="00EC1708" w:rsidRPr="00C33202" w:rsidRDefault="00EC1708" w:rsidP="00EC1708">
      <w:pPr>
        <w:rPr>
          <w:rFonts w:eastAsia="SimSun"/>
          <w:lang w:eastAsia="zh-CN"/>
        </w:rPr>
      </w:pPr>
      <w:r w:rsidRPr="00C33202">
        <w:rPr>
          <w:rFonts w:eastAsia="SimSun"/>
          <w:i/>
          <w:lang w:eastAsia="zh-CN"/>
        </w:rPr>
        <w:t>a)</w:t>
      </w:r>
      <w:r w:rsidRPr="00C33202">
        <w:rPr>
          <w:rFonts w:eastAsia="SimSun"/>
          <w:lang w:eastAsia="zh-CN"/>
        </w:rPr>
        <w:tab/>
      </w:r>
      <w:r w:rsidR="008C6801" w:rsidRPr="00C33202">
        <w:rPr>
          <w:rFonts w:eastAsia="SimSun"/>
          <w:lang w:eastAsia="zh-CN"/>
        </w:rPr>
        <w:t xml:space="preserve">что Международная подвижная электросвязь </w:t>
      </w:r>
      <w:r w:rsidRPr="00C33202">
        <w:rPr>
          <w:rFonts w:eastAsia="SimSun"/>
          <w:lang w:eastAsia="zh-CN"/>
        </w:rPr>
        <w:t>(</w:t>
      </w:r>
      <w:r w:rsidRPr="00C33202">
        <w:rPr>
          <w:rFonts w:eastAsia="MS Mincho"/>
        </w:rPr>
        <w:t xml:space="preserve">IMT) </w:t>
      </w:r>
      <w:r w:rsidR="008C6801" w:rsidRPr="00C33202">
        <w:rPr>
          <w:rFonts w:eastAsia="MS Mincho"/>
        </w:rPr>
        <w:t xml:space="preserve">имеет решающее значение для обеспечения возможности установления широкополосных подвижных соединений </w:t>
      </w:r>
      <w:r w:rsidR="00D16D44" w:rsidRPr="00C33202">
        <w:rPr>
          <w:rFonts w:eastAsia="MS Mincho"/>
        </w:rPr>
        <w:t>во всемирном масштабе при содействии глобальному экономическому росту и социальному развитию</w:t>
      </w:r>
      <w:r w:rsidRPr="00C33202">
        <w:rPr>
          <w:rFonts w:eastAsia="MS Mincho"/>
        </w:rPr>
        <w:t>;</w:t>
      </w:r>
    </w:p>
    <w:p w14:paraId="4F580C06" w14:textId="0CF3BD28" w:rsidR="00EC1708" w:rsidRPr="00C33202" w:rsidRDefault="00EC1708" w:rsidP="00EC1708">
      <w:pPr>
        <w:rPr>
          <w:rFonts w:eastAsia="SimSun"/>
          <w:lang w:eastAsia="zh-CN"/>
        </w:rPr>
      </w:pPr>
      <w:r w:rsidRPr="00C33202">
        <w:rPr>
          <w:rFonts w:eastAsia="SimSun"/>
          <w:i/>
          <w:lang w:eastAsia="zh-CN"/>
        </w:rPr>
        <w:t>b)</w:t>
      </w:r>
      <w:r w:rsidRPr="00C33202">
        <w:rPr>
          <w:rFonts w:eastAsia="SimSun"/>
          <w:lang w:eastAsia="zh-CN"/>
        </w:rPr>
        <w:tab/>
      </w:r>
      <w:r w:rsidR="00D16D44" w:rsidRPr="00C33202">
        <w:rPr>
          <w:rFonts w:eastAsia="SimSun"/>
          <w:lang w:eastAsia="zh-CN"/>
        </w:rPr>
        <w:t xml:space="preserve">что </w:t>
      </w:r>
      <w:r w:rsidR="00732AD1" w:rsidRPr="00C33202">
        <w:rPr>
          <w:rFonts w:eastAsia="SimSun"/>
          <w:lang w:eastAsia="zh-CN"/>
        </w:rPr>
        <w:t xml:space="preserve">во всех странах </w:t>
      </w:r>
      <w:r w:rsidR="00D16D44" w:rsidRPr="00C33202">
        <w:rPr>
          <w:rFonts w:eastAsia="SimSun"/>
          <w:lang w:eastAsia="zh-CN"/>
        </w:rPr>
        <w:t xml:space="preserve">происходит постоянный рост </w:t>
      </w:r>
      <w:r w:rsidR="00732AD1" w:rsidRPr="00C33202">
        <w:rPr>
          <w:rFonts w:eastAsia="SimSun"/>
          <w:lang w:eastAsia="zh-CN"/>
        </w:rPr>
        <w:t xml:space="preserve">мобильного </w:t>
      </w:r>
      <w:r w:rsidR="00D16D44" w:rsidRPr="00C33202">
        <w:rPr>
          <w:rFonts w:eastAsia="SimSun"/>
          <w:lang w:eastAsia="zh-CN"/>
        </w:rPr>
        <w:t xml:space="preserve">трафика </w:t>
      </w:r>
      <w:r w:rsidR="00732AD1" w:rsidRPr="00C33202">
        <w:rPr>
          <w:rFonts w:eastAsia="SimSun"/>
          <w:lang w:eastAsia="zh-CN"/>
        </w:rPr>
        <w:t>данных</w:t>
      </w:r>
      <w:r w:rsidRPr="00C33202">
        <w:rPr>
          <w:rFonts w:eastAsia="SimSun"/>
          <w:lang w:eastAsia="zh-CN"/>
        </w:rPr>
        <w:t>;</w:t>
      </w:r>
    </w:p>
    <w:p w14:paraId="7FD21127" w14:textId="1D59F870" w:rsidR="00EC1708" w:rsidRPr="00C33202" w:rsidRDefault="00EC1708" w:rsidP="00EC1708">
      <w:pPr>
        <w:rPr>
          <w:rFonts w:eastAsia="SimSun"/>
          <w:lang w:eastAsia="zh-CN"/>
        </w:rPr>
      </w:pPr>
      <w:r w:rsidRPr="00C33202">
        <w:rPr>
          <w:rFonts w:eastAsia="SimSun"/>
          <w:i/>
          <w:lang w:eastAsia="zh-CN"/>
        </w:rPr>
        <w:t>c)</w:t>
      </w:r>
      <w:r w:rsidRPr="00C33202">
        <w:rPr>
          <w:rFonts w:eastAsia="SimSun"/>
          <w:lang w:eastAsia="zh-CN"/>
        </w:rPr>
        <w:tab/>
      </w:r>
      <w:r w:rsidR="00732AD1" w:rsidRPr="00C33202">
        <w:rPr>
          <w:rFonts w:eastAsia="SimSun"/>
          <w:lang w:eastAsia="zh-CN"/>
        </w:rPr>
        <w:t xml:space="preserve">что присвоение </w:t>
      </w:r>
      <w:r w:rsidR="00732AD1" w:rsidRPr="00C33202">
        <w:rPr>
          <w:color w:val="000000"/>
        </w:rPr>
        <w:t>широкой непрерывной полосы спектра снижает сложность системы, связанную с объединением несущих, что повышает энергоэффективность и сокращает стоимость сетей</w:t>
      </w:r>
      <w:r w:rsidRPr="00C33202">
        <w:rPr>
          <w:rFonts w:eastAsia="SimSun"/>
          <w:lang w:eastAsia="zh-CN"/>
        </w:rPr>
        <w:t>;</w:t>
      </w:r>
    </w:p>
    <w:p w14:paraId="38E8F03E" w14:textId="1B1D398C" w:rsidR="00EC1708" w:rsidRPr="00C33202" w:rsidRDefault="00EC1708" w:rsidP="00EC1708">
      <w:pPr>
        <w:rPr>
          <w:rFonts w:eastAsia="SimSun"/>
          <w:lang w:eastAsia="zh-CN"/>
        </w:rPr>
      </w:pPr>
      <w:r w:rsidRPr="00C33202">
        <w:rPr>
          <w:rFonts w:eastAsia="SimSun"/>
          <w:i/>
          <w:lang w:eastAsia="zh-CN"/>
        </w:rPr>
        <w:t>d)</w:t>
      </w:r>
      <w:r w:rsidRPr="00C33202">
        <w:rPr>
          <w:rFonts w:eastAsia="SimSun"/>
          <w:lang w:eastAsia="zh-CN"/>
        </w:rPr>
        <w:tab/>
      </w:r>
      <w:r w:rsidR="00732AD1" w:rsidRPr="00C33202">
        <w:rPr>
          <w:color w:val="000000"/>
        </w:rPr>
        <w:t>что надлежащее и своевременное предоставление спектра</w:t>
      </w:r>
      <w:r w:rsidR="00C33202">
        <w:rPr>
          <w:color w:val="000000"/>
        </w:rPr>
        <w:t xml:space="preserve"> и обеспечение соответствующих </w:t>
      </w:r>
      <w:r w:rsidR="00732AD1" w:rsidRPr="00C33202">
        <w:rPr>
          <w:color w:val="000000"/>
        </w:rPr>
        <w:t xml:space="preserve">регламентарных положений имеют существенное значение для поддержки развития </w:t>
      </w:r>
      <w:r w:rsidRPr="00C33202">
        <w:rPr>
          <w:rFonts w:eastAsia="SimSun"/>
          <w:lang w:eastAsia="zh-CN"/>
        </w:rPr>
        <w:t>IMT</w:t>
      </w:r>
      <w:r w:rsidR="00732AD1" w:rsidRPr="00C33202">
        <w:rPr>
          <w:rFonts w:eastAsia="SimSun"/>
          <w:lang w:eastAsia="zh-CN"/>
        </w:rPr>
        <w:t xml:space="preserve"> в будущем</w:t>
      </w:r>
      <w:r w:rsidRPr="00C33202">
        <w:rPr>
          <w:rFonts w:eastAsia="SimSun"/>
          <w:lang w:eastAsia="zh-CN"/>
        </w:rPr>
        <w:t>;</w:t>
      </w:r>
    </w:p>
    <w:p w14:paraId="5B5543BA" w14:textId="3EB4D527" w:rsidR="00EC1708" w:rsidRPr="00C33202" w:rsidRDefault="00EC1708" w:rsidP="00EC1708">
      <w:pPr>
        <w:rPr>
          <w:rFonts w:eastAsia="SimSun"/>
          <w:lang w:eastAsia="zh-CN"/>
        </w:rPr>
      </w:pPr>
      <w:r w:rsidRPr="00C33202">
        <w:rPr>
          <w:rFonts w:eastAsia="SimSun"/>
          <w:i/>
          <w:lang w:eastAsia="zh-CN"/>
        </w:rPr>
        <w:t>e)</w:t>
      </w:r>
      <w:r w:rsidRPr="00C33202">
        <w:rPr>
          <w:rFonts w:eastAsia="SimSun"/>
          <w:lang w:eastAsia="zh-CN"/>
        </w:rPr>
        <w:tab/>
      </w:r>
      <w:r w:rsidR="001B5A89" w:rsidRPr="00C33202">
        <w:rPr>
          <w:rFonts w:eastAsia="SimSun"/>
          <w:lang w:eastAsia="zh-CN"/>
        </w:rPr>
        <w:t xml:space="preserve">что следует обеспечить защиту действующих служб от будущих систем </w:t>
      </w:r>
      <w:r w:rsidRPr="00C33202">
        <w:rPr>
          <w:rFonts w:eastAsia="SimSun"/>
          <w:lang w:eastAsia="zh-CN"/>
        </w:rPr>
        <w:t>IMT</w:t>
      </w:r>
      <w:r w:rsidR="001B5A89" w:rsidRPr="00C33202">
        <w:rPr>
          <w:rFonts w:eastAsia="SimSun"/>
          <w:lang w:eastAsia="zh-CN"/>
        </w:rPr>
        <w:t xml:space="preserve">, принимая во внимание осуществляемое использование и будущее развитие действующих систем </w:t>
      </w:r>
      <w:r w:rsidR="006C566A" w:rsidRPr="00C33202">
        <w:rPr>
          <w:rFonts w:eastAsia="SimSun"/>
          <w:lang w:eastAsia="zh-CN"/>
        </w:rPr>
        <w:t>без создания дополнительных ограничений</w:t>
      </w:r>
      <w:r w:rsidRPr="00C33202">
        <w:rPr>
          <w:rFonts w:eastAsia="SimSun"/>
          <w:lang w:eastAsia="zh-CN"/>
        </w:rPr>
        <w:t>,</w:t>
      </w:r>
    </w:p>
    <w:p w14:paraId="7114222A" w14:textId="4010D771" w:rsidR="00EC1708" w:rsidRPr="00C33202" w:rsidRDefault="00FF7672" w:rsidP="00EC1708">
      <w:pPr>
        <w:pStyle w:val="Call"/>
        <w:rPr>
          <w:rFonts w:eastAsia="MS Mincho"/>
          <w:lang w:eastAsia="ja-JP"/>
        </w:rPr>
      </w:pPr>
      <w:r w:rsidRPr="00C33202">
        <w:rPr>
          <w:rFonts w:eastAsia="MS Mincho"/>
          <w:lang w:eastAsia="ja-JP"/>
        </w:rPr>
        <w:t>признавая</w:t>
      </w:r>
      <w:r w:rsidRPr="00C33202">
        <w:rPr>
          <w:rFonts w:eastAsia="MS Mincho"/>
          <w:i w:val="0"/>
          <w:iCs/>
          <w:lang w:eastAsia="ja-JP"/>
        </w:rPr>
        <w:t>,</w:t>
      </w:r>
    </w:p>
    <w:p w14:paraId="2C6F9F2B" w14:textId="0E0AFA8F" w:rsidR="00EC1708" w:rsidRPr="00C33202" w:rsidRDefault="00EC1708" w:rsidP="00EC1708">
      <w:pPr>
        <w:rPr>
          <w:rFonts w:eastAsia="SimSun"/>
          <w:lang w:eastAsia="zh-CN"/>
        </w:rPr>
      </w:pPr>
      <w:r w:rsidRPr="00C33202">
        <w:rPr>
          <w:rFonts w:eastAsia="SimSun"/>
          <w:i/>
          <w:lang w:eastAsia="zh-CN"/>
        </w:rPr>
        <w:t>a)</w:t>
      </w:r>
      <w:r w:rsidRPr="00C33202">
        <w:rPr>
          <w:rFonts w:eastAsia="SimSun"/>
          <w:lang w:eastAsia="zh-CN"/>
        </w:rPr>
        <w:tab/>
      </w:r>
      <w:r w:rsidR="006C566A" w:rsidRPr="00C33202">
        <w:rPr>
          <w:rFonts w:eastAsia="SimSun"/>
          <w:lang w:eastAsia="zh-CN"/>
        </w:rPr>
        <w:t xml:space="preserve">что для осуществления глобального роуминга и использования преимуществ экономически эффективного развертывания системы </w:t>
      </w:r>
      <w:r w:rsidRPr="00C33202">
        <w:rPr>
          <w:rFonts w:eastAsia="SimSun"/>
          <w:lang w:eastAsia="zh-CN"/>
        </w:rPr>
        <w:t>IMT</w:t>
      </w:r>
      <w:r w:rsidR="006C566A" w:rsidRPr="00C33202">
        <w:rPr>
          <w:rFonts w:eastAsia="SimSun"/>
          <w:lang w:eastAsia="zh-CN"/>
        </w:rPr>
        <w:t xml:space="preserve"> необходимо добиться глобального/регионального согласования спектра для IMT на региональном/глобальном уровне</w:t>
      </w:r>
      <w:r w:rsidRPr="00C33202">
        <w:rPr>
          <w:rFonts w:eastAsia="SimSun"/>
          <w:lang w:eastAsia="zh-CN"/>
        </w:rPr>
        <w:t>;</w:t>
      </w:r>
      <w:bookmarkStart w:id="11" w:name="OLE_LINK90"/>
      <w:bookmarkStart w:id="12" w:name="OLE_LINK91"/>
    </w:p>
    <w:p w14:paraId="5139FC7A" w14:textId="7BC171B4" w:rsidR="00EC1708" w:rsidRPr="00C33202" w:rsidRDefault="00EC1708" w:rsidP="00EC1708">
      <w:pPr>
        <w:rPr>
          <w:rFonts w:eastAsia="SimSun"/>
          <w:lang w:eastAsia="zh-CN"/>
        </w:rPr>
      </w:pPr>
      <w:r w:rsidRPr="00C33202">
        <w:rPr>
          <w:rFonts w:eastAsia="SimSun"/>
          <w:i/>
          <w:lang w:eastAsia="zh-CN"/>
        </w:rPr>
        <w:t>b)</w:t>
      </w:r>
      <w:r w:rsidRPr="00C33202">
        <w:rPr>
          <w:rFonts w:eastAsia="SimSun"/>
          <w:lang w:eastAsia="zh-CN"/>
        </w:rPr>
        <w:tab/>
      </w:r>
      <w:r w:rsidR="006C566A" w:rsidRPr="00C33202">
        <w:rPr>
          <w:rFonts w:eastAsia="SimSun"/>
          <w:lang w:eastAsia="zh-CN"/>
        </w:rPr>
        <w:t>что действующие службы уже используют части это</w:t>
      </w:r>
      <w:r w:rsidR="00074D2C" w:rsidRPr="00C33202">
        <w:rPr>
          <w:rFonts w:eastAsia="SimSun"/>
          <w:lang w:eastAsia="zh-CN"/>
        </w:rPr>
        <w:t>го диапазона</w:t>
      </w:r>
      <w:r w:rsidR="006C566A" w:rsidRPr="00C33202">
        <w:rPr>
          <w:rFonts w:eastAsia="SimSun"/>
          <w:lang w:eastAsia="zh-CN"/>
        </w:rPr>
        <w:t xml:space="preserve"> частот</w:t>
      </w:r>
      <w:r w:rsidRPr="00C33202">
        <w:rPr>
          <w:rFonts w:eastAsia="SimSun"/>
          <w:lang w:eastAsia="zh-CN"/>
        </w:rPr>
        <w:t xml:space="preserve"> 5925</w:t>
      </w:r>
      <w:r w:rsidR="00FF7672" w:rsidRPr="00C33202">
        <w:rPr>
          <w:rFonts w:eastAsia="SimSun"/>
          <w:lang w:eastAsia="zh-CN"/>
        </w:rPr>
        <w:t>−</w:t>
      </w:r>
      <w:r w:rsidRPr="00C33202">
        <w:rPr>
          <w:rFonts w:eastAsia="SimSun"/>
          <w:lang w:eastAsia="zh-CN"/>
        </w:rPr>
        <w:t>7125</w:t>
      </w:r>
      <w:r w:rsidR="00FF7672" w:rsidRPr="00C33202">
        <w:rPr>
          <w:rFonts w:eastAsia="SimSun"/>
          <w:lang w:eastAsia="zh-CN"/>
        </w:rPr>
        <w:t> МГц</w:t>
      </w:r>
      <w:r w:rsidR="006C566A" w:rsidRPr="00C33202">
        <w:rPr>
          <w:rFonts w:eastAsia="SimSun"/>
          <w:lang w:eastAsia="zh-CN"/>
        </w:rPr>
        <w:t xml:space="preserve"> и что для этих служб и </w:t>
      </w:r>
      <w:r w:rsidR="00F26B76" w:rsidRPr="00C33202">
        <w:rPr>
          <w:rFonts w:eastAsia="SimSun"/>
          <w:lang w:eastAsia="zh-CN"/>
        </w:rPr>
        <w:t>будущего развития требуется надлежащая защита, которая связана со значительными инвестициями в инфраструктуру</w:t>
      </w:r>
      <w:r w:rsidRPr="00C33202">
        <w:rPr>
          <w:rFonts w:eastAsia="SimSun"/>
          <w:lang w:eastAsia="zh-CN"/>
        </w:rPr>
        <w:t>,</w:t>
      </w:r>
    </w:p>
    <w:bookmarkEnd w:id="11"/>
    <w:bookmarkEnd w:id="12"/>
    <w:p w14:paraId="3897B594" w14:textId="184BA706" w:rsidR="00EC1708" w:rsidRPr="00C33202" w:rsidRDefault="00FF7672" w:rsidP="00EC1708">
      <w:pPr>
        <w:pStyle w:val="Call"/>
        <w:rPr>
          <w:rFonts w:eastAsia="SimSun"/>
          <w:lang w:eastAsia="zh-CN"/>
        </w:rPr>
      </w:pPr>
      <w:r w:rsidRPr="00C33202">
        <w:lastRenderedPageBreak/>
        <w:t>отмечая</w:t>
      </w:r>
      <w:r w:rsidRPr="00C33202">
        <w:rPr>
          <w:i w:val="0"/>
          <w:iCs/>
        </w:rPr>
        <w:t>,</w:t>
      </w:r>
    </w:p>
    <w:p w14:paraId="2F1DBFC4" w14:textId="0B267856" w:rsidR="00EC1708" w:rsidRPr="00C33202" w:rsidRDefault="00F26B76" w:rsidP="00EC1708">
      <w:pPr>
        <w:rPr>
          <w:rFonts w:eastAsia="SimSun"/>
          <w:lang w:eastAsia="zh-CN"/>
        </w:rPr>
      </w:pPr>
      <w:r w:rsidRPr="00C33202">
        <w:rPr>
          <w:rFonts w:eastAsia="SimSun"/>
          <w:lang w:eastAsia="zh-CN"/>
        </w:rPr>
        <w:t>что, по сравнению с низкими и высокими полосами частот</w:t>
      </w:r>
      <w:r w:rsidR="00EC1708" w:rsidRPr="00C33202">
        <w:rPr>
          <w:rFonts w:eastAsia="SimSun"/>
          <w:lang w:eastAsia="zh-CN"/>
        </w:rPr>
        <w:t xml:space="preserve"> </w:t>
      </w:r>
      <w:r w:rsidRPr="00C33202">
        <w:rPr>
          <w:rFonts w:eastAsia="SimSun"/>
          <w:lang w:eastAsia="zh-CN"/>
        </w:rPr>
        <w:t>диапазон частот</w:t>
      </w:r>
      <w:r w:rsidR="00EC1708" w:rsidRPr="00C33202">
        <w:rPr>
          <w:rFonts w:eastAsia="SimSun"/>
          <w:lang w:eastAsia="zh-CN"/>
        </w:rPr>
        <w:t xml:space="preserve"> 7</w:t>
      </w:r>
      <w:r w:rsidR="00FF7672" w:rsidRPr="00C33202">
        <w:rPr>
          <w:rFonts w:eastAsia="SimSun"/>
          <w:lang w:eastAsia="zh-CN"/>
        </w:rPr>
        <w:t> ГГц</w:t>
      </w:r>
      <w:r w:rsidR="00EC1708" w:rsidRPr="00C33202">
        <w:rPr>
          <w:rFonts w:eastAsia="SimSun"/>
          <w:lang w:eastAsia="zh-CN"/>
        </w:rPr>
        <w:t xml:space="preserve"> </w:t>
      </w:r>
      <w:r w:rsidRPr="00C33202">
        <w:rPr>
          <w:rFonts w:eastAsia="SimSun"/>
          <w:lang w:eastAsia="zh-CN"/>
        </w:rPr>
        <w:t>может обеспечить более точн</w:t>
      </w:r>
      <w:r w:rsidR="00074D2C" w:rsidRPr="00C33202">
        <w:rPr>
          <w:rFonts w:eastAsia="SimSun"/>
          <w:lang w:eastAsia="zh-CN"/>
        </w:rPr>
        <w:t>ый баланс</w:t>
      </w:r>
      <w:r w:rsidRPr="00C33202">
        <w:rPr>
          <w:rFonts w:eastAsia="SimSun"/>
          <w:lang w:eastAsia="zh-CN"/>
        </w:rPr>
        <w:t xml:space="preserve"> для удовлетворения потребностей как в покрытии, так и в пропускной способности</w:t>
      </w:r>
      <w:r w:rsidR="00EC1708" w:rsidRPr="00C33202">
        <w:rPr>
          <w:rFonts w:eastAsia="SimSun"/>
          <w:lang w:eastAsia="zh-CN"/>
        </w:rPr>
        <w:t>,</w:t>
      </w:r>
    </w:p>
    <w:p w14:paraId="2352833E" w14:textId="0BB9258B" w:rsidR="00EC1708" w:rsidRPr="00C33202" w:rsidRDefault="00F26B76" w:rsidP="00EC1708">
      <w:pPr>
        <w:pStyle w:val="Call"/>
        <w:rPr>
          <w:rFonts w:eastAsia="SimSun"/>
          <w:lang w:eastAsia="zh-CN"/>
        </w:rPr>
      </w:pPr>
      <w:r w:rsidRPr="00C33202">
        <w:rPr>
          <w:rFonts w:eastAsia="BatangChe"/>
        </w:rPr>
        <w:t xml:space="preserve">решает предложить Всемирной конференции радиосвязи </w:t>
      </w:r>
      <w:r w:rsidR="00EC1708" w:rsidRPr="00C33202">
        <w:rPr>
          <w:rFonts w:eastAsia="BatangChe"/>
        </w:rPr>
        <w:t>2023</w:t>
      </w:r>
      <w:r w:rsidRPr="00C33202">
        <w:rPr>
          <w:rFonts w:eastAsia="BatangChe"/>
        </w:rPr>
        <w:t> года</w:t>
      </w:r>
    </w:p>
    <w:p w14:paraId="2F81AE7A" w14:textId="62DC3706" w:rsidR="00EC1708" w:rsidRPr="00C33202" w:rsidRDefault="00F26B76" w:rsidP="00EC1708">
      <w:pPr>
        <w:rPr>
          <w:rFonts w:eastAsia="SimSun"/>
          <w:lang w:eastAsia="zh-CN"/>
        </w:rPr>
      </w:pPr>
      <w:r w:rsidRPr="00C33202">
        <w:t xml:space="preserve">рассмотреть, на основании результатов исследований </w:t>
      </w:r>
      <w:r w:rsidR="00FF7672" w:rsidRPr="00C33202">
        <w:t>МСЭ</w:t>
      </w:r>
      <w:r w:rsidR="00EC1708" w:rsidRPr="00C33202">
        <w:t>-R</w:t>
      </w:r>
      <w:r w:rsidR="00B45515" w:rsidRPr="00C33202">
        <w:t xml:space="preserve">, упомянутых в разделе </w:t>
      </w:r>
      <w:r w:rsidR="00B45515" w:rsidRPr="00C33202">
        <w:rPr>
          <w:i/>
          <w:iCs/>
        </w:rPr>
        <w:t>решает предложить МСЭ-R</w:t>
      </w:r>
      <w:r w:rsidR="00B45515" w:rsidRPr="00C33202">
        <w:t>,</w:t>
      </w:r>
      <w:r w:rsidR="00EC1708" w:rsidRPr="00C33202">
        <w:t xml:space="preserve"> </w:t>
      </w:r>
      <w:r w:rsidR="00B45515" w:rsidRPr="00C33202">
        <w:t>ниже</w:t>
      </w:r>
      <w:r w:rsidR="00EC1708" w:rsidRPr="00C33202">
        <w:t xml:space="preserve">, </w:t>
      </w:r>
      <w:r w:rsidR="00B45515" w:rsidRPr="00C33202">
        <w:t>определение для наземного сегмента</w:t>
      </w:r>
      <w:r w:rsidR="00EC1708" w:rsidRPr="00C33202">
        <w:t xml:space="preserve"> IMT </w:t>
      </w:r>
      <w:r w:rsidR="00B45515" w:rsidRPr="00C33202">
        <w:t xml:space="preserve">в </w:t>
      </w:r>
      <w:r w:rsidR="008E0554" w:rsidRPr="00C33202">
        <w:t>диапазоне</w:t>
      </w:r>
      <w:r w:rsidR="00B45515" w:rsidRPr="00C33202">
        <w:t xml:space="preserve"> частот</w:t>
      </w:r>
      <w:r w:rsidR="00EC1708" w:rsidRPr="00C33202">
        <w:t xml:space="preserve"> 7025</w:t>
      </w:r>
      <w:r w:rsidR="00FF7672" w:rsidRPr="00C33202">
        <w:t>−</w:t>
      </w:r>
      <w:r w:rsidR="00EC1708" w:rsidRPr="00C33202">
        <w:t>7125</w:t>
      </w:r>
      <w:r w:rsidR="00FF7672" w:rsidRPr="00C33202">
        <w:t> МГц</w:t>
      </w:r>
      <w:r w:rsidR="00B45515" w:rsidRPr="00C33202">
        <w:t>, принимая во внимание пункт </w:t>
      </w:r>
      <w:r w:rsidR="00B45515" w:rsidRPr="00C33202">
        <w:rPr>
          <w:i/>
          <w:iCs/>
        </w:rPr>
        <w:t xml:space="preserve">b) </w:t>
      </w:r>
      <w:r w:rsidR="00B45515" w:rsidRPr="00C33202">
        <w:t xml:space="preserve">раздела </w:t>
      </w:r>
      <w:r w:rsidR="00B45515" w:rsidRPr="00C33202">
        <w:rPr>
          <w:i/>
          <w:iCs/>
        </w:rPr>
        <w:t>признавая</w:t>
      </w:r>
      <w:r w:rsidR="00B45515" w:rsidRPr="00C33202">
        <w:t>, выше</w:t>
      </w:r>
      <w:r w:rsidR="00EC1708" w:rsidRPr="00C33202">
        <w:rPr>
          <w:rFonts w:eastAsia="SimSun"/>
          <w:color w:val="000000"/>
          <w:lang w:eastAsia="zh-CN"/>
        </w:rPr>
        <w:t>,</w:t>
      </w:r>
    </w:p>
    <w:p w14:paraId="1D0F46B4" w14:textId="52823975" w:rsidR="00EC1708" w:rsidRPr="00C33202" w:rsidRDefault="00CC5C67" w:rsidP="00EC1708">
      <w:pPr>
        <w:pStyle w:val="Call"/>
        <w:rPr>
          <w:rFonts w:eastAsia="SimSun"/>
          <w:sz w:val="32"/>
          <w:szCs w:val="32"/>
          <w:lang w:eastAsia="zh-CN"/>
        </w:rPr>
      </w:pPr>
      <w:r w:rsidRPr="00C33202">
        <w:t xml:space="preserve">решает предложить </w:t>
      </w:r>
      <w:r w:rsidR="00FF7672" w:rsidRPr="00C33202">
        <w:t>МСЭ</w:t>
      </w:r>
      <w:r w:rsidR="00EC1708" w:rsidRPr="00C33202">
        <w:noBreakHyphen/>
        <w:t>R</w:t>
      </w:r>
    </w:p>
    <w:p w14:paraId="6E182CB2" w14:textId="1E93C66C" w:rsidR="00EC1708" w:rsidRPr="00C33202" w:rsidRDefault="00EC1708" w:rsidP="00EC1708">
      <w:pPr>
        <w:rPr>
          <w:rFonts w:eastAsia="SimSun"/>
          <w:lang w:eastAsia="zh-CN"/>
        </w:rPr>
      </w:pPr>
      <w:r w:rsidRPr="00C33202">
        <w:rPr>
          <w:lang w:eastAsia="zh-CN"/>
        </w:rPr>
        <w:t>1</w:t>
      </w:r>
      <w:r w:rsidRPr="00C33202">
        <w:rPr>
          <w:lang w:eastAsia="zh-CN"/>
        </w:rPr>
        <w:tab/>
      </w:r>
      <w:r w:rsidR="00BB43F6" w:rsidRPr="00C33202">
        <w:rPr>
          <w:lang w:eastAsia="zh-CN"/>
        </w:rPr>
        <w:t>исследовать дополнительные потребности в спектре, связанные с возможностями, требующимися для наземного сегмента</w:t>
      </w:r>
      <w:r w:rsidRPr="00C33202">
        <w:rPr>
          <w:rFonts w:eastAsia="SimSun"/>
          <w:lang w:eastAsia="zh-CN"/>
        </w:rPr>
        <w:t xml:space="preserve"> IMT, </w:t>
      </w:r>
      <w:r w:rsidR="00BB43F6" w:rsidRPr="00C33202">
        <w:rPr>
          <w:rFonts w:eastAsia="SimSun"/>
          <w:lang w:eastAsia="zh-CN"/>
        </w:rPr>
        <w:t>принимая во внимание</w:t>
      </w:r>
      <w:r w:rsidRPr="00C33202">
        <w:rPr>
          <w:rFonts w:eastAsia="SimSun"/>
          <w:lang w:eastAsia="zh-CN"/>
        </w:rPr>
        <w:t>:</w:t>
      </w:r>
    </w:p>
    <w:p w14:paraId="3077A98B" w14:textId="3434913D" w:rsidR="00EC1708" w:rsidRPr="00C33202" w:rsidRDefault="00EC1708" w:rsidP="00FF7672">
      <w:pPr>
        <w:pStyle w:val="enumlev1"/>
        <w:rPr>
          <w:rFonts w:eastAsia="SimSun"/>
        </w:rPr>
      </w:pPr>
      <w:r w:rsidRPr="00C33202">
        <w:rPr>
          <w:rFonts w:eastAsia="SimSun"/>
        </w:rPr>
        <w:t>–</w:t>
      </w:r>
      <w:r w:rsidRPr="00C33202">
        <w:rPr>
          <w:rFonts w:eastAsia="SimSun"/>
        </w:rPr>
        <w:tab/>
      </w:r>
      <w:r w:rsidR="00BB43F6" w:rsidRPr="00C33202">
        <w:rPr>
          <w:rFonts w:eastAsia="SimSun"/>
        </w:rPr>
        <w:t xml:space="preserve">развивающиеся потребности для удовлетворения возникающего спроса на </w:t>
      </w:r>
      <w:r w:rsidRPr="00C33202">
        <w:rPr>
          <w:rFonts w:eastAsia="SimSun"/>
        </w:rPr>
        <w:t>IMT;</w:t>
      </w:r>
    </w:p>
    <w:p w14:paraId="79AFFD27" w14:textId="396C1181" w:rsidR="00EC1708" w:rsidRPr="00C33202" w:rsidRDefault="00EC1708" w:rsidP="00FF7672">
      <w:pPr>
        <w:pStyle w:val="enumlev1"/>
        <w:rPr>
          <w:rFonts w:eastAsia="SimSun"/>
        </w:rPr>
      </w:pPr>
      <w:r w:rsidRPr="00C33202">
        <w:rPr>
          <w:rFonts w:eastAsia="SimSun"/>
        </w:rPr>
        <w:t>–</w:t>
      </w:r>
      <w:r w:rsidRPr="00C33202">
        <w:rPr>
          <w:rFonts w:eastAsia="SimSun"/>
        </w:rPr>
        <w:tab/>
      </w:r>
      <w:r w:rsidR="00F20FD5" w:rsidRPr="00C33202">
        <w:rPr>
          <w:rFonts w:eastAsia="SimSun"/>
        </w:rPr>
        <w:t xml:space="preserve">технические и эксплуатационные характеристики систем IMT в диапазоне </w:t>
      </w:r>
      <w:r w:rsidR="00074D2C" w:rsidRPr="00C33202">
        <w:rPr>
          <w:rFonts w:eastAsia="SimSun"/>
        </w:rPr>
        <w:t xml:space="preserve">частот </w:t>
      </w:r>
      <w:r w:rsidR="003C77C2" w:rsidRPr="00C33202">
        <w:rPr>
          <w:rFonts w:eastAsia="SimSun"/>
        </w:rPr>
        <w:t>6 ГГц</w:t>
      </w:r>
      <w:r w:rsidR="00F20FD5" w:rsidRPr="00C33202">
        <w:rPr>
          <w:rFonts w:eastAsia="SimSun"/>
        </w:rPr>
        <w:t>, включая развитие IMT, обусловливаемое достижениями в области технологий и методов эффективного использования спектра, а также их развертывание</w:t>
      </w:r>
      <w:r w:rsidRPr="00C33202">
        <w:rPr>
          <w:rFonts w:eastAsia="SimSun"/>
        </w:rPr>
        <w:t>;</w:t>
      </w:r>
    </w:p>
    <w:p w14:paraId="6F8FC231" w14:textId="30900A77" w:rsidR="00EC1708" w:rsidRPr="00C33202" w:rsidRDefault="00EC1708" w:rsidP="00FF7672">
      <w:pPr>
        <w:pStyle w:val="enumlev1"/>
        <w:rPr>
          <w:rFonts w:eastAsia="SimSun"/>
          <w:lang w:eastAsia="zh-CN"/>
        </w:rPr>
      </w:pPr>
      <w:r w:rsidRPr="00C33202">
        <w:rPr>
          <w:lang w:eastAsia="zh-CN"/>
        </w:rPr>
        <w:t>–</w:t>
      </w:r>
      <w:r w:rsidRPr="00C33202">
        <w:rPr>
          <w:lang w:eastAsia="zh-CN"/>
        </w:rPr>
        <w:tab/>
      </w:r>
      <w:r w:rsidR="00F20FD5" w:rsidRPr="00C33202">
        <w:rPr>
          <w:lang w:eastAsia="zh-CN"/>
        </w:rPr>
        <w:t>сроки, в которые потребуется спектр</w:t>
      </w:r>
      <w:r w:rsidRPr="00C33202">
        <w:rPr>
          <w:lang w:eastAsia="zh-CN"/>
        </w:rPr>
        <w:t>;</w:t>
      </w:r>
    </w:p>
    <w:p w14:paraId="7919C9E8" w14:textId="559764CD" w:rsidR="00EC1708" w:rsidRPr="00C33202" w:rsidRDefault="00EC1708" w:rsidP="00EC1708">
      <w:r w:rsidRPr="00C33202">
        <w:rPr>
          <w:lang w:eastAsia="zh-CN"/>
        </w:rPr>
        <w:t>2</w:t>
      </w:r>
      <w:r w:rsidRPr="00C33202">
        <w:rPr>
          <w:lang w:eastAsia="zh-CN"/>
        </w:rPr>
        <w:tab/>
      </w:r>
      <w:r w:rsidR="003C77C2" w:rsidRPr="00C33202">
        <w:rPr>
          <w:lang w:eastAsia="zh-CN"/>
        </w:rPr>
        <w:t>провести исследования совместного использования частот и совместимости между</w:t>
      </w:r>
      <w:r w:rsidRPr="00C33202">
        <w:rPr>
          <w:lang w:eastAsia="zh-CN"/>
        </w:rPr>
        <w:t xml:space="preserve"> IMT </w:t>
      </w:r>
      <w:r w:rsidR="003C77C2" w:rsidRPr="00C33202">
        <w:rPr>
          <w:lang w:eastAsia="zh-CN"/>
        </w:rPr>
        <w:t xml:space="preserve">и действующими службами, принимая во внимание необходимость </w:t>
      </w:r>
      <w:r w:rsidR="003C77C2" w:rsidRPr="00C33202">
        <w:rPr>
          <w:rFonts w:eastAsia="SimSun"/>
          <w:lang w:eastAsia="zh-CN"/>
        </w:rPr>
        <w:t>обеспечения защиты действующих служб и будущего развития, без создания дополнительных ограничений, которые имеют распределения в потенциальных кандидатных полосах и в соседних полосах на первичной основе</w:t>
      </w:r>
      <w:r w:rsidRPr="00C33202">
        <w:t>;</w:t>
      </w:r>
    </w:p>
    <w:p w14:paraId="6D63D013" w14:textId="3B866182" w:rsidR="00EC1708" w:rsidRPr="00C33202" w:rsidRDefault="00EC1708" w:rsidP="00EC1708">
      <w:pPr>
        <w:rPr>
          <w:rFonts w:eastAsia="SimSun"/>
          <w:lang w:eastAsia="zh-CN"/>
        </w:rPr>
      </w:pPr>
      <w:r w:rsidRPr="00C33202">
        <w:t>3</w:t>
      </w:r>
      <w:r w:rsidRPr="00C33202">
        <w:tab/>
      </w:r>
      <w:r w:rsidR="00B157AA" w:rsidRPr="00C33202">
        <w:t xml:space="preserve">рассмотреть возможное новое определение для </w:t>
      </w:r>
      <w:r w:rsidRPr="00C33202">
        <w:t xml:space="preserve">IMT </w:t>
      </w:r>
      <w:r w:rsidR="00B157AA" w:rsidRPr="00C33202">
        <w:t xml:space="preserve">в </w:t>
      </w:r>
      <w:r w:rsidR="008E0554" w:rsidRPr="00C33202">
        <w:t>диапазоне</w:t>
      </w:r>
      <w:r w:rsidR="00B157AA" w:rsidRPr="00C33202">
        <w:t xml:space="preserve"> частот</w:t>
      </w:r>
      <w:r w:rsidRPr="00C33202">
        <w:t xml:space="preserve"> 7025</w:t>
      </w:r>
      <w:r w:rsidR="00FF7672" w:rsidRPr="00C33202">
        <w:t>−</w:t>
      </w:r>
      <w:r w:rsidRPr="00C33202">
        <w:t>7125</w:t>
      </w:r>
      <w:r w:rsidR="00FF7672" w:rsidRPr="00C33202">
        <w:t> МГц</w:t>
      </w:r>
      <w:r w:rsidR="00B157AA" w:rsidRPr="00C33202">
        <w:t xml:space="preserve">, в случае если результаты </w:t>
      </w:r>
      <w:r w:rsidR="00B157AA" w:rsidRPr="00C33202">
        <w:rPr>
          <w:lang w:eastAsia="zh-CN"/>
        </w:rPr>
        <w:t>исследований совместного использования частот и совместимости</w:t>
      </w:r>
      <w:r w:rsidRPr="00C33202">
        <w:t xml:space="preserve"> </w:t>
      </w:r>
      <w:r w:rsidR="00B157AA" w:rsidRPr="00C33202">
        <w:t xml:space="preserve">обеспечивают удовлетворительную защиту </w:t>
      </w:r>
      <w:r w:rsidR="00B157AA" w:rsidRPr="00C33202">
        <w:rPr>
          <w:rFonts w:eastAsia="SimSun"/>
          <w:lang w:eastAsia="zh-CN"/>
        </w:rPr>
        <w:t>действующих служб и их будущего развития</w:t>
      </w:r>
      <w:r w:rsidRPr="00C33202">
        <w:t>,</w:t>
      </w:r>
    </w:p>
    <w:p w14:paraId="2932606A" w14:textId="316D6067" w:rsidR="00EC1708" w:rsidRPr="00C33202" w:rsidRDefault="00B157AA" w:rsidP="00EC1708">
      <w:pPr>
        <w:pStyle w:val="Call"/>
      </w:pPr>
      <w:r w:rsidRPr="00C33202">
        <w:t>предлагает администрациям</w:t>
      </w:r>
    </w:p>
    <w:p w14:paraId="0CA99190" w14:textId="3DD098CA" w:rsidR="00EC1708" w:rsidRPr="00C33202" w:rsidRDefault="00DD23C6" w:rsidP="00EC1708">
      <w:r w:rsidRPr="00C33202">
        <w:rPr>
          <w:rFonts w:eastAsia="SimSun"/>
          <w:lang w:eastAsia="zh-CN"/>
        </w:rPr>
        <w:t>принять активное участие в исследованиях, представляя свои вклады в МСЭ-R</w:t>
      </w:r>
      <w:r w:rsidR="00EC1708" w:rsidRPr="00C33202">
        <w:rPr>
          <w:rFonts w:eastAsia="SimSun"/>
          <w:lang w:eastAsia="zh-CN"/>
        </w:rPr>
        <w:t>.</w:t>
      </w:r>
    </w:p>
    <w:p w14:paraId="60BA54C8" w14:textId="23E0B381" w:rsidR="009613AA" w:rsidRPr="00C33202" w:rsidRDefault="007804B0" w:rsidP="00FF7672">
      <w:pPr>
        <w:pStyle w:val="Reasons"/>
      </w:pPr>
      <w:r w:rsidRPr="00C33202">
        <w:rPr>
          <w:b/>
          <w:bCs/>
        </w:rPr>
        <w:t>Основания</w:t>
      </w:r>
      <w:r w:rsidRPr="00C33202">
        <w:t>:</w:t>
      </w:r>
      <w:r w:rsidRPr="00C33202">
        <w:tab/>
      </w:r>
      <w:r w:rsidR="00B157AA" w:rsidRPr="00C33202">
        <w:t>См. нижеследующую таблицу</w:t>
      </w:r>
      <w:r w:rsidR="00FF7672" w:rsidRPr="00C33202">
        <w:t>.</w:t>
      </w:r>
    </w:p>
    <w:p w14:paraId="28CA0DC1" w14:textId="6A7E7CDA" w:rsidR="004607B2" w:rsidRPr="00C33202" w:rsidRDefault="004607B2" w:rsidP="004607B2">
      <w:r w:rsidRPr="00C33202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29"/>
      </w:tblGrid>
      <w:tr w:rsidR="004607B2" w:rsidRPr="00C33202" w14:paraId="51119029" w14:textId="77777777" w:rsidTr="006670AA">
        <w:tc>
          <w:tcPr>
            <w:tcW w:w="9639" w:type="dxa"/>
            <w:gridSpan w:val="2"/>
            <w:tcBorders>
              <w:left w:val="nil"/>
              <w:right w:val="nil"/>
            </w:tcBorders>
          </w:tcPr>
          <w:p w14:paraId="78E0545E" w14:textId="11AB5D73" w:rsidR="004607B2" w:rsidRPr="00C33202" w:rsidRDefault="004607B2" w:rsidP="004607B2">
            <w:pPr>
              <w:spacing w:after="120"/>
              <w:rPr>
                <w:i/>
                <w:iCs/>
              </w:rPr>
            </w:pPr>
            <w:r w:rsidRPr="00C33202">
              <w:rPr>
                <w:b/>
                <w:bCs/>
                <w:iCs/>
              </w:rPr>
              <w:lastRenderedPageBreak/>
              <w:t>Предмет</w:t>
            </w:r>
            <w:r w:rsidRPr="00C33202">
              <w:rPr>
                <w:bCs/>
              </w:rPr>
              <w:t xml:space="preserve">: </w:t>
            </w:r>
            <w:r w:rsidR="00B157AA" w:rsidRPr="00C33202">
              <w:rPr>
                <w:bCs/>
              </w:rPr>
              <w:t>Предложение нового пункта повестки дня</w:t>
            </w:r>
            <w:r w:rsidRPr="00C33202">
              <w:t xml:space="preserve"> ВКР-23 </w:t>
            </w:r>
            <w:r w:rsidR="00B157AA" w:rsidRPr="00C33202">
              <w:t xml:space="preserve">– </w:t>
            </w:r>
            <w:r w:rsidR="002A133E" w:rsidRPr="00C33202">
              <w:t xml:space="preserve">рассмотреть определение для IMT в </w:t>
            </w:r>
            <w:r w:rsidR="008E0554" w:rsidRPr="00C33202">
              <w:t>диапазоне</w:t>
            </w:r>
            <w:r w:rsidR="002A133E" w:rsidRPr="00C33202">
              <w:t xml:space="preserve"> частот 7025−7125 МГц</w:t>
            </w:r>
            <w:r w:rsidRPr="00C33202">
              <w:t xml:space="preserve"> </w:t>
            </w:r>
            <w:r w:rsidR="002A133E" w:rsidRPr="00C33202">
              <w:t xml:space="preserve">для будущего развития </w:t>
            </w:r>
            <w:r w:rsidRPr="00C33202">
              <w:t>IMT</w:t>
            </w:r>
          </w:p>
        </w:tc>
      </w:tr>
      <w:tr w:rsidR="004607B2" w:rsidRPr="00C33202" w14:paraId="515BCE47" w14:textId="77777777" w:rsidTr="006670AA"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9D45208" w14:textId="6335810D" w:rsidR="004607B2" w:rsidRPr="00C33202" w:rsidRDefault="004607B2" w:rsidP="004607B2">
            <w:pPr>
              <w:spacing w:after="120"/>
            </w:pPr>
            <w:r w:rsidRPr="00C33202">
              <w:rPr>
                <w:b/>
                <w:bCs/>
                <w:iCs/>
              </w:rPr>
              <w:t>Источник</w:t>
            </w:r>
            <w:r w:rsidRPr="00C33202">
              <w:t xml:space="preserve">: </w:t>
            </w:r>
            <w:r w:rsidR="002A133E" w:rsidRPr="00C33202">
              <w:rPr>
                <w:szCs w:val="26"/>
              </w:rPr>
              <w:t>Азиатско-Тихоокеанское сообщество электросвязи</w:t>
            </w:r>
            <w:r w:rsidR="002A133E" w:rsidRPr="00C33202">
              <w:t xml:space="preserve"> </w:t>
            </w:r>
            <w:r w:rsidRPr="00C33202">
              <w:t>(</w:t>
            </w:r>
            <w:r w:rsidR="002A133E" w:rsidRPr="00C33202">
              <w:t>АТСЭ</w:t>
            </w:r>
            <w:r w:rsidRPr="00C33202">
              <w:t>)</w:t>
            </w:r>
          </w:p>
        </w:tc>
      </w:tr>
      <w:tr w:rsidR="004607B2" w:rsidRPr="00C33202" w14:paraId="4AE76E32" w14:textId="77777777" w:rsidTr="0073266D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55DAC" w14:textId="2C3B0C12" w:rsidR="004607B2" w:rsidRPr="00C33202" w:rsidRDefault="004607B2" w:rsidP="004607B2">
            <w:pPr>
              <w:spacing w:after="120"/>
            </w:pPr>
            <w:r w:rsidRPr="00C33202">
              <w:rPr>
                <w:b/>
                <w:bCs/>
                <w:i/>
                <w:iCs/>
              </w:rPr>
              <w:t>Предложение</w:t>
            </w:r>
            <w:r w:rsidRPr="00C33202">
              <w:t xml:space="preserve">: </w:t>
            </w:r>
            <w:r w:rsidR="002A133E" w:rsidRPr="00C33202">
              <w:t xml:space="preserve">Рассмотреть определение для IMT в </w:t>
            </w:r>
            <w:r w:rsidR="008E0554" w:rsidRPr="00C33202">
              <w:t>диапазоне</w:t>
            </w:r>
            <w:r w:rsidR="002A133E" w:rsidRPr="00C33202">
              <w:t xml:space="preserve"> частот 7025−7125 МГц</w:t>
            </w:r>
            <w:r w:rsidRPr="00C33202">
              <w:t>.</w:t>
            </w:r>
          </w:p>
        </w:tc>
      </w:tr>
      <w:tr w:rsidR="004607B2" w:rsidRPr="00C33202" w14:paraId="6BE75637" w14:textId="77777777" w:rsidTr="0073266D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B3E6B" w14:textId="77777777" w:rsidR="004607B2" w:rsidRPr="00C33202" w:rsidRDefault="004607B2" w:rsidP="004607B2">
            <w:pPr>
              <w:spacing w:after="120"/>
            </w:pPr>
            <w:r w:rsidRPr="00C33202">
              <w:rPr>
                <w:b/>
                <w:bCs/>
                <w:i/>
                <w:iCs/>
              </w:rPr>
              <w:t>Основание</w:t>
            </w:r>
            <w:r w:rsidRPr="00C33202">
              <w:rPr>
                <w:b/>
                <w:bCs/>
              </w:rPr>
              <w:t>/</w:t>
            </w:r>
            <w:r w:rsidRPr="00C33202">
              <w:rPr>
                <w:b/>
                <w:bCs/>
                <w:i/>
                <w:iCs/>
              </w:rPr>
              <w:t>причина</w:t>
            </w:r>
            <w:r w:rsidRPr="00C33202">
              <w:t xml:space="preserve">: </w:t>
            </w:r>
          </w:p>
          <w:p w14:paraId="2A6557EB" w14:textId="27FA9AD9" w:rsidR="00BD2D1A" w:rsidRPr="00C33202" w:rsidRDefault="008E0554" w:rsidP="009C26DF">
            <w:r w:rsidRPr="00C33202">
              <w:t xml:space="preserve">Технологии </w:t>
            </w:r>
            <w:r w:rsidR="00BD2D1A" w:rsidRPr="00C33202">
              <w:t xml:space="preserve">IMT-2020 </w:t>
            </w:r>
            <w:r w:rsidRPr="00C33202">
              <w:t>играют важную роль в обществе как новый двигатель цифровой экономики</w:t>
            </w:r>
            <w:r w:rsidR="00BD2D1A" w:rsidRPr="00C33202">
              <w:t xml:space="preserve">. </w:t>
            </w:r>
            <w:r w:rsidRPr="00C33202">
              <w:t xml:space="preserve">Системы </w:t>
            </w:r>
            <w:r w:rsidR="00BD2D1A" w:rsidRPr="00C33202">
              <w:t xml:space="preserve">IMT </w:t>
            </w:r>
            <w:r w:rsidRPr="00C33202">
              <w:t>поддерживают различные сценарии использования</w:t>
            </w:r>
            <w:r w:rsidR="00BD2D1A" w:rsidRPr="00C33202">
              <w:t xml:space="preserve">. </w:t>
            </w:r>
            <w:r w:rsidR="00FE2C6A" w:rsidRPr="00C33202">
              <w:t xml:space="preserve">Наряду с </w:t>
            </w:r>
            <w:r w:rsidR="00FE2C6A" w:rsidRPr="00C33202">
              <w:rPr>
                <w:color w:val="000000"/>
              </w:rPr>
              <w:t>усовершенствованной подвижной широкополосной связью</w:t>
            </w:r>
            <w:r w:rsidR="00BD2D1A" w:rsidRPr="00C33202">
              <w:t xml:space="preserve"> (eMBB)</w:t>
            </w:r>
            <w:r w:rsidR="00FE2C6A" w:rsidRPr="00C33202">
              <w:t xml:space="preserve"> они также поддерживают</w:t>
            </w:r>
            <w:r w:rsidR="00BD2D1A" w:rsidRPr="00C33202">
              <w:t xml:space="preserve"> </w:t>
            </w:r>
            <w:r w:rsidR="00FE2C6A" w:rsidRPr="00C33202">
              <w:t xml:space="preserve">сценарии использования </w:t>
            </w:r>
            <w:r w:rsidR="00FE2C6A" w:rsidRPr="00C33202">
              <w:rPr>
                <w:color w:val="000000"/>
              </w:rPr>
              <w:t>интенсивного межмашинного обмена (mMTC) и сверхнадежной передачи данных с малой задержкой</w:t>
            </w:r>
            <w:r w:rsidR="00BD2D1A" w:rsidRPr="00C33202">
              <w:t xml:space="preserve"> (URLLC)</w:t>
            </w:r>
            <w:r w:rsidR="00FE2C6A" w:rsidRPr="00C33202">
              <w:t xml:space="preserve">, которые включают широкий </w:t>
            </w:r>
            <w:r w:rsidR="0073266D" w:rsidRPr="00C33202">
              <w:t>диапазон применений</w:t>
            </w:r>
            <w:r w:rsidR="00BD2D1A" w:rsidRPr="00C33202">
              <w:t xml:space="preserve">. </w:t>
            </w:r>
            <w:r w:rsidR="0073266D" w:rsidRPr="00C33202">
              <w:t>Применения на основе</w:t>
            </w:r>
            <w:r w:rsidR="00BD2D1A" w:rsidRPr="00C33202">
              <w:t xml:space="preserve"> IMT-2020 </w:t>
            </w:r>
            <w:r w:rsidR="0073266D" w:rsidRPr="00C33202">
              <w:t>распространяются на новые сегменты рынка, такие как "умные" электросети, электронное здравоохранение, интеллектуальные транспортные системы (ИТС), управление дорожным движением и безопасность</w:t>
            </w:r>
            <w:r w:rsidR="00BD2D1A" w:rsidRPr="00C33202">
              <w:t xml:space="preserve">. </w:t>
            </w:r>
            <w:r w:rsidR="0073266D" w:rsidRPr="00C33202">
              <w:t>По мере увеличения темпов роста глобальной коммерциализации</w:t>
            </w:r>
            <w:r w:rsidR="00BD2D1A" w:rsidRPr="00C33202">
              <w:t xml:space="preserve"> IMT-2020</w:t>
            </w:r>
            <w:r w:rsidR="0073266D" w:rsidRPr="00C33202">
              <w:t xml:space="preserve"> рыночный спрос на услуги и применения</w:t>
            </w:r>
            <w:r w:rsidR="00BD2D1A" w:rsidRPr="00C33202">
              <w:t xml:space="preserve"> IMT </w:t>
            </w:r>
            <w:r w:rsidR="0073266D" w:rsidRPr="00C33202">
              <w:t>будет расти; тем временем требуется дополнительный спектр</w:t>
            </w:r>
            <w:r w:rsidR="006C6CD1" w:rsidRPr="00C33202">
              <w:t xml:space="preserve"> для содействия </w:t>
            </w:r>
            <w:r w:rsidR="00074D2C" w:rsidRPr="00C33202">
              <w:t>реализации</w:t>
            </w:r>
            <w:r w:rsidR="006C6CD1" w:rsidRPr="00C33202">
              <w:t xml:space="preserve"> новых сценариев применения</w:t>
            </w:r>
            <w:r w:rsidR="00BD2D1A" w:rsidRPr="00C33202">
              <w:t xml:space="preserve"> IMT-2020, </w:t>
            </w:r>
            <w:r w:rsidR="00A52B4E" w:rsidRPr="00C33202">
              <w:t>с тем чтобы в будущем обеспечить рост пропускной способности сетей</w:t>
            </w:r>
            <w:r w:rsidR="00BD2D1A" w:rsidRPr="00C33202">
              <w:t>.</w:t>
            </w:r>
          </w:p>
          <w:p w14:paraId="0CEA9686" w14:textId="40B47B53" w:rsidR="00BD2D1A" w:rsidRPr="00C33202" w:rsidRDefault="00AE1763" w:rsidP="009C26DF">
            <w:r w:rsidRPr="00C33202">
              <w:t xml:space="preserve">Диапазон частот миллиметровых волн и средний диапазон частот играют решающие роли в удовлетворении </w:t>
            </w:r>
            <w:r w:rsidR="005358CF" w:rsidRPr="00C33202">
              <w:t>потребностей</w:t>
            </w:r>
            <w:r w:rsidR="00BD2D1A" w:rsidRPr="00C33202">
              <w:t xml:space="preserve"> IMT</w:t>
            </w:r>
            <w:r w:rsidR="005358CF" w:rsidRPr="00C33202">
              <w:t xml:space="preserve"> в спектре</w:t>
            </w:r>
            <w:r w:rsidR="00BD2D1A" w:rsidRPr="00C33202">
              <w:t xml:space="preserve">. </w:t>
            </w:r>
            <w:r w:rsidR="005358CF" w:rsidRPr="00C33202">
              <w:t xml:space="preserve">Диапазон частот миллиметровых волн подходит для осуществления связи со сверхвысокой пропускной способностью в "горячих" точках в городских и густонаселенных районах, а средний диапазон частот </w:t>
            </w:r>
            <w:r w:rsidR="00057AB3" w:rsidRPr="00C33202">
              <w:t>необходим для поддержки новых применений</w:t>
            </w:r>
            <w:r w:rsidR="00BD2D1A" w:rsidRPr="00C33202">
              <w:t xml:space="preserve"> IMT-2020</w:t>
            </w:r>
            <w:r w:rsidR="00057AB3" w:rsidRPr="00C33202">
              <w:t>, которые могут обеспечивать отличный баланс между потребностями в покрытии и пропускной способности</w:t>
            </w:r>
            <w:r w:rsidR="00BD2D1A" w:rsidRPr="00C33202">
              <w:t xml:space="preserve">. </w:t>
            </w:r>
            <w:r w:rsidR="00057AB3" w:rsidRPr="00C33202">
              <w:t>В глобальном масштабе средний диапазон частот обеспечивает важнейшие полосы частот для первой волны крупномасштабного развертывания</w:t>
            </w:r>
            <w:r w:rsidR="00BD2D1A" w:rsidRPr="00C33202">
              <w:t xml:space="preserve"> IMT-2020 </w:t>
            </w:r>
            <w:r w:rsidR="00057AB3" w:rsidRPr="00C33202">
              <w:t>во всем мире</w:t>
            </w:r>
            <w:r w:rsidR="00BD2D1A" w:rsidRPr="00C33202">
              <w:t>.</w:t>
            </w:r>
          </w:p>
          <w:p w14:paraId="1E638B65" w14:textId="5413511F" w:rsidR="004607B2" w:rsidRPr="00C33202" w:rsidRDefault="009F5E62" w:rsidP="00BD2D1A">
            <w:pPr>
              <w:spacing w:after="120"/>
            </w:pPr>
            <w:r w:rsidRPr="00C33202">
              <w:t>Диапазон частот</w:t>
            </w:r>
            <w:r w:rsidR="00BD2D1A" w:rsidRPr="00C33202">
              <w:t xml:space="preserve"> 7 ГГц </w:t>
            </w:r>
            <w:r w:rsidRPr="00C33202">
              <w:t xml:space="preserve">может частично удовлетворить будущие потребности </w:t>
            </w:r>
            <w:r w:rsidR="00BD2D1A" w:rsidRPr="00C33202">
              <w:t xml:space="preserve">IMT </w:t>
            </w:r>
            <w:r w:rsidRPr="00C33202">
              <w:t xml:space="preserve">в спектре </w:t>
            </w:r>
            <w:r w:rsidR="000D7EC4" w:rsidRPr="00C33202">
              <w:t>в среднем диапазоне частот</w:t>
            </w:r>
            <w:r w:rsidR="00BD2D1A" w:rsidRPr="00C33202">
              <w:t xml:space="preserve">. </w:t>
            </w:r>
            <w:r w:rsidR="000D7EC4" w:rsidRPr="00C33202">
              <w:t>Возможность совместимости</w:t>
            </w:r>
            <w:r w:rsidR="00BD2D1A" w:rsidRPr="00C33202">
              <w:t xml:space="preserve"> IMT </w:t>
            </w:r>
            <w:r w:rsidR="000D7EC4" w:rsidRPr="00C33202">
              <w:t>с действующими службами в одной полосе частот и в соседних полосах будет увеличиваться по мере реализации новых радиохарактеристик</w:t>
            </w:r>
            <w:r w:rsidR="00BD2D1A" w:rsidRPr="00C33202">
              <w:t xml:space="preserve"> IMT</w:t>
            </w:r>
            <w:r w:rsidR="000D7EC4" w:rsidRPr="00C33202">
              <w:t>, которые уменьшают потенциал причинения помех другим службам</w:t>
            </w:r>
            <w:r w:rsidR="00BD2D1A" w:rsidRPr="00C33202">
              <w:t xml:space="preserve">. </w:t>
            </w:r>
            <w:r w:rsidR="000D7EC4" w:rsidRPr="00C33202">
              <w:t>Учитывая изложенную выше базовую информацию</w:t>
            </w:r>
            <w:r w:rsidR="00074D2C" w:rsidRPr="00C33202">
              <w:t>,</w:t>
            </w:r>
            <w:r w:rsidR="000D7EC4" w:rsidRPr="00C33202">
              <w:t xml:space="preserve"> АТСЭ предлагает пункт повестки дня </w:t>
            </w:r>
            <w:r w:rsidR="00BD2D1A" w:rsidRPr="00C33202">
              <w:t xml:space="preserve">ВКР-23 </w:t>
            </w:r>
            <w:r w:rsidR="00E8650D" w:rsidRPr="00C33202">
              <w:t xml:space="preserve">о проведении связанных со спектром исследований для определения </w:t>
            </w:r>
            <w:r w:rsidR="00BD2D1A" w:rsidRPr="00C33202">
              <w:t xml:space="preserve">IMT </w:t>
            </w:r>
            <w:r w:rsidR="00E8650D" w:rsidRPr="00C33202">
              <w:t>в диапазоне частот</w:t>
            </w:r>
            <w:r w:rsidR="00BD2D1A" w:rsidRPr="00C33202">
              <w:t xml:space="preserve"> 7025−7125 МГц</w:t>
            </w:r>
            <w:r w:rsidR="004607B2" w:rsidRPr="00C33202">
              <w:t>.</w:t>
            </w:r>
          </w:p>
        </w:tc>
      </w:tr>
      <w:tr w:rsidR="004607B2" w:rsidRPr="00C33202" w14:paraId="4245F51B" w14:textId="77777777" w:rsidTr="0073266D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8E172" w14:textId="77777777" w:rsidR="00BD2D1A" w:rsidRPr="00C33202" w:rsidRDefault="004607B2" w:rsidP="004607B2">
            <w:pPr>
              <w:spacing w:after="120"/>
            </w:pPr>
            <w:r w:rsidRPr="00C33202">
              <w:rPr>
                <w:b/>
                <w:bCs/>
                <w:i/>
                <w:iCs/>
              </w:rPr>
              <w:t>Затрагиваемые службы радиосвязи</w:t>
            </w:r>
            <w:r w:rsidRPr="00C33202">
              <w:t xml:space="preserve">: </w:t>
            </w:r>
          </w:p>
          <w:p w14:paraId="444FC716" w14:textId="3A4DE7E7" w:rsidR="00BD2D1A" w:rsidRPr="00C33202" w:rsidRDefault="00BD2D1A" w:rsidP="00BD2D1A">
            <w:pPr>
              <w:spacing w:after="120"/>
            </w:pPr>
            <w:r w:rsidRPr="00C33202">
              <w:t xml:space="preserve">7025−7125 МГц: </w:t>
            </w:r>
            <w:r w:rsidR="00E8650D" w:rsidRPr="00C33202">
              <w:t>фиксированная служба, подвижная служба</w:t>
            </w:r>
          </w:p>
          <w:p w14:paraId="439560A6" w14:textId="041BE762" w:rsidR="00BD2D1A" w:rsidRPr="00C33202" w:rsidRDefault="00BD2D1A" w:rsidP="00BD2D1A">
            <w:pPr>
              <w:spacing w:after="120"/>
            </w:pPr>
            <w:r w:rsidRPr="00C33202">
              <w:t>6700−7075 МГц</w:t>
            </w:r>
            <w:r w:rsidR="00E8650D" w:rsidRPr="00C33202">
              <w:t>:</w:t>
            </w:r>
            <w:r w:rsidRPr="00C33202">
              <w:t xml:space="preserve"> </w:t>
            </w:r>
            <w:r w:rsidR="00E8650D" w:rsidRPr="00C33202">
              <w:t>фиксированная служба</w:t>
            </w:r>
            <w:r w:rsidRPr="00C33202">
              <w:t xml:space="preserve">, </w:t>
            </w:r>
            <w:r w:rsidR="00E8650D" w:rsidRPr="00C33202">
              <w:t xml:space="preserve">фиксированная спутниковая служба </w:t>
            </w:r>
            <w:r w:rsidRPr="00C33202">
              <w:t>(</w:t>
            </w:r>
            <w:r w:rsidR="00E8650D" w:rsidRPr="00C33202">
              <w:t>Земля-космос)</w:t>
            </w:r>
            <w:r w:rsidRPr="00C33202">
              <w:t xml:space="preserve">, </w:t>
            </w:r>
            <w:r w:rsidR="00E8650D" w:rsidRPr="00C33202">
              <w:t xml:space="preserve">фиксированная спутниковая служба </w:t>
            </w:r>
            <w:r w:rsidRPr="00C33202">
              <w:t>(</w:t>
            </w:r>
            <w:r w:rsidR="00E8650D" w:rsidRPr="00C33202">
              <w:t>космос-Земля</w:t>
            </w:r>
            <w:r w:rsidRPr="00C33202">
              <w:t xml:space="preserve">), </w:t>
            </w:r>
            <w:r w:rsidR="00E8650D" w:rsidRPr="00C33202">
              <w:t>подвижная служба</w:t>
            </w:r>
          </w:p>
          <w:p w14:paraId="54A99FFD" w14:textId="77777777" w:rsidR="00BD2D1A" w:rsidRPr="00C33202" w:rsidRDefault="00BD2D1A" w:rsidP="00BD2D1A">
            <w:pPr>
              <w:spacing w:after="120"/>
            </w:pPr>
            <w:r w:rsidRPr="00C33202">
              <w:t xml:space="preserve">7075−7145 МГц </w:t>
            </w:r>
          </w:p>
          <w:p w14:paraId="24E3627C" w14:textId="1254364B" w:rsidR="004607B2" w:rsidRPr="00C33202" w:rsidRDefault="00BD2D1A" w:rsidP="00BD2D1A">
            <w:pPr>
              <w:spacing w:after="120"/>
            </w:pPr>
            <w:r w:rsidRPr="00C33202">
              <w:t>(</w:t>
            </w:r>
            <w:r w:rsidR="00E8650D" w:rsidRPr="00C33202">
              <w:t>соседние службы</w:t>
            </w:r>
            <w:r w:rsidRPr="00C33202">
              <w:t xml:space="preserve">: </w:t>
            </w:r>
            <w:r w:rsidR="00E8650D" w:rsidRPr="00C33202">
              <w:t>подлежит определению</w:t>
            </w:r>
            <w:r w:rsidRPr="00C33202">
              <w:t>).</w:t>
            </w:r>
          </w:p>
        </w:tc>
      </w:tr>
      <w:tr w:rsidR="004607B2" w:rsidRPr="00C33202" w14:paraId="6B20EAF8" w14:textId="77777777" w:rsidTr="0073266D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EF1ED" w14:textId="77777777" w:rsidR="00BD2D1A" w:rsidRPr="00C33202" w:rsidRDefault="004607B2" w:rsidP="004607B2">
            <w:pPr>
              <w:spacing w:after="120"/>
            </w:pPr>
            <w:r w:rsidRPr="00C33202">
              <w:rPr>
                <w:b/>
                <w:bCs/>
                <w:i/>
                <w:iCs/>
              </w:rPr>
              <w:t>Указание возможных трудностей</w:t>
            </w:r>
            <w:r w:rsidRPr="00C33202">
              <w:t xml:space="preserve">: </w:t>
            </w:r>
          </w:p>
          <w:p w14:paraId="10D8E048" w14:textId="6B8214D8" w:rsidR="004607B2" w:rsidRPr="00C33202" w:rsidRDefault="00E8650D" w:rsidP="004607B2">
            <w:pPr>
              <w:spacing w:after="120"/>
            </w:pPr>
            <w:r w:rsidRPr="00C33202">
              <w:t>Предлагаемые полосы широко используются для наземной и космической служб на равной первичной основе</w:t>
            </w:r>
            <w:r w:rsidR="00BD2D1A" w:rsidRPr="00C33202">
              <w:t xml:space="preserve">. </w:t>
            </w:r>
            <w:r w:rsidRPr="00C33202">
              <w:t>Необходимо рассмотреть возможность сосуществования</w:t>
            </w:r>
            <w:r w:rsidR="00BD2D1A" w:rsidRPr="00C33202">
              <w:t xml:space="preserve"> IMT </w:t>
            </w:r>
            <w:r w:rsidRPr="00C33202">
              <w:t xml:space="preserve">и </w:t>
            </w:r>
            <w:r w:rsidR="00CE27D3" w:rsidRPr="00C33202">
              <w:t>действующих</w:t>
            </w:r>
            <w:r w:rsidRPr="00C33202">
              <w:t xml:space="preserve"> служб</w:t>
            </w:r>
            <w:r w:rsidR="004607B2" w:rsidRPr="00C33202">
              <w:t>.</w:t>
            </w:r>
          </w:p>
        </w:tc>
      </w:tr>
      <w:tr w:rsidR="004607B2" w:rsidRPr="00C33202" w14:paraId="2A8DE3DC" w14:textId="77777777" w:rsidTr="0073266D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BB449" w14:textId="77777777" w:rsidR="00BD2D1A" w:rsidRPr="00C33202" w:rsidRDefault="004607B2" w:rsidP="009C26DF">
            <w:pPr>
              <w:keepNext/>
              <w:keepLines/>
              <w:spacing w:after="120"/>
            </w:pPr>
            <w:r w:rsidRPr="00C33202">
              <w:rPr>
                <w:b/>
                <w:bCs/>
                <w:i/>
                <w:iCs/>
              </w:rPr>
              <w:lastRenderedPageBreak/>
              <w:t>Ранее проведенные/текущие исследования по данному вопросу</w:t>
            </w:r>
            <w:r w:rsidRPr="00C33202">
              <w:t xml:space="preserve">: </w:t>
            </w:r>
          </w:p>
          <w:p w14:paraId="16561EDF" w14:textId="3322102D" w:rsidR="00BD2D1A" w:rsidRPr="00C33202" w:rsidRDefault="00CE27D3" w:rsidP="009C26DF">
            <w:pPr>
              <w:keepNext/>
              <w:keepLines/>
              <w:spacing w:after="120"/>
            </w:pPr>
            <w:r w:rsidRPr="00C33202">
              <w:t>В течение исследовательского периода</w:t>
            </w:r>
            <w:r w:rsidR="00BD2D1A" w:rsidRPr="00C33202">
              <w:t xml:space="preserve"> 2012</w:t>
            </w:r>
            <w:r w:rsidR="00BA653C" w:rsidRPr="00C33202">
              <w:t>−</w:t>
            </w:r>
            <w:r w:rsidR="00BD2D1A" w:rsidRPr="00C33202">
              <w:t>2015</w:t>
            </w:r>
            <w:r w:rsidRPr="00C33202">
              <w:t xml:space="preserve"> годов и в ходе подготовки к </w:t>
            </w:r>
            <w:r w:rsidR="00BA653C" w:rsidRPr="00C33202">
              <w:t>ВКР</w:t>
            </w:r>
            <w:r w:rsidR="00BD2D1A" w:rsidRPr="00C33202">
              <w:t xml:space="preserve">-15 </w:t>
            </w:r>
            <w:r w:rsidR="00BA653C" w:rsidRPr="00C33202">
              <w:t>МСЭ</w:t>
            </w:r>
            <w:r w:rsidR="00BD2D1A" w:rsidRPr="00C33202">
              <w:t xml:space="preserve">-R </w:t>
            </w:r>
            <w:r w:rsidRPr="00C33202">
              <w:t>проводи</w:t>
            </w:r>
            <w:r w:rsidR="00074D2C" w:rsidRPr="00C33202">
              <w:t>л</w:t>
            </w:r>
            <w:r w:rsidRPr="00C33202">
              <w:t xml:space="preserve"> исследования по IMT, связанные со спектром, в соответствии с Резолюцией </w:t>
            </w:r>
            <w:r w:rsidR="00BD2D1A" w:rsidRPr="00C33202">
              <w:t>238 (</w:t>
            </w:r>
            <w:r w:rsidR="00BA653C" w:rsidRPr="00C33202">
              <w:t>ВКР</w:t>
            </w:r>
            <w:r w:rsidRPr="00C33202">
              <w:noBreakHyphen/>
            </w:r>
            <w:r w:rsidR="00BD2D1A" w:rsidRPr="00C33202">
              <w:t xml:space="preserve">15). </w:t>
            </w:r>
          </w:p>
          <w:p w14:paraId="6916CB9B" w14:textId="47F6BB57" w:rsidR="004607B2" w:rsidRPr="00C33202" w:rsidRDefault="00074D2C" w:rsidP="009C26DF">
            <w:pPr>
              <w:keepNext/>
              <w:keepLines/>
              <w:spacing w:after="120"/>
            </w:pPr>
            <w:r w:rsidRPr="00C33202">
              <w:t xml:space="preserve">В </w:t>
            </w:r>
            <w:r w:rsidR="00CE27D3" w:rsidRPr="00C33202">
              <w:t>полосе частот</w:t>
            </w:r>
            <w:r w:rsidR="00BD2D1A" w:rsidRPr="00C33202">
              <w:t xml:space="preserve"> 5925</w:t>
            </w:r>
            <w:r w:rsidR="00BA653C" w:rsidRPr="00C33202">
              <w:t>−</w:t>
            </w:r>
            <w:r w:rsidR="00BD2D1A" w:rsidRPr="00C33202">
              <w:t>6425</w:t>
            </w:r>
            <w:r w:rsidR="00BA653C" w:rsidRPr="00C33202">
              <w:t> МГц</w:t>
            </w:r>
            <w:r w:rsidR="00CE27D3" w:rsidRPr="00C33202">
              <w:t xml:space="preserve"> результаты исследований совместного использования частот и совместимости </w:t>
            </w:r>
            <w:r w:rsidR="00BD2D1A" w:rsidRPr="00C33202">
              <w:t xml:space="preserve">IMT </w:t>
            </w:r>
            <w:r w:rsidR="00CE27D3" w:rsidRPr="00C33202">
              <w:t>и других служб приведены в Отчете </w:t>
            </w:r>
            <w:r w:rsidR="00BA653C" w:rsidRPr="00C33202">
              <w:t>МСЭ</w:t>
            </w:r>
            <w:r w:rsidR="00BD2D1A" w:rsidRPr="00C33202">
              <w:t>-R F.2326-0 (</w:t>
            </w:r>
            <w:r w:rsidR="00CE27D3" w:rsidRPr="00C33202">
              <w:t>по исследованиям совместного использования частот с фиксированной службой</w:t>
            </w:r>
            <w:r w:rsidR="00BD2D1A" w:rsidRPr="00C33202">
              <w:t xml:space="preserve">) </w:t>
            </w:r>
            <w:r w:rsidR="00CE27D3" w:rsidRPr="00C33202">
              <w:t>и в Отчете</w:t>
            </w:r>
            <w:r w:rsidR="00BD2D1A" w:rsidRPr="00C33202">
              <w:t xml:space="preserve"> </w:t>
            </w:r>
            <w:r w:rsidR="00BA653C" w:rsidRPr="00C33202">
              <w:t>МСЭ</w:t>
            </w:r>
            <w:r w:rsidR="00BD2D1A" w:rsidRPr="00C33202">
              <w:t>-R S.2367 (</w:t>
            </w:r>
            <w:r w:rsidR="009C26DF" w:rsidRPr="00C33202">
              <w:t>по </w:t>
            </w:r>
            <w:r w:rsidR="00CE27D3" w:rsidRPr="00C33202">
              <w:t>исследованиям совместного использования частот с линией вверх фиксированной спутниковой службы</w:t>
            </w:r>
            <w:r w:rsidR="00BD2D1A" w:rsidRPr="00C33202">
              <w:t>).</w:t>
            </w:r>
          </w:p>
        </w:tc>
      </w:tr>
      <w:tr w:rsidR="004607B2" w:rsidRPr="00C33202" w14:paraId="27B3E890" w14:textId="77777777" w:rsidTr="0073266D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B7CF2" w14:textId="77777777" w:rsidR="00BD2D1A" w:rsidRPr="00C33202" w:rsidRDefault="004607B2" w:rsidP="007804B0">
            <w:pPr>
              <w:keepNext/>
              <w:keepLines/>
              <w:spacing w:after="120"/>
            </w:pPr>
            <w:r w:rsidRPr="00C33202">
              <w:rPr>
                <w:b/>
                <w:bCs/>
                <w:i/>
                <w:iCs/>
              </w:rPr>
              <w:t>Кем будут проводиться исследования</w:t>
            </w:r>
            <w:r w:rsidRPr="00C33202">
              <w:t xml:space="preserve">: </w:t>
            </w:r>
          </w:p>
          <w:p w14:paraId="206B2DA4" w14:textId="7F248185" w:rsidR="004607B2" w:rsidRPr="00C33202" w:rsidRDefault="00CE27D3" w:rsidP="007804B0">
            <w:pPr>
              <w:keepNext/>
              <w:keepLines/>
              <w:spacing w:after="120"/>
            </w:pPr>
            <w:r w:rsidRPr="00C33202">
              <w:rPr>
                <w:bCs/>
                <w:iCs/>
              </w:rPr>
              <w:t xml:space="preserve">ИК5 </w:t>
            </w:r>
            <w:r w:rsidR="00BA653C" w:rsidRPr="00C33202">
              <w:rPr>
                <w:bCs/>
                <w:iCs/>
              </w:rPr>
              <w:t>МСЭ</w:t>
            </w:r>
            <w:r w:rsidR="00BD2D1A" w:rsidRPr="00C33202">
              <w:rPr>
                <w:bCs/>
                <w:iCs/>
              </w:rPr>
              <w:t xml:space="preserve">-R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05F1A4" w14:textId="77777777" w:rsidR="00BD2D1A" w:rsidRPr="00C33202" w:rsidRDefault="004607B2" w:rsidP="007804B0">
            <w:pPr>
              <w:keepNext/>
              <w:keepLines/>
              <w:spacing w:after="120"/>
            </w:pPr>
            <w:r w:rsidRPr="00C33202">
              <w:rPr>
                <w:b/>
                <w:bCs/>
                <w:i/>
                <w:iCs/>
              </w:rPr>
              <w:t>с участием</w:t>
            </w:r>
            <w:r w:rsidRPr="00C33202">
              <w:t xml:space="preserve">: </w:t>
            </w:r>
          </w:p>
          <w:p w14:paraId="4AC2A154" w14:textId="5910B13C" w:rsidR="004607B2" w:rsidRPr="00C33202" w:rsidRDefault="00CE27D3" w:rsidP="007804B0">
            <w:pPr>
              <w:keepNext/>
              <w:keepLines/>
              <w:spacing w:after="120"/>
            </w:pPr>
            <w:r w:rsidRPr="00C33202">
              <w:t>администраций и Членов Сектора</w:t>
            </w:r>
            <w:r w:rsidR="00BD2D1A" w:rsidRPr="00C33202">
              <w:t xml:space="preserve"> </w:t>
            </w:r>
            <w:r w:rsidR="00BA653C" w:rsidRPr="00C33202">
              <w:t>МСЭ</w:t>
            </w:r>
            <w:r w:rsidR="00BD2D1A" w:rsidRPr="00C33202">
              <w:t>-R</w:t>
            </w:r>
          </w:p>
        </w:tc>
      </w:tr>
      <w:tr w:rsidR="004607B2" w:rsidRPr="00C33202" w14:paraId="24A09F53" w14:textId="77777777" w:rsidTr="0073266D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28C66" w14:textId="77777777" w:rsidR="00BD2D1A" w:rsidRPr="00C33202" w:rsidRDefault="004607B2" w:rsidP="004607B2">
            <w:pPr>
              <w:spacing w:after="120"/>
            </w:pPr>
            <w:r w:rsidRPr="00C33202">
              <w:rPr>
                <w:b/>
                <w:bCs/>
                <w:i/>
                <w:iCs/>
              </w:rPr>
              <w:t>Затрагиваемые исследовательские комиссии МСЭ-R</w:t>
            </w:r>
            <w:r w:rsidRPr="00C33202">
              <w:t xml:space="preserve">: </w:t>
            </w:r>
          </w:p>
          <w:p w14:paraId="3BED9602" w14:textId="4FE0A4C0" w:rsidR="004607B2" w:rsidRPr="00C33202" w:rsidRDefault="00CE27D3" w:rsidP="004607B2">
            <w:pPr>
              <w:spacing w:after="120"/>
            </w:pPr>
            <w:r w:rsidRPr="00C33202">
              <w:rPr>
                <w:bCs/>
                <w:iCs/>
              </w:rPr>
              <w:t>ИК5</w:t>
            </w:r>
            <w:r w:rsidR="00BD2D1A" w:rsidRPr="00C33202">
              <w:rPr>
                <w:bCs/>
                <w:iCs/>
              </w:rPr>
              <w:t xml:space="preserve">, </w:t>
            </w:r>
            <w:r w:rsidRPr="00C33202">
              <w:rPr>
                <w:bCs/>
                <w:iCs/>
              </w:rPr>
              <w:t>ИК4 и другие группы</w:t>
            </w:r>
          </w:p>
        </w:tc>
      </w:tr>
      <w:tr w:rsidR="004607B2" w:rsidRPr="00C33202" w14:paraId="2762DB60" w14:textId="77777777" w:rsidTr="0073266D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20D10" w14:textId="77777777" w:rsidR="00BD2D1A" w:rsidRPr="00C33202" w:rsidRDefault="004607B2" w:rsidP="004607B2">
            <w:pPr>
              <w:spacing w:after="120"/>
            </w:pPr>
            <w:r w:rsidRPr="00C33202">
              <w:rPr>
                <w:b/>
                <w:bCs/>
                <w:i/>
                <w:iCs/>
              </w:rPr>
              <w:t>Влияние на ресурсы МСЭ, включая финансовые последствия (см. K126)</w:t>
            </w:r>
            <w:r w:rsidRPr="00C33202">
              <w:t xml:space="preserve">: </w:t>
            </w:r>
          </w:p>
          <w:p w14:paraId="410CE967" w14:textId="2581C411" w:rsidR="004607B2" w:rsidRPr="00C33202" w:rsidRDefault="00CE27D3" w:rsidP="004607B2">
            <w:pPr>
              <w:spacing w:after="120"/>
            </w:pPr>
            <w:r w:rsidRPr="00C33202">
              <w:t>Если потребуется выделенная целевая группа для проведения исследований</w:t>
            </w:r>
            <w:r w:rsidR="00042D88" w:rsidRPr="00C33202">
              <w:t>, будет необходим соответствующий бюджет</w:t>
            </w:r>
            <w:r w:rsidR="00BD2D1A" w:rsidRPr="00C33202">
              <w:t>.</w:t>
            </w:r>
          </w:p>
        </w:tc>
      </w:tr>
      <w:tr w:rsidR="004607B2" w:rsidRPr="00C33202" w14:paraId="28E15F98" w14:textId="77777777" w:rsidTr="0073266D"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6CC3E" w14:textId="03E9597B" w:rsidR="004607B2" w:rsidRPr="00C33202" w:rsidRDefault="004607B2" w:rsidP="004607B2">
            <w:pPr>
              <w:spacing w:after="120"/>
            </w:pPr>
            <w:r w:rsidRPr="00C33202">
              <w:rPr>
                <w:b/>
                <w:bCs/>
                <w:i/>
                <w:iCs/>
              </w:rPr>
              <w:t>Общее региональное предложение</w:t>
            </w:r>
            <w:r w:rsidRPr="00C33202">
              <w:t xml:space="preserve">: </w:t>
            </w:r>
            <w:r w:rsidR="00BD2D1A" w:rsidRPr="00C33202">
              <w:t>Да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61C3F" w14:textId="77777777" w:rsidR="004607B2" w:rsidRPr="00C33202" w:rsidRDefault="004607B2" w:rsidP="004607B2">
            <w:pPr>
              <w:spacing w:after="120"/>
            </w:pPr>
            <w:r w:rsidRPr="00C33202">
              <w:rPr>
                <w:b/>
                <w:bCs/>
                <w:i/>
                <w:iCs/>
              </w:rPr>
              <w:t>Предложение группы стран</w:t>
            </w:r>
            <w:r w:rsidRPr="00C33202">
              <w:t>: Нет</w:t>
            </w:r>
          </w:p>
          <w:p w14:paraId="1E867FCB" w14:textId="77777777" w:rsidR="004607B2" w:rsidRPr="00C33202" w:rsidRDefault="004607B2" w:rsidP="004607B2">
            <w:pPr>
              <w:spacing w:after="120"/>
            </w:pPr>
            <w:r w:rsidRPr="00C33202">
              <w:rPr>
                <w:b/>
                <w:bCs/>
                <w:i/>
                <w:iCs/>
              </w:rPr>
              <w:t>Количество стран</w:t>
            </w:r>
            <w:r w:rsidRPr="00C33202">
              <w:t>:</w:t>
            </w:r>
          </w:p>
        </w:tc>
      </w:tr>
      <w:tr w:rsidR="004607B2" w:rsidRPr="00C33202" w14:paraId="1DEEC5C5" w14:textId="77777777" w:rsidTr="0073266D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D23AE" w14:textId="77777777" w:rsidR="004607B2" w:rsidRPr="00C33202" w:rsidRDefault="004607B2" w:rsidP="004607B2">
            <w:pPr>
              <w:spacing w:after="120"/>
            </w:pPr>
            <w:r w:rsidRPr="00C33202">
              <w:rPr>
                <w:b/>
                <w:bCs/>
                <w:i/>
                <w:iCs/>
              </w:rPr>
              <w:t>Примечания</w:t>
            </w:r>
          </w:p>
        </w:tc>
      </w:tr>
    </w:tbl>
    <w:p w14:paraId="36F57234" w14:textId="77777777" w:rsidR="008149CD" w:rsidRPr="00C33202" w:rsidRDefault="008149CD" w:rsidP="008149CD"/>
    <w:p w14:paraId="33CBCF71" w14:textId="77777777" w:rsidR="008149CD" w:rsidRPr="00C33202" w:rsidRDefault="008149CD" w:rsidP="008149CD">
      <w:pPr>
        <w:jc w:val="center"/>
      </w:pPr>
      <w:r w:rsidRPr="00C33202">
        <w:t>______________</w:t>
      </w:r>
    </w:p>
    <w:sectPr w:rsidR="008149CD" w:rsidRPr="00C33202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41035" w14:textId="77777777" w:rsidR="0073266D" w:rsidRDefault="0073266D">
      <w:r>
        <w:separator/>
      </w:r>
    </w:p>
  </w:endnote>
  <w:endnote w:type="continuationSeparator" w:id="0">
    <w:p w14:paraId="571512CC" w14:textId="77777777" w:rsidR="0073266D" w:rsidRDefault="0073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C7E4" w14:textId="77777777" w:rsidR="0073266D" w:rsidRDefault="0073266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B74B9F" w14:textId="2ED0CE9E" w:rsidR="0073266D" w:rsidRDefault="0073266D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A20FD">
      <w:rPr>
        <w:noProof/>
        <w:lang w:val="fr-FR"/>
      </w:rPr>
      <w:t>P:\TRAD\R\ITU-R\CONF-R\CMR19\000\024ADD24ADD03R.docx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33202">
      <w:rPr>
        <w:noProof/>
      </w:rPr>
      <w:t>18.10.19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A20FD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030B" w14:textId="47FE82DF" w:rsidR="0073266D" w:rsidRPr="00121C97" w:rsidRDefault="0073266D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6670AA">
      <w:rPr>
        <w:lang w:val="fr-FR"/>
      </w:rPr>
      <w:t>P:\RUS\ITU-R\CONF-R\CMR19\000\024ADD24ADD03R.docx</w:t>
    </w:r>
    <w:r>
      <w:fldChar w:fldCharType="end"/>
    </w:r>
    <w:r w:rsidRPr="00121C97">
      <w:t xml:space="preserve"> (461092)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B861" w14:textId="1F276E4D" w:rsidR="0073266D" w:rsidRPr="00121C97" w:rsidRDefault="0073266D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6670AA">
      <w:rPr>
        <w:lang w:val="fr-FR"/>
      </w:rPr>
      <w:t>P:\RUS\ITU-R\CONF-R\CMR19\000\024ADD24ADD03R.docx</w:t>
    </w:r>
    <w:r>
      <w:fldChar w:fldCharType="end"/>
    </w:r>
    <w:r w:rsidRPr="00121C97">
      <w:t xml:space="preserve"> (461092)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AA832" w14:textId="77777777" w:rsidR="0073266D" w:rsidRDefault="0073266D">
      <w:r>
        <w:rPr>
          <w:b/>
        </w:rPr>
        <w:t>_______________</w:t>
      </w:r>
    </w:p>
  </w:footnote>
  <w:footnote w:type="continuationSeparator" w:id="0">
    <w:p w14:paraId="71037788" w14:textId="77777777" w:rsidR="0073266D" w:rsidRDefault="0073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535C3" w14:textId="10920624" w:rsidR="0073266D" w:rsidRPr="00434A7C" w:rsidRDefault="0073266D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C33202">
      <w:rPr>
        <w:noProof/>
      </w:rPr>
      <w:t>5</w:t>
    </w:r>
    <w:r>
      <w:fldChar w:fldCharType="end"/>
    </w:r>
  </w:p>
  <w:p w14:paraId="07BC648B" w14:textId="77777777" w:rsidR="0073266D" w:rsidRDefault="0073266D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/24(Add.24)(Add.3)-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42D88"/>
    <w:rsid w:val="00057AB3"/>
    <w:rsid w:val="00074D2C"/>
    <w:rsid w:val="000A0EF3"/>
    <w:rsid w:val="000C3F55"/>
    <w:rsid w:val="000D7EC4"/>
    <w:rsid w:val="000F33D8"/>
    <w:rsid w:val="000F39B4"/>
    <w:rsid w:val="00113D0B"/>
    <w:rsid w:val="00121C97"/>
    <w:rsid w:val="001226EC"/>
    <w:rsid w:val="00123B68"/>
    <w:rsid w:val="00124C09"/>
    <w:rsid w:val="00126F2E"/>
    <w:rsid w:val="001521AE"/>
    <w:rsid w:val="001A20FD"/>
    <w:rsid w:val="001A5585"/>
    <w:rsid w:val="001B5A89"/>
    <w:rsid w:val="001E5FB4"/>
    <w:rsid w:val="00202CA0"/>
    <w:rsid w:val="00230582"/>
    <w:rsid w:val="002449AA"/>
    <w:rsid w:val="00245A1F"/>
    <w:rsid w:val="00263184"/>
    <w:rsid w:val="00290C74"/>
    <w:rsid w:val="00294476"/>
    <w:rsid w:val="002A133E"/>
    <w:rsid w:val="002A2D3F"/>
    <w:rsid w:val="00300F84"/>
    <w:rsid w:val="003258F2"/>
    <w:rsid w:val="00344EB8"/>
    <w:rsid w:val="00346BEC"/>
    <w:rsid w:val="00371E4B"/>
    <w:rsid w:val="003C583C"/>
    <w:rsid w:val="003C77C2"/>
    <w:rsid w:val="003F0078"/>
    <w:rsid w:val="00434A7C"/>
    <w:rsid w:val="0045143A"/>
    <w:rsid w:val="004607B2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358CF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670AA"/>
    <w:rsid w:val="00692C06"/>
    <w:rsid w:val="006A2238"/>
    <w:rsid w:val="006A6E9B"/>
    <w:rsid w:val="006C566A"/>
    <w:rsid w:val="006C6CD1"/>
    <w:rsid w:val="007250A0"/>
    <w:rsid w:val="0073266D"/>
    <w:rsid w:val="00732AD1"/>
    <w:rsid w:val="00751753"/>
    <w:rsid w:val="00763F4F"/>
    <w:rsid w:val="00775720"/>
    <w:rsid w:val="007804B0"/>
    <w:rsid w:val="007917AE"/>
    <w:rsid w:val="007A08B5"/>
    <w:rsid w:val="00811633"/>
    <w:rsid w:val="00812452"/>
    <w:rsid w:val="008149CD"/>
    <w:rsid w:val="00815749"/>
    <w:rsid w:val="008702B2"/>
    <w:rsid w:val="00872FC8"/>
    <w:rsid w:val="00882E6B"/>
    <w:rsid w:val="008B43F2"/>
    <w:rsid w:val="008C3257"/>
    <w:rsid w:val="008C401C"/>
    <w:rsid w:val="008C5B93"/>
    <w:rsid w:val="008C6801"/>
    <w:rsid w:val="008E0554"/>
    <w:rsid w:val="009119CC"/>
    <w:rsid w:val="00917C0A"/>
    <w:rsid w:val="00921357"/>
    <w:rsid w:val="009351EC"/>
    <w:rsid w:val="00941A02"/>
    <w:rsid w:val="009613AA"/>
    <w:rsid w:val="00966C93"/>
    <w:rsid w:val="00987FA4"/>
    <w:rsid w:val="00992416"/>
    <w:rsid w:val="009B5CC2"/>
    <w:rsid w:val="009C26DF"/>
    <w:rsid w:val="009D3D63"/>
    <w:rsid w:val="009E5FC8"/>
    <w:rsid w:val="009F5E62"/>
    <w:rsid w:val="00A117A3"/>
    <w:rsid w:val="00A133A5"/>
    <w:rsid w:val="00A138D0"/>
    <w:rsid w:val="00A141AF"/>
    <w:rsid w:val="00A2044F"/>
    <w:rsid w:val="00A4600A"/>
    <w:rsid w:val="00A52B4E"/>
    <w:rsid w:val="00A57C04"/>
    <w:rsid w:val="00A61057"/>
    <w:rsid w:val="00A710E7"/>
    <w:rsid w:val="00A81026"/>
    <w:rsid w:val="00A97EC0"/>
    <w:rsid w:val="00AC66E6"/>
    <w:rsid w:val="00AE1763"/>
    <w:rsid w:val="00AF721F"/>
    <w:rsid w:val="00B157AA"/>
    <w:rsid w:val="00B24E60"/>
    <w:rsid w:val="00B368BC"/>
    <w:rsid w:val="00B45515"/>
    <w:rsid w:val="00B468A6"/>
    <w:rsid w:val="00B75113"/>
    <w:rsid w:val="00BA13A4"/>
    <w:rsid w:val="00BA1AA1"/>
    <w:rsid w:val="00BA35DC"/>
    <w:rsid w:val="00BA653C"/>
    <w:rsid w:val="00BB43F6"/>
    <w:rsid w:val="00BC5313"/>
    <w:rsid w:val="00BD0D2F"/>
    <w:rsid w:val="00BD1129"/>
    <w:rsid w:val="00BD2D1A"/>
    <w:rsid w:val="00C0572C"/>
    <w:rsid w:val="00C20466"/>
    <w:rsid w:val="00C266F4"/>
    <w:rsid w:val="00C324A8"/>
    <w:rsid w:val="00C33202"/>
    <w:rsid w:val="00C56E7A"/>
    <w:rsid w:val="00C779CE"/>
    <w:rsid w:val="00C916AF"/>
    <w:rsid w:val="00CC47C6"/>
    <w:rsid w:val="00CC4DE6"/>
    <w:rsid w:val="00CC5C67"/>
    <w:rsid w:val="00CE27D3"/>
    <w:rsid w:val="00CE5E47"/>
    <w:rsid w:val="00CF020F"/>
    <w:rsid w:val="00D16D44"/>
    <w:rsid w:val="00D3038D"/>
    <w:rsid w:val="00D53715"/>
    <w:rsid w:val="00DD23C6"/>
    <w:rsid w:val="00DE2510"/>
    <w:rsid w:val="00DE2EBA"/>
    <w:rsid w:val="00E0705A"/>
    <w:rsid w:val="00E2253F"/>
    <w:rsid w:val="00E43E99"/>
    <w:rsid w:val="00E5155F"/>
    <w:rsid w:val="00E65919"/>
    <w:rsid w:val="00E8650D"/>
    <w:rsid w:val="00E976C1"/>
    <w:rsid w:val="00EA0C0C"/>
    <w:rsid w:val="00EB66F7"/>
    <w:rsid w:val="00EC1708"/>
    <w:rsid w:val="00F068C7"/>
    <w:rsid w:val="00F1578A"/>
    <w:rsid w:val="00F20FD5"/>
    <w:rsid w:val="00F21A03"/>
    <w:rsid w:val="00F26B76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2C6A"/>
    <w:rsid w:val="00FE344F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6ADE2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7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R16-WRC19-C-0024!A24-A3!MSW-R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C11786-6856-4414-92B7-3729CBCF4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FC1ED-20E5-473D-9FC4-B9B7C7E1C07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09E40D-E381-45DC-B8E5-CA9A8E879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6E72FD-B44D-4192-AD5F-2994F99FCE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1076</Words>
  <Characters>7751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R16-WRC19-C-0024!A24-A3!MSW-R</vt:lpstr>
    </vt:vector>
  </TitlesOfParts>
  <Manager>General Secretariat - Pool</Manager>
  <Company>International Telecommunication Union (ITU)</Company>
  <LinksUpToDate>false</LinksUpToDate>
  <CharactersWithSpaces>8810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R16-WRC19-C-0024!A24-A3!MSW-R</dc:title>
  <dc:subject>World Radiocommunication Conference - 2019</dc:subject>
  <dc:creator>Documents Proposals Manager (DPM)</dc:creator>
  <cp:keywords>DPM_v2019.9.25.1_prod</cp:keywords>
  <dc:description/>
  <cp:lastModifiedBy>Berdyeva, Elena</cp:lastModifiedBy>
  <cp:revision>7</cp:revision>
  <cp:lastPrinted>2019-10-17T15:49:00Z</cp:lastPrinted>
  <dcterms:created xsi:type="dcterms:W3CDTF">2019-10-17T15:48:00Z</dcterms:created>
  <dcterms:modified xsi:type="dcterms:W3CDTF">2019-10-18T07:45:00Z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