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5CA9F0C7" w14:textId="77777777">
        <w:trPr>
          <w:cantSplit/>
        </w:trPr>
        <w:tc>
          <w:tcPr>
            <w:tcW w:w="6911" w:type="dxa"/>
          </w:tcPr>
          <w:p w14:paraId="0615603D"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7D19AA5F" w14:textId="77777777" w:rsidR="00A066F1" w:rsidRDefault="005F04D8" w:rsidP="003B2284">
            <w:pPr>
              <w:spacing w:before="0" w:line="240" w:lineRule="atLeast"/>
              <w:jc w:val="right"/>
            </w:pPr>
            <w:bookmarkStart w:id="0" w:name="ditulogo"/>
            <w:bookmarkEnd w:id="0"/>
            <w:r>
              <w:rPr>
                <w:noProof/>
                <w:lang w:val="en-US" w:eastAsia="zh-CN"/>
              </w:rPr>
              <w:drawing>
                <wp:inline distT="0" distB="0" distL="0" distR="0" wp14:anchorId="636F8D32" wp14:editId="4988A59C">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0227515B" w14:textId="77777777">
        <w:trPr>
          <w:cantSplit/>
        </w:trPr>
        <w:tc>
          <w:tcPr>
            <w:tcW w:w="6911" w:type="dxa"/>
            <w:tcBorders>
              <w:bottom w:val="single" w:sz="12" w:space="0" w:color="auto"/>
            </w:tcBorders>
          </w:tcPr>
          <w:p w14:paraId="7E86DC47"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16BD95C5" w14:textId="77777777" w:rsidR="00A066F1" w:rsidRPr="00617BE4" w:rsidRDefault="00A066F1" w:rsidP="00A066F1">
            <w:pPr>
              <w:spacing w:before="0" w:line="240" w:lineRule="atLeast"/>
              <w:rPr>
                <w:rFonts w:ascii="Verdana" w:hAnsi="Verdana"/>
                <w:szCs w:val="24"/>
              </w:rPr>
            </w:pPr>
          </w:p>
        </w:tc>
      </w:tr>
      <w:tr w:rsidR="00A066F1" w:rsidRPr="00C324A8" w14:paraId="5BC7554C" w14:textId="77777777">
        <w:trPr>
          <w:cantSplit/>
        </w:trPr>
        <w:tc>
          <w:tcPr>
            <w:tcW w:w="6911" w:type="dxa"/>
            <w:tcBorders>
              <w:top w:val="single" w:sz="12" w:space="0" w:color="auto"/>
            </w:tcBorders>
          </w:tcPr>
          <w:p w14:paraId="3968B8AC"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1816333" w14:textId="77777777" w:rsidR="00A066F1" w:rsidRPr="00C324A8" w:rsidRDefault="00A066F1" w:rsidP="00A066F1">
            <w:pPr>
              <w:spacing w:before="0" w:line="240" w:lineRule="atLeast"/>
              <w:rPr>
                <w:rFonts w:ascii="Verdana" w:hAnsi="Verdana"/>
                <w:sz w:val="20"/>
              </w:rPr>
            </w:pPr>
          </w:p>
        </w:tc>
      </w:tr>
      <w:tr w:rsidR="00A066F1" w:rsidRPr="00C324A8" w14:paraId="175FABDE" w14:textId="77777777">
        <w:trPr>
          <w:cantSplit/>
          <w:trHeight w:val="23"/>
        </w:trPr>
        <w:tc>
          <w:tcPr>
            <w:tcW w:w="6911" w:type="dxa"/>
            <w:shd w:val="clear" w:color="auto" w:fill="auto"/>
          </w:tcPr>
          <w:p w14:paraId="0920202D"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307F1BF1"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3 to</w:t>
            </w:r>
            <w:r>
              <w:rPr>
                <w:rFonts w:ascii="Verdana" w:hAnsi="Verdana"/>
                <w:b/>
                <w:sz w:val="20"/>
              </w:rPr>
              <w:br/>
              <w:t>Document 24(Add.24)</w:t>
            </w:r>
            <w:r w:rsidR="00A066F1" w:rsidRPr="00841216">
              <w:rPr>
                <w:rFonts w:ascii="Verdana" w:hAnsi="Verdana"/>
                <w:b/>
                <w:sz w:val="20"/>
              </w:rPr>
              <w:t>-</w:t>
            </w:r>
            <w:r w:rsidR="005E10C9" w:rsidRPr="00841216">
              <w:rPr>
                <w:rFonts w:ascii="Verdana" w:hAnsi="Verdana"/>
                <w:b/>
                <w:sz w:val="20"/>
              </w:rPr>
              <w:t>E</w:t>
            </w:r>
          </w:p>
        </w:tc>
      </w:tr>
      <w:tr w:rsidR="00A066F1" w:rsidRPr="00C324A8" w14:paraId="42EF53C6" w14:textId="77777777">
        <w:trPr>
          <w:cantSplit/>
          <w:trHeight w:val="23"/>
        </w:trPr>
        <w:tc>
          <w:tcPr>
            <w:tcW w:w="6911" w:type="dxa"/>
            <w:shd w:val="clear" w:color="auto" w:fill="auto"/>
          </w:tcPr>
          <w:p w14:paraId="4C5129C8"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60BCB818"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54A0F155" w14:textId="77777777">
        <w:trPr>
          <w:cantSplit/>
          <w:trHeight w:val="23"/>
        </w:trPr>
        <w:tc>
          <w:tcPr>
            <w:tcW w:w="6911" w:type="dxa"/>
            <w:shd w:val="clear" w:color="auto" w:fill="auto"/>
          </w:tcPr>
          <w:p w14:paraId="726DB1B6"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75478AB3"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54FC04C1" w14:textId="77777777" w:rsidTr="00025864">
        <w:trPr>
          <w:cantSplit/>
          <w:trHeight w:val="23"/>
        </w:trPr>
        <w:tc>
          <w:tcPr>
            <w:tcW w:w="10031" w:type="dxa"/>
            <w:gridSpan w:val="2"/>
            <w:shd w:val="clear" w:color="auto" w:fill="auto"/>
          </w:tcPr>
          <w:p w14:paraId="3D5730E8" w14:textId="77777777" w:rsidR="00A066F1" w:rsidRPr="00C324A8" w:rsidRDefault="00A066F1" w:rsidP="00A066F1">
            <w:pPr>
              <w:tabs>
                <w:tab w:val="left" w:pos="993"/>
              </w:tabs>
              <w:spacing w:before="0"/>
              <w:rPr>
                <w:rFonts w:ascii="Verdana" w:hAnsi="Verdana"/>
                <w:b/>
                <w:sz w:val="20"/>
              </w:rPr>
            </w:pPr>
          </w:p>
        </w:tc>
      </w:tr>
      <w:tr w:rsidR="00E55816" w:rsidRPr="00C324A8" w14:paraId="71E7D1E1" w14:textId="77777777" w:rsidTr="00025864">
        <w:trPr>
          <w:cantSplit/>
          <w:trHeight w:val="23"/>
        </w:trPr>
        <w:tc>
          <w:tcPr>
            <w:tcW w:w="10031" w:type="dxa"/>
            <w:gridSpan w:val="2"/>
            <w:shd w:val="clear" w:color="auto" w:fill="auto"/>
          </w:tcPr>
          <w:p w14:paraId="634F3D19" w14:textId="77777777" w:rsidR="00E55816" w:rsidRDefault="00884D60" w:rsidP="00E55816">
            <w:pPr>
              <w:pStyle w:val="Source"/>
            </w:pPr>
            <w:r>
              <w:t>Asia-Pacific Telecommunity Common Proposals</w:t>
            </w:r>
          </w:p>
        </w:tc>
      </w:tr>
      <w:tr w:rsidR="00E55816" w:rsidRPr="00C324A8" w14:paraId="6AA125F4" w14:textId="77777777" w:rsidTr="00025864">
        <w:trPr>
          <w:cantSplit/>
          <w:trHeight w:val="23"/>
        </w:trPr>
        <w:tc>
          <w:tcPr>
            <w:tcW w:w="10031" w:type="dxa"/>
            <w:gridSpan w:val="2"/>
            <w:shd w:val="clear" w:color="auto" w:fill="auto"/>
          </w:tcPr>
          <w:p w14:paraId="656B90DC" w14:textId="77777777" w:rsidR="00E55816" w:rsidRDefault="007D5320" w:rsidP="00E55816">
            <w:pPr>
              <w:pStyle w:val="Title1"/>
            </w:pPr>
            <w:r>
              <w:t>Proposals for the work of the conference</w:t>
            </w:r>
          </w:p>
        </w:tc>
      </w:tr>
      <w:tr w:rsidR="00E55816" w:rsidRPr="00C324A8" w14:paraId="23292FDC" w14:textId="77777777" w:rsidTr="00025864">
        <w:trPr>
          <w:cantSplit/>
          <w:trHeight w:val="23"/>
        </w:trPr>
        <w:tc>
          <w:tcPr>
            <w:tcW w:w="10031" w:type="dxa"/>
            <w:gridSpan w:val="2"/>
            <w:shd w:val="clear" w:color="auto" w:fill="auto"/>
          </w:tcPr>
          <w:p w14:paraId="433A0045" w14:textId="77777777" w:rsidR="00E55816" w:rsidRDefault="00E55816" w:rsidP="00E55816">
            <w:pPr>
              <w:pStyle w:val="Title2"/>
            </w:pPr>
          </w:p>
        </w:tc>
      </w:tr>
      <w:tr w:rsidR="00A538A6" w:rsidRPr="00C324A8" w14:paraId="5785708F" w14:textId="77777777" w:rsidTr="00025864">
        <w:trPr>
          <w:cantSplit/>
          <w:trHeight w:val="23"/>
        </w:trPr>
        <w:tc>
          <w:tcPr>
            <w:tcW w:w="10031" w:type="dxa"/>
            <w:gridSpan w:val="2"/>
            <w:shd w:val="clear" w:color="auto" w:fill="auto"/>
          </w:tcPr>
          <w:p w14:paraId="7E1DC7C3" w14:textId="77777777" w:rsidR="00A538A6" w:rsidRDefault="004B13CB" w:rsidP="004B13CB">
            <w:pPr>
              <w:pStyle w:val="Agendaitem"/>
            </w:pPr>
            <w:r>
              <w:t xml:space="preserve">Agenda </w:t>
            </w:r>
            <w:r w:rsidRPr="00152435">
              <w:rPr>
                <w:lang w:val="en-GB"/>
              </w:rPr>
              <w:t>item</w:t>
            </w:r>
            <w:r>
              <w:t xml:space="preserve"> 10</w:t>
            </w:r>
          </w:p>
        </w:tc>
      </w:tr>
    </w:tbl>
    <w:bookmarkEnd w:id="6"/>
    <w:bookmarkEnd w:id="7"/>
    <w:p w14:paraId="353C0D5E" w14:textId="77777777" w:rsidR="005118F7" w:rsidRDefault="00C56948" w:rsidP="00167FA6">
      <w:pPr>
        <w:overflowPunct/>
        <w:autoSpaceDE/>
        <w:autoSpaceDN/>
        <w:adjustRightInd/>
        <w:textAlignment w:val="auto"/>
        <w:rPr>
          <w:lang w:val="en-US"/>
        </w:rPr>
      </w:pPr>
      <w:r w:rsidRPr="00656311">
        <w:rPr>
          <w:lang w:val="en-US"/>
        </w:rPr>
        <w:t>10</w:t>
      </w:r>
      <w:r w:rsidRPr="00656311">
        <w:rPr>
          <w:lang w:val="en-US"/>
        </w:rPr>
        <w:tab/>
        <w:t>to recommend to the Council items for inclusion in the agenda for the next WRC, and to give its views on the preliminary agenda for the subsequent conference and on possible agenda items for future conferences, in accordance w</w:t>
      </w:r>
      <w:r>
        <w:rPr>
          <w:lang w:val="en-US"/>
        </w:rPr>
        <w:t>ith Article 7 of the Convention.</w:t>
      </w:r>
    </w:p>
    <w:p w14:paraId="5BD9ACCF" w14:textId="77777777" w:rsidR="0069201D" w:rsidRPr="003F1C8B" w:rsidRDefault="0069201D" w:rsidP="0069201D">
      <w:pPr>
        <w:pStyle w:val="Headingb"/>
        <w:rPr>
          <w:rFonts w:eastAsia="SimSun"/>
          <w:lang w:val="en-US" w:eastAsia="zh-CN"/>
        </w:rPr>
      </w:pPr>
      <w:r w:rsidRPr="003F1C8B">
        <w:rPr>
          <w:rFonts w:eastAsia="SimSun"/>
          <w:lang w:val="en-US" w:eastAsia="zh-CN"/>
        </w:rPr>
        <w:t>Introduction</w:t>
      </w:r>
    </w:p>
    <w:p w14:paraId="48C75CFC" w14:textId="77777777" w:rsidR="0069201D" w:rsidRDefault="0069201D" w:rsidP="0069201D">
      <w:pPr>
        <w:rPr>
          <w:rFonts w:eastAsia="SimSun"/>
          <w:lang w:eastAsia="zh-CN"/>
        </w:rPr>
      </w:pPr>
      <w:r>
        <w:t xml:space="preserve">APT Members examined the proposed new items for inclusion in the agenda of WRC-23 and </w:t>
      </w:r>
      <w:r>
        <w:rPr>
          <w:rFonts w:eastAsia="MS Mincho"/>
          <w:lang w:eastAsia="ja-JP"/>
        </w:rPr>
        <w:t xml:space="preserve">agreed </w:t>
      </w:r>
      <w:r>
        <w:rPr>
          <w:rFonts w:eastAsia="MS Mincho"/>
          <w:kern w:val="2"/>
          <w:lang w:eastAsia="ja-JP"/>
        </w:rPr>
        <w:t xml:space="preserve">to consider identification for IMT in the </w:t>
      </w:r>
      <w:r>
        <w:t xml:space="preserve">7 025-7 125 MHz </w:t>
      </w:r>
      <w:r>
        <w:rPr>
          <w:rFonts w:eastAsia="MS Mincho"/>
          <w:kern w:val="2"/>
          <w:lang w:eastAsia="ja-JP"/>
        </w:rPr>
        <w:t>frequency range</w:t>
      </w:r>
      <w:r>
        <w:rPr>
          <w:rFonts w:eastAsia="SimSun"/>
          <w:color w:val="000000"/>
          <w:lang w:eastAsia="zh-CN"/>
        </w:rPr>
        <w:t>.</w:t>
      </w:r>
      <w:r w:rsidRPr="00B7367F">
        <w:rPr>
          <w:rFonts w:eastAsia="SimSun"/>
          <w:lang w:eastAsia="zh-CN"/>
        </w:rPr>
        <w:t xml:space="preserve"> </w:t>
      </w:r>
    </w:p>
    <w:p w14:paraId="23471CF2" w14:textId="77777777" w:rsidR="0069201D" w:rsidRDefault="0069201D" w:rsidP="0069201D">
      <w:pPr>
        <w:rPr>
          <w:rFonts w:eastAsia="SimSun"/>
          <w:lang w:eastAsia="zh-CN"/>
        </w:rPr>
      </w:pPr>
      <w:r>
        <w:rPr>
          <w:rFonts w:eastAsia="SimSun"/>
          <w:lang w:eastAsia="zh-CN"/>
        </w:rPr>
        <w:t xml:space="preserve">In addition to frequency band </w:t>
      </w:r>
      <w:r>
        <w:t>7 025-7 125 MHz</w:t>
      </w:r>
      <w:r>
        <w:rPr>
          <w:rFonts w:eastAsia="SimSun"/>
          <w:lang w:eastAsia="zh-CN"/>
        </w:rPr>
        <w:t xml:space="preserve">, the frequency band </w:t>
      </w:r>
      <w:r w:rsidRPr="00FD5A7D">
        <w:t>5 925-6 725 MHz</w:t>
      </w:r>
      <w:r>
        <w:rPr>
          <w:rFonts w:eastAsia="SimSun"/>
          <w:lang w:eastAsia="zh-CN"/>
        </w:rPr>
        <w:t xml:space="preserve"> was also considered for which consensus is yet to be reached at this stage.</w:t>
      </w:r>
    </w:p>
    <w:p w14:paraId="434C879B" w14:textId="77777777" w:rsidR="00187BD9" w:rsidRPr="004501D6" w:rsidRDefault="00187BD9" w:rsidP="00187BD9">
      <w:pPr>
        <w:tabs>
          <w:tab w:val="clear" w:pos="1134"/>
          <w:tab w:val="clear" w:pos="1871"/>
          <w:tab w:val="clear" w:pos="2268"/>
        </w:tabs>
        <w:overflowPunct/>
        <w:autoSpaceDE/>
        <w:autoSpaceDN/>
        <w:adjustRightInd/>
        <w:spacing w:before="0"/>
        <w:textAlignment w:val="auto"/>
        <w:rPr>
          <w:lang w:val="en-US"/>
        </w:rPr>
      </w:pPr>
      <w:r w:rsidRPr="004501D6">
        <w:rPr>
          <w:lang w:val="en-US"/>
        </w:rPr>
        <w:br w:type="page"/>
      </w:r>
    </w:p>
    <w:p w14:paraId="5702C2EC" w14:textId="77777777" w:rsidR="000C0EF3" w:rsidRPr="003F1C8B" w:rsidRDefault="000C0EF3" w:rsidP="000C0EF3">
      <w:pPr>
        <w:pStyle w:val="Headingb"/>
        <w:rPr>
          <w:rFonts w:eastAsia="SimSun"/>
          <w:lang w:val="en-US" w:eastAsia="zh-CN"/>
        </w:rPr>
      </w:pPr>
      <w:r w:rsidRPr="003F1C8B">
        <w:rPr>
          <w:rFonts w:eastAsia="SimSun"/>
          <w:lang w:val="en-US" w:eastAsia="zh-CN"/>
        </w:rPr>
        <w:lastRenderedPageBreak/>
        <w:t>Proposal</w:t>
      </w:r>
    </w:p>
    <w:p w14:paraId="69FB2092" w14:textId="721595C2" w:rsidR="0035481A" w:rsidRPr="005B6FD4" w:rsidRDefault="00C56948">
      <w:pPr>
        <w:pStyle w:val="Proposal"/>
      </w:pPr>
      <w:r w:rsidRPr="005B6FD4">
        <w:t>ADD</w:t>
      </w:r>
      <w:r w:rsidRPr="005B6FD4">
        <w:tab/>
        <w:t>ACP/24A24A3/1</w:t>
      </w:r>
    </w:p>
    <w:p w14:paraId="621D6405" w14:textId="77777777" w:rsidR="0035481A" w:rsidRPr="005B6FD4" w:rsidRDefault="00C56948" w:rsidP="00DF2AA5">
      <w:pPr>
        <w:pStyle w:val="ResNo"/>
      </w:pPr>
      <w:r w:rsidRPr="005B6FD4">
        <w:t>Draft New Resolution [ACP-A10-WRC23]</w:t>
      </w:r>
      <w:r w:rsidR="008B346E" w:rsidRPr="005B6FD4">
        <w:t xml:space="preserve"> (WRC-</w:t>
      </w:r>
      <w:r w:rsidR="00DF2AA5" w:rsidRPr="005B6FD4">
        <w:t>1</w:t>
      </w:r>
      <w:r w:rsidR="008B346E" w:rsidRPr="005B6FD4">
        <w:t>9)</w:t>
      </w:r>
    </w:p>
    <w:p w14:paraId="1C92EBA3" w14:textId="77777777" w:rsidR="0035481A" w:rsidRPr="005B6FD4" w:rsidRDefault="0069201D" w:rsidP="0069201D">
      <w:pPr>
        <w:pStyle w:val="Restitle"/>
      </w:pPr>
      <w:bookmarkStart w:id="8" w:name="_Toc319401926"/>
      <w:bookmarkStart w:id="9" w:name="_Toc450048857"/>
      <w:r w:rsidRPr="005B6FD4">
        <w:t>Agenda for the 2023 World Radiocommunication Conference</w:t>
      </w:r>
      <w:bookmarkEnd w:id="8"/>
      <w:bookmarkEnd w:id="9"/>
    </w:p>
    <w:p w14:paraId="4B667B32" w14:textId="77777777" w:rsidR="00C56948" w:rsidRPr="005B6FD4" w:rsidRDefault="00C56948" w:rsidP="00C56948">
      <w:pPr>
        <w:pStyle w:val="Normalaftertitle"/>
      </w:pPr>
      <w:r w:rsidRPr="005B6FD4">
        <w:t>The World Radiocommunication Conference (Sharm el-Sheikh, 2019),</w:t>
      </w:r>
    </w:p>
    <w:p w14:paraId="359102BC" w14:textId="77777777" w:rsidR="0069201D" w:rsidRPr="005B6FD4" w:rsidRDefault="0069201D" w:rsidP="0069201D">
      <w:r w:rsidRPr="005B6FD4">
        <w:t>…</w:t>
      </w:r>
    </w:p>
    <w:p w14:paraId="1722AA69" w14:textId="77777777" w:rsidR="0069201D" w:rsidRPr="005B6FD4" w:rsidRDefault="0069201D" w:rsidP="0069201D">
      <w:r w:rsidRPr="005B6FD4">
        <w:t>1.x</w:t>
      </w:r>
      <w:r w:rsidRPr="005B6FD4">
        <w:tab/>
      </w:r>
      <w:r w:rsidRPr="005B6FD4">
        <w:rPr>
          <w:rFonts w:eastAsia="MS Mincho"/>
          <w:kern w:val="2"/>
          <w:lang w:eastAsia="ja-JP"/>
        </w:rPr>
        <w:t xml:space="preserve">to consider identification for IMT in the </w:t>
      </w:r>
      <w:r w:rsidRPr="005B6FD4">
        <w:t xml:space="preserve">7 025-7 125 MHz </w:t>
      </w:r>
      <w:r w:rsidRPr="005B6FD4">
        <w:rPr>
          <w:rFonts w:eastAsia="MS Mincho"/>
          <w:kern w:val="2"/>
          <w:lang w:eastAsia="ja-JP"/>
        </w:rPr>
        <w:t>frequency range</w:t>
      </w:r>
      <w:r w:rsidRPr="005B6FD4">
        <w:rPr>
          <w:rFonts w:eastAsia="SimSun"/>
          <w:color w:val="000000"/>
          <w:lang w:eastAsia="zh-CN"/>
        </w:rPr>
        <w:t xml:space="preserve"> </w:t>
      </w:r>
      <w:r w:rsidRPr="005B6FD4">
        <w:rPr>
          <w:rFonts w:eastAsia="MS Mincho"/>
          <w:kern w:val="2"/>
          <w:lang w:eastAsia="ja-JP"/>
        </w:rPr>
        <w:t xml:space="preserve">in accordance with Resolution </w:t>
      </w:r>
      <w:r w:rsidRPr="005B6FD4">
        <w:rPr>
          <w:rFonts w:eastAsia="SimSun"/>
          <w:b/>
          <w:bCs/>
          <w:lang w:eastAsia="zh-CN"/>
        </w:rPr>
        <w:t>[ACP</w:t>
      </w:r>
      <w:r w:rsidRPr="005B6FD4">
        <w:rPr>
          <w:rFonts w:eastAsia="SimSun" w:hint="eastAsia"/>
          <w:b/>
          <w:bCs/>
          <w:lang w:eastAsia="zh-CN"/>
        </w:rPr>
        <w:t>-</w:t>
      </w:r>
      <w:r w:rsidRPr="005B6FD4">
        <w:rPr>
          <w:rFonts w:eastAsia="SimSun"/>
          <w:b/>
          <w:bCs/>
          <w:lang w:eastAsia="zh-CN"/>
        </w:rPr>
        <w:t>C10</w:t>
      </w:r>
      <w:r w:rsidRPr="005B6FD4">
        <w:rPr>
          <w:rFonts w:eastAsia="SimSun" w:hint="eastAsia"/>
          <w:b/>
          <w:bCs/>
          <w:lang w:eastAsia="zh-CN"/>
        </w:rPr>
        <w:t>-</w:t>
      </w:r>
      <w:r w:rsidRPr="005B6FD4">
        <w:rPr>
          <w:rFonts w:eastAsia="SimSun"/>
          <w:b/>
          <w:bCs/>
          <w:lang w:eastAsia="zh-CN"/>
        </w:rPr>
        <w:t>IMT]</w:t>
      </w:r>
      <w:r w:rsidR="00DE1018" w:rsidRPr="005B6FD4">
        <w:rPr>
          <w:rFonts w:eastAsia="SimSun"/>
          <w:b/>
          <w:bCs/>
          <w:lang w:eastAsia="zh-CN"/>
        </w:rPr>
        <w:t xml:space="preserve"> (WRC-19)</w:t>
      </w:r>
      <w:r w:rsidRPr="005B6FD4">
        <w:t>;</w:t>
      </w:r>
    </w:p>
    <w:p w14:paraId="27F035E5" w14:textId="77777777" w:rsidR="0069201D" w:rsidRPr="005B6FD4" w:rsidRDefault="0069201D" w:rsidP="0069201D">
      <w:r w:rsidRPr="005B6FD4">
        <w:t>…</w:t>
      </w:r>
    </w:p>
    <w:p w14:paraId="45504B10" w14:textId="4F1201E4" w:rsidR="0035481A" w:rsidRPr="005B6FD4" w:rsidRDefault="00C56948" w:rsidP="0069201D">
      <w:pPr>
        <w:pStyle w:val="Reasons"/>
      </w:pPr>
      <w:r w:rsidRPr="005B6FD4">
        <w:rPr>
          <w:b/>
          <w:bCs/>
        </w:rPr>
        <w:t>Reasons:</w:t>
      </w:r>
      <w:r w:rsidRPr="005B6FD4">
        <w:tab/>
      </w:r>
      <w:r w:rsidR="0069201D" w:rsidRPr="005B6FD4">
        <w:t>Proposal for a new WRC-23 agenda item to consider IMT identification in the 7 025-7</w:t>
      </w:r>
      <w:r w:rsidR="00152435">
        <w:t> </w:t>
      </w:r>
      <w:r w:rsidR="0069201D" w:rsidRPr="005B6FD4">
        <w:t>125</w:t>
      </w:r>
      <w:r w:rsidR="00152435">
        <w:t> </w:t>
      </w:r>
      <w:r w:rsidR="0069201D" w:rsidRPr="005B6FD4">
        <w:t>MHz frequency range</w:t>
      </w:r>
      <w:r w:rsidR="0069201D" w:rsidRPr="005B6FD4">
        <w:rPr>
          <w:rFonts w:eastAsia="MS Mincho"/>
        </w:rPr>
        <w:t>.</w:t>
      </w:r>
    </w:p>
    <w:p w14:paraId="345C797C" w14:textId="77777777" w:rsidR="0035481A" w:rsidRPr="005B6FD4" w:rsidRDefault="00C56948">
      <w:pPr>
        <w:pStyle w:val="Proposal"/>
      </w:pPr>
      <w:r w:rsidRPr="005B6FD4">
        <w:t>ADD</w:t>
      </w:r>
      <w:r w:rsidRPr="005B6FD4">
        <w:tab/>
        <w:t>ACP/24A24A3/2</w:t>
      </w:r>
    </w:p>
    <w:p w14:paraId="5AAD4743" w14:textId="77777777" w:rsidR="0035481A" w:rsidRPr="005B6FD4" w:rsidRDefault="00C56948">
      <w:pPr>
        <w:pStyle w:val="ResNo"/>
      </w:pPr>
      <w:r w:rsidRPr="005B6FD4">
        <w:t>Draft New Resolution [ACP-C10-IMT]</w:t>
      </w:r>
      <w:r w:rsidR="008B346E" w:rsidRPr="005B6FD4">
        <w:t xml:space="preserve"> (WRC-</w:t>
      </w:r>
      <w:r w:rsidR="00DF2AA5" w:rsidRPr="005B6FD4">
        <w:t>1</w:t>
      </w:r>
      <w:r w:rsidR="008B346E" w:rsidRPr="005B6FD4">
        <w:t>9)</w:t>
      </w:r>
    </w:p>
    <w:p w14:paraId="4493BE8A" w14:textId="77777777" w:rsidR="0035481A" w:rsidRPr="005B6FD4" w:rsidRDefault="0069201D" w:rsidP="0069201D">
      <w:pPr>
        <w:pStyle w:val="Restitle"/>
      </w:pPr>
      <w:r w:rsidRPr="005B6FD4">
        <w:rPr>
          <w:rFonts w:ascii="Times New Roman"/>
        </w:rPr>
        <w:t xml:space="preserve">Studies on frequency-related matters for identification of International Mobile Telecommunications in the </w:t>
      </w:r>
      <w:r w:rsidRPr="005B6FD4">
        <w:t>7 025-7 125 MHz</w:t>
      </w:r>
      <w:r w:rsidRPr="005B6FD4">
        <w:rPr>
          <w:rFonts w:ascii="Times New Roman"/>
        </w:rPr>
        <w:t xml:space="preserve"> frequency range, or parts thereof, for the future development of International Mobile Telecommunications</w:t>
      </w:r>
    </w:p>
    <w:p w14:paraId="73018EDE" w14:textId="77777777" w:rsidR="0069201D" w:rsidRPr="005B6FD4" w:rsidRDefault="0069201D" w:rsidP="0069201D">
      <w:pPr>
        <w:pStyle w:val="Normalaftertitle"/>
        <w:rPr>
          <w:rFonts w:eastAsia="MS Mincho"/>
        </w:rPr>
      </w:pPr>
      <w:r w:rsidRPr="005B6FD4">
        <w:rPr>
          <w:rFonts w:eastAsia="MS Mincho"/>
        </w:rPr>
        <w:t>The World Radiocommunication Conference (Sharm el-Sheikh, 2019),</w:t>
      </w:r>
    </w:p>
    <w:p w14:paraId="1DD2D994" w14:textId="77777777" w:rsidR="0069201D" w:rsidRPr="005B6FD4" w:rsidRDefault="0069201D" w:rsidP="0069201D">
      <w:pPr>
        <w:pStyle w:val="Call"/>
        <w:rPr>
          <w:rFonts w:eastAsia="MS Mincho"/>
          <w:lang w:eastAsia="ja-JP"/>
        </w:rPr>
      </w:pPr>
      <w:r w:rsidRPr="005B6FD4">
        <w:rPr>
          <w:rFonts w:eastAsia="MS Mincho"/>
          <w:lang w:eastAsia="ja-JP"/>
        </w:rPr>
        <w:t>considering</w:t>
      </w:r>
    </w:p>
    <w:p w14:paraId="3CF1D137" w14:textId="77777777" w:rsidR="0069201D" w:rsidRPr="005B6FD4" w:rsidRDefault="0069201D" w:rsidP="0069201D">
      <w:pPr>
        <w:rPr>
          <w:rFonts w:eastAsia="SimSun"/>
          <w:lang w:eastAsia="zh-CN"/>
        </w:rPr>
      </w:pPr>
      <w:r w:rsidRPr="005B6FD4">
        <w:rPr>
          <w:rFonts w:eastAsia="SimSun"/>
          <w:i/>
          <w:lang w:eastAsia="zh-CN"/>
        </w:rPr>
        <w:t>a)</w:t>
      </w:r>
      <w:r w:rsidRPr="005B6FD4">
        <w:rPr>
          <w:rFonts w:eastAsia="SimSun"/>
          <w:lang w:eastAsia="zh-CN"/>
        </w:rPr>
        <w:tab/>
      </w:r>
      <w:r w:rsidRPr="005B6FD4">
        <w:rPr>
          <w:rFonts w:eastAsia="SimSun" w:hint="eastAsia"/>
          <w:lang w:eastAsia="zh-CN"/>
        </w:rPr>
        <w:t>t</w:t>
      </w:r>
      <w:r w:rsidRPr="005B6FD4">
        <w:rPr>
          <w:rFonts w:eastAsia="MS Mincho"/>
        </w:rPr>
        <w:t>hat</w:t>
      </w:r>
      <w:r w:rsidRPr="005B6FD4">
        <w:rPr>
          <w:rFonts w:eastAsia="SimSun" w:hint="eastAsia"/>
          <w:lang w:eastAsia="zh-CN"/>
        </w:rPr>
        <w:t xml:space="preserve"> </w:t>
      </w:r>
      <w:r w:rsidRPr="005B6FD4">
        <w:rPr>
          <w:rFonts w:eastAsia="SimSun"/>
          <w:lang w:eastAsia="zh-CN"/>
        </w:rPr>
        <w:t>International Mobile Telecommunications (</w:t>
      </w:r>
      <w:r w:rsidRPr="005B6FD4">
        <w:rPr>
          <w:rFonts w:eastAsia="MS Mincho"/>
        </w:rPr>
        <w:t>IMT) is key to providing broadband wireless connectivity on a worldwide scale and contributing to global economic growth and social development</w:t>
      </w:r>
      <w:r w:rsidRPr="005B6FD4">
        <w:rPr>
          <w:rFonts w:eastAsia="MS Mincho" w:hint="eastAsia"/>
        </w:rPr>
        <w:t>;</w:t>
      </w:r>
    </w:p>
    <w:p w14:paraId="23F40BA4" w14:textId="77777777" w:rsidR="0069201D" w:rsidRPr="005B6FD4" w:rsidRDefault="0069201D" w:rsidP="0069201D">
      <w:pPr>
        <w:rPr>
          <w:rFonts w:eastAsia="SimSun"/>
          <w:lang w:eastAsia="zh-CN"/>
        </w:rPr>
      </w:pPr>
      <w:r w:rsidRPr="005B6FD4">
        <w:rPr>
          <w:rFonts w:eastAsia="SimSun"/>
          <w:i/>
          <w:lang w:eastAsia="zh-CN"/>
        </w:rPr>
        <w:t>b)</w:t>
      </w:r>
      <w:r w:rsidRPr="005B6FD4">
        <w:rPr>
          <w:rFonts w:eastAsia="SimSun"/>
          <w:lang w:eastAsia="zh-CN"/>
        </w:rPr>
        <w:tab/>
      </w:r>
      <w:r w:rsidRPr="005B6FD4">
        <w:rPr>
          <w:rFonts w:eastAsia="SimSun" w:hint="eastAsia"/>
          <w:lang w:eastAsia="zh-CN"/>
        </w:rPr>
        <w:t>t</w:t>
      </w:r>
      <w:r w:rsidRPr="005B6FD4">
        <w:rPr>
          <w:rFonts w:eastAsia="MS Mincho"/>
        </w:rPr>
        <w:t>hat</w:t>
      </w:r>
      <w:r w:rsidRPr="005B6FD4">
        <w:rPr>
          <w:rFonts w:eastAsia="SimSun" w:hint="eastAsia"/>
          <w:lang w:eastAsia="zh-CN"/>
        </w:rPr>
        <w:t xml:space="preserve"> </w:t>
      </w:r>
      <w:r w:rsidRPr="005B6FD4">
        <w:rPr>
          <w:rFonts w:eastAsia="SimSun"/>
          <w:lang w:eastAsia="zh-CN"/>
        </w:rPr>
        <w:t xml:space="preserve">there is </w:t>
      </w:r>
      <w:r w:rsidRPr="005B6FD4">
        <w:rPr>
          <w:rFonts w:eastAsia="SimSun" w:hint="eastAsia"/>
          <w:lang w:eastAsia="zh-CN"/>
        </w:rPr>
        <w:t>c</w:t>
      </w:r>
      <w:r w:rsidRPr="005B6FD4">
        <w:rPr>
          <w:rFonts w:eastAsia="SimSun"/>
          <w:lang w:eastAsia="zh-CN"/>
        </w:rPr>
        <w:t>ontinuous growth of mobile data traffic in all countries</w:t>
      </w:r>
      <w:r w:rsidRPr="005B6FD4">
        <w:rPr>
          <w:rFonts w:eastAsia="SimSun" w:hint="eastAsia"/>
          <w:lang w:eastAsia="zh-CN"/>
        </w:rPr>
        <w:t>;</w:t>
      </w:r>
    </w:p>
    <w:p w14:paraId="646F5231" w14:textId="77777777" w:rsidR="0069201D" w:rsidRPr="005B6FD4" w:rsidRDefault="0069201D" w:rsidP="0069201D">
      <w:pPr>
        <w:rPr>
          <w:rFonts w:eastAsia="SimSun"/>
          <w:lang w:eastAsia="zh-CN"/>
        </w:rPr>
      </w:pPr>
      <w:r w:rsidRPr="005B6FD4">
        <w:rPr>
          <w:rFonts w:eastAsia="SimSun"/>
          <w:i/>
          <w:lang w:eastAsia="zh-CN"/>
        </w:rPr>
        <w:t>c)</w:t>
      </w:r>
      <w:r w:rsidRPr="005B6FD4">
        <w:rPr>
          <w:rFonts w:eastAsia="SimSun"/>
          <w:lang w:eastAsia="zh-CN"/>
        </w:rPr>
        <w:tab/>
      </w:r>
      <w:r w:rsidRPr="005B6FD4">
        <w:rPr>
          <w:rFonts w:eastAsia="SimSun" w:hint="eastAsia"/>
          <w:lang w:eastAsia="zh-CN"/>
        </w:rPr>
        <w:t>t</w:t>
      </w:r>
      <w:r w:rsidRPr="005B6FD4">
        <w:rPr>
          <w:rFonts w:eastAsia="MS Mincho"/>
        </w:rPr>
        <w:t>hat</w:t>
      </w:r>
      <w:r w:rsidRPr="005B6FD4">
        <w:rPr>
          <w:rFonts w:eastAsia="SimSun" w:hint="eastAsia"/>
          <w:lang w:eastAsia="zh-CN"/>
        </w:rPr>
        <w:t xml:space="preserve"> </w:t>
      </w:r>
      <w:r w:rsidRPr="005B6FD4">
        <w:rPr>
          <w:rFonts w:eastAsia="SimSun"/>
          <w:lang w:eastAsia="zh-CN"/>
        </w:rPr>
        <w:t xml:space="preserve">the assignment of contiguous </w:t>
      </w:r>
      <w:r w:rsidRPr="005B6FD4">
        <w:rPr>
          <w:rFonts w:eastAsia="SimSun" w:hint="eastAsia"/>
          <w:lang w:eastAsia="zh-CN"/>
        </w:rPr>
        <w:t>wide</w:t>
      </w:r>
      <w:r w:rsidRPr="005B6FD4">
        <w:rPr>
          <w:rFonts w:eastAsia="SimSun"/>
          <w:lang w:eastAsia="zh-CN"/>
        </w:rPr>
        <w:t xml:space="preserve"> spectrum bandwidth reduces system complexity associated with carrier aggregation, which will improve energy efﬁciency and reduce network cost</w:t>
      </w:r>
      <w:r w:rsidRPr="005B6FD4">
        <w:rPr>
          <w:rFonts w:eastAsia="SimSun" w:hint="eastAsia"/>
          <w:lang w:eastAsia="zh-CN"/>
        </w:rPr>
        <w:t>;</w:t>
      </w:r>
    </w:p>
    <w:p w14:paraId="1DB103CF" w14:textId="77777777" w:rsidR="0069201D" w:rsidRPr="005B6FD4" w:rsidRDefault="0069201D" w:rsidP="0069201D">
      <w:pPr>
        <w:rPr>
          <w:rFonts w:eastAsia="SimSun"/>
          <w:lang w:eastAsia="zh-CN"/>
        </w:rPr>
      </w:pPr>
      <w:r w:rsidRPr="005B6FD4">
        <w:rPr>
          <w:rFonts w:eastAsia="SimSun"/>
          <w:i/>
          <w:lang w:eastAsia="zh-CN"/>
        </w:rPr>
        <w:t>d)</w:t>
      </w:r>
      <w:r w:rsidRPr="005B6FD4">
        <w:rPr>
          <w:rFonts w:eastAsia="SimSun"/>
          <w:lang w:eastAsia="zh-CN"/>
        </w:rPr>
        <w:tab/>
      </w:r>
      <w:r w:rsidRPr="005B6FD4">
        <w:rPr>
          <w:rFonts w:eastAsia="SimSun" w:hint="eastAsia"/>
          <w:lang w:eastAsia="zh-CN"/>
        </w:rPr>
        <w:t>t</w:t>
      </w:r>
      <w:r w:rsidRPr="005B6FD4">
        <w:rPr>
          <w:rFonts w:eastAsia="MS Mincho"/>
        </w:rPr>
        <w:t>hat</w:t>
      </w:r>
      <w:r w:rsidRPr="005B6FD4">
        <w:rPr>
          <w:rFonts w:eastAsia="SimSun" w:hint="eastAsia"/>
          <w:lang w:eastAsia="zh-CN"/>
        </w:rPr>
        <w:t xml:space="preserve"> a</w:t>
      </w:r>
      <w:r w:rsidRPr="005B6FD4">
        <w:rPr>
          <w:rFonts w:eastAsia="SimSun"/>
          <w:lang w:eastAsia="zh-CN"/>
        </w:rPr>
        <w:t>dequate and timely availability of spectrum and corresponding regulatory provisions are essential to support the future development of IMT;</w:t>
      </w:r>
    </w:p>
    <w:p w14:paraId="2AEBE628" w14:textId="77777777" w:rsidR="0069201D" w:rsidRPr="005B6FD4" w:rsidRDefault="0069201D" w:rsidP="0069201D">
      <w:pPr>
        <w:rPr>
          <w:rFonts w:eastAsia="SimSun"/>
          <w:lang w:eastAsia="zh-CN"/>
        </w:rPr>
      </w:pPr>
      <w:r w:rsidRPr="005B6FD4">
        <w:rPr>
          <w:rFonts w:eastAsia="SimSun"/>
          <w:i/>
          <w:lang w:eastAsia="zh-CN"/>
        </w:rPr>
        <w:t>e)</w:t>
      </w:r>
      <w:r w:rsidRPr="005B6FD4">
        <w:rPr>
          <w:rFonts w:eastAsia="SimSun"/>
          <w:lang w:eastAsia="zh-CN"/>
        </w:rPr>
        <w:tab/>
      </w:r>
      <w:r w:rsidRPr="005B6FD4">
        <w:rPr>
          <w:rFonts w:eastAsia="SimSun" w:hint="eastAsia"/>
          <w:lang w:eastAsia="zh-CN"/>
        </w:rPr>
        <w:t>t</w:t>
      </w:r>
      <w:r w:rsidRPr="005B6FD4">
        <w:rPr>
          <w:rFonts w:eastAsia="MS Mincho"/>
        </w:rPr>
        <w:t>hat</w:t>
      </w:r>
      <w:r w:rsidRPr="005B6FD4">
        <w:rPr>
          <w:rFonts w:eastAsia="SimSun" w:hint="eastAsia"/>
          <w:lang w:eastAsia="zh-CN"/>
        </w:rPr>
        <w:t xml:space="preserve"> </w:t>
      </w:r>
      <w:r w:rsidRPr="005B6FD4">
        <w:rPr>
          <w:rFonts w:eastAsia="SimSun"/>
          <w:lang w:eastAsia="zh-CN"/>
        </w:rPr>
        <w:t>protection of incumbent services from future IMT systems is to be ensured taking into account current usage and future development of the incumbent services without imposing additional constraints</w:t>
      </w:r>
      <w:r w:rsidR="006E1687" w:rsidRPr="005B6FD4">
        <w:rPr>
          <w:rFonts w:eastAsia="SimSun"/>
          <w:lang w:eastAsia="zh-CN"/>
        </w:rPr>
        <w:t>,</w:t>
      </w:r>
    </w:p>
    <w:p w14:paraId="36E94AB9" w14:textId="77777777" w:rsidR="0069201D" w:rsidRPr="005B6FD4" w:rsidRDefault="0069201D" w:rsidP="0069201D">
      <w:pPr>
        <w:pStyle w:val="Call"/>
        <w:rPr>
          <w:rFonts w:eastAsia="MS Mincho"/>
          <w:lang w:eastAsia="ja-JP"/>
        </w:rPr>
      </w:pPr>
      <w:r w:rsidRPr="005B6FD4">
        <w:rPr>
          <w:rFonts w:eastAsia="MS Mincho"/>
          <w:lang w:eastAsia="ja-JP"/>
        </w:rPr>
        <w:t>recognizing</w:t>
      </w:r>
    </w:p>
    <w:p w14:paraId="2EE46BE8" w14:textId="77777777" w:rsidR="0069201D" w:rsidRPr="005B6FD4" w:rsidRDefault="0069201D" w:rsidP="0069201D">
      <w:pPr>
        <w:rPr>
          <w:rFonts w:eastAsia="SimSun"/>
          <w:lang w:eastAsia="zh-CN"/>
        </w:rPr>
      </w:pPr>
      <w:r w:rsidRPr="005B6FD4">
        <w:rPr>
          <w:rFonts w:eastAsia="SimSun"/>
          <w:i/>
          <w:lang w:eastAsia="zh-CN"/>
        </w:rPr>
        <w:t>a)</w:t>
      </w:r>
      <w:r w:rsidRPr="005B6FD4">
        <w:rPr>
          <w:rFonts w:eastAsia="SimSun"/>
          <w:lang w:eastAsia="zh-CN"/>
        </w:rPr>
        <w:tab/>
        <w:t>that to realize global roaming and seize the benefits of cost-effective deployment of IMT system, it is necessary to achieve global/regional spectrum harmonization for IMT;</w:t>
      </w:r>
      <w:bookmarkStart w:id="10" w:name="OLE_LINK90"/>
      <w:bookmarkStart w:id="11" w:name="OLE_LINK91"/>
    </w:p>
    <w:p w14:paraId="0C0C6ED0" w14:textId="77777777" w:rsidR="0069201D" w:rsidRPr="005B6FD4" w:rsidRDefault="0069201D" w:rsidP="0069201D">
      <w:pPr>
        <w:rPr>
          <w:rFonts w:eastAsia="SimSun"/>
          <w:lang w:eastAsia="zh-CN"/>
        </w:rPr>
      </w:pPr>
      <w:r w:rsidRPr="005B6FD4">
        <w:rPr>
          <w:rFonts w:eastAsia="SimSun"/>
          <w:i/>
          <w:lang w:eastAsia="zh-CN"/>
        </w:rPr>
        <w:lastRenderedPageBreak/>
        <w:t>b)</w:t>
      </w:r>
      <w:r w:rsidRPr="005B6FD4">
        <w:rPr>
          <w:rFonts w:eastAsia="SimSun"/>
          <w:lang w:eastAsia="zh-CN"/>
        </w:rPr>
        <w:tab/>
      </w:r>
      <w:r w:rsidRPr="005B6FD4">
        <w:rPr>
          <w:rFonts w:eastAsia="SimSun" w:hint="eastAsia"/>
          <w:lang w:eastAsia="zh-CN"/>
        </w:rPr>
        <w:t xml:space="preserve">that </w:t>
      </w:r>
      <w:r w:rsidRPr="005B6FD4">
        <w:rPr>
          <w:rFonts w:eastAsia="SimSun"/>
          <w:lang w:eastAsia="zh-CN"/>
        </w:rPr>
        <w:t>incumbent services are already using parts of this 5 925-7 125 MHz frequency range and these services and future development require appropriate protection that involve substa</w:t>
      </w:r>
      <w:r w:rsidR="006E1687" w:rsidRPr="005B6FD4">
        <w:rPr>
          <w:rFonts w:eastAsia="SimSun"/>
          <w:lang w:eastAsia="zh-CN"/>
        </w:rPr>
        <w:t>ntial infrastructure investment,</w:t>
      </w:r>
    </w:p>
    <w:bookmarkEnd w:id="10"/>
    <w:bookmarkEnd w:id="11"/>
    <w:p w14:paraId="5403D8A2" w14:textId="77777777" w:rsidR="0069201D" w:rsidRPr="005B6FD4" w:rsidRDefault="0069201D" w:rsidP="0069201D">
      <w:pPr>
        <w:pStyle w:val="Call"/>
        <w:rPr>
          <w:rFonts w:eastAsia="SimSun"/>
          <w:lang w:eastAsia="zh-CN"/>
        </w:rPr>
      </w:pPr>
      <w:r w:rsidRPr="005B6FD4">
        <w:rPr>
          <w:rFonts w:eastAsiaTheme="minorEastAsia"/>
        </w:rPr>
        <w:t>noting</w:t>
      </w:r>
    </w:p>
    <w:p w14:paraId="329AAC19" w14:textId="00DF6E42" w:rsidR="0069201D" w:rsidRPr="005B6FD4" w:rsidRDefault="0069201D" w:rsidP="0069201D">
      <w:pPr>
        <w:rPr>
          <w:rFonts w:eastAsia="SimSun"/>
          <w:lang w:eastAsia="zh-CN"/>
        </w:rPr>
      </w:pPr>
      <w:r w:rsidRPr="005B6FD4">
        <w:rPr>
          <w:rFonts w:eastAsia="SimSun" w:hint="eastAsia"/>
          <w:lang w:eastAsia="zh-CN"/>
        </w:rPr>
        <w:t>that c</w:t>
      </w:r>
      <w:r w:rsidRPr="005B6FD4">
        <w:rPr>
          <w:rFonts w:eastAsia="SimSun"/>
          <w:lang w:eastAsia="zh-CN"/>
        </w:rPr>
        <w:t xml:space="preserve">ompared with the low and high frequency bands, the 7 GHz frequency range </w:t>
      </w:r>
      <w:r w:rsidRPr="005B6FD4">
        <w:rPr>
          <w:rFonts w:eastAsia="SimSun" w:hint="eastAsia"/>
          <w:lang w:eastAsia="zh-CN"/>
        </w:rPr>
        <w:t xml:space="preserve">can </w:t>
      </w:r>
      <w:r w:rsidRPr="005B6FD4">
        <w:rPr>
          <w:rFonts w:eastAsia="SimSun"/>
          <w:lang w:eastAsia="zh-CN"/>
        </w:rPr>
        <w:t>provide better balance for meeting needs</w:t>
      </w:r>
      <w:r w:rsidR="006E1687" w:rsidRPr="005B6FD4">
        <w:rPr>
          <w:rFonts w:eastAsia="SimSun"/>
          <w:lang w:eastAsia="zh-CN"/>
        </w:rPr>
        <w:t xml:space="preserve"> for both coverage and capacity,</w:t>
      </w:r>
    </w:p>
    <w:p w14:paraId="72C90E79" w14:textId="77777777" w:rsidR="0069201D" w:rsidRPr="005B6FD4" w:rsidRDefault="0069201D" w:rsidP="0069201D">
      <w:pPr>
        <w:pStyle w:val="Call"/>
        <w:rPr>
          <w:rFonts w:eastAsia="SimSun"/>
          <w:lang w:eastAsia="zh-CN"/>
        </w:rPr>
      </w:pPr>
      <w:r w:rsidRPr="005B6FD4">
        <w:rPr>
          <w:rFonts w:eastAsia="BatangChe"/>
          <w:lang w:val="en-US"/>
        </w:rPr>
        <w:t>resolves to invite the 2023 World Radiocommunication Conference</w:t>
      </w:r>
    </w:p>
    <w:p w14:paraId="263D3E88" w14:textId="7F2A648E" w:rsidR="0069201D" w:rsidRPr="005B6FD4" w:rsidRDefault="0069201D" w:rsidP="0069201D">
      <w:pPr>
        <w:rPr>
          <w:rFonts w:eastAsia="SimSun"/>
          <w:lang w:eastAsia="zh-CN"/>
        </w:rPr>
      </w:pPr>
      <w:r w:rsidRPr="005B6FD4">
        <w:rPr>
          <w:rFonts w:eastAsiaTheme="minorEastAsia"/>
        </w:rPr>
        <w:t xml:space="preserve">to consider, based on the results of ITU-R studies referred to in </w:t>
      </w:r>
      <w:r w:rsidRPr="005B6FD4">
        <w:rPr>
          <w:rFonts w:eastAsiaTheme="minorEastAsia"/>
          <w:i/>
          <w:iCs/>
        </w:rPr>
        <w:t>resolves to</w:t>
      </w:r>
      <w:r w:rsidRPr="005B6FD4">
        <w:rPr>
          <w:rFonts w:eastAsiaTheme="minorEastAsia"/>
        </w:rPr>
        <w:t xml:space="preserve"> </w:t>
      </w:r>
      <w:r w:rsidRPr="005B6FD4">
        <w:rPr>
          <w:rFonts w:eastAsiaTheme="minorEastAsia"/>
          <w:i/>
          <w:iCs/>
        </w:rPr>
        <w:t>invite ITU-R</w:t>
      </w:r>
      <w:r w:rsidRPr="005B6FD4">
        <w:rPr>
          <w:rFonts w:eastAsiaTheme="minorEastAsia"/>
        </w:rPr>
        <w:t xml:space="preserve"> below, identification for the terrestrial component of IMT in the 7 025-7 125 MHz frequency range</w:t>
      </w:r>
      <w:r w:rsidRPr="005B6FD4">
        <w:rPr>
          <w:rFonts w:eastAsia="SimSun"/>
          <w:color w:val="000000"/>
          <w:lang w:eastAsia="zh-CN"/>
        </w:rPr>
        <w:t xml:space="preserve"> taking into account </w:t>
      </w:r>
      <w:r w:rsidRPr="005B6FD4">
        <w:rPr>
          <w:rFonts w:eastAsia="SimSun"/>
          <w:i/>
          <w:iCs/>
          <w:color w:val="000000"/>
          <w:lang w:eastAsia="zh-CN"/>
        </w:rPr>
        <w:t>recognizing b)</w:t>
      </w:r>
      <w:r w:rsidRPr="005B6FD4">
        <w:rPr>
          <w:rFonts w:eastAsia="SimSun"/>
          <w:color w:val="000000"/>
          <w:lang w:eastAsia="zh-CN"/>
        </w:rPr>
        <w:t xml:space="preserve"> above</w:t>
      </w:r>
      <w:r w:rsidR="006E1687" w:rsidRPr="005B6FD4">
        <w:rPr>
          <w:rFonts w:eastAsia="SimSun"/>
          <w:color w:val="000000"/>
          <w:lang w:eastAsia="zh-CN"/>
        </w:rPr>
        <w:t>,</w:t>
      </w:r>
    </w:p>
    <w:p w14:paraId="1694A394" w14:textId="77777777" w:rsidR="0069201D" w:rsidRPr="005B6FD4" w:rsidRDefault="0069201D" w:rsidP="0069201D">
      <w:pPr>
        <w:pStyle w:val="Call"/>
        <w:rPr>
          <w:rFonts w:eastAsia="SimSun"/>
          <w:sz w:val="32"/>
          <w:szCs w:val="32"/>
          <w:lang w:eastAsia="zh-CN"/>
        </w:rPr>
      </w:pPr>
      <w:r w:rsidRPr="005B6FD4">
        <w:rPr>
          <w:rFonts w:eastAsiaTheme="minorEastAsia"/>
        </w:rPr>
        <w:t>resolves to invite ITU</w:t>
      </w:r>
      <w:r w:rsidRPr="005B6FD4">
        <w:rPr>
          <w:rFonts w:eastAsiaTheme="minorEastAsia"/>
        </w:rPr>
        <w:noBreakHyphen/>
        <w:t>R</w:t>
      </w:r>
    </w:p>
    <w:p w14:paraId="5F5412C5" w14:textId="77777777" w:rsidR="0069201D" w:rsidRPr="005B6FD4" w:rsidRDefault="0069201D" w:rsidP="0069201D">
      <w:pPr>
        <w:rPr>
          <w:rFonts w:eastAsia="SimSun"/>
          <w:lang w:eastAsia="zh-CN"/>
        </w:rPr>
      </w:pPr>
      <w:r w:rsidRPr="005B6FD4">
        <w:rPr>
          <w:lang w:eastAsia="zh-CN"/>
        </w:rPr>
        <w:t>1</w:t>
      </w:r>
      <w:r w:rsidRPr="005B6FD4">
        <w:rPr>
          <w:lang w:eastAsia="zh-CN"/>
        </w:rPr>
        <w:tab/>
      </w:r>
      <w:r w:rsidRPr="005B6FD4">
        <w:rPr>
          <w:rFonts w:eastAsia="SimSun"/>
          <w:lang w:eastAsia="zh-CN"/>
        </w:rPr>
        <w:t>to study additional spectrum needs associated with the capabilities required for terrestrial component of IMT, taking into account:</w:t>
      </w:r>
    </w:p>
    <w:p w14:paraId="3760FDA3" w14:textId="77777777" w:rsidR="0069201D" w:rsidRPr="005B6FD4" w:rsidRDefault="0069201D" w:rsidP="00152435">
      <w:pPr>
        <w:pStyle w:val="enumlev1"/>
        <w:rPr>
          <w:rFonts w:eastAsia="SimSun"/>
        </w:rPr>
      </w:pPr>
      <w:r w:rsidRPr="005B6FD4">
        <w:rPr>
          <w:rFonts w:eastAsia="SimSun"/>
        </w:rPr>
        <w:t>–</w:t>
      </w:r>
      <w:r w:rsidRPr="005B6FD4">
        <w:rPr>
          <w:rFonts w:eastAsia="SimSun"/>
        </w:rPr>
        <w:tab/>
        <w:t>evolving needs to meet emerging demands for IMT;</w:t>
      </w:r>
    </w:p>
    <w:p w14:paraId="1EEF298A" w14:textId="77777777" w:rsidR="0069201D" w:rsidRPr="005B6FD4" w:rsidRDefault="0069201D" w:rsidP="00152435">
      <w:pPr>
        <w:pStyle w:val="enumlev1"/>
        <w:rPr>
          <w:rFonts w:eastAsia="SimSun"/>
        </w:rPr>
      </w:pPr>
      <w:r w:rsidRPr="005B6FD4">
        <w:rPr>
          <w:rFonts w:eastAsia="SimSun"/>
        </w:rPr>
        <w:t>–</w:t>
      </w:r>
      <w:r w:rsidRPr="005B6FD4">
        <w:rPr>
          <w:rFonts w:eastAsia="SimSun"/>
        </w:rPr>
        <w:tab/>
        <w:t xml:space="preserve">technical and operational characteristics of IMT systems in the </w:t>
      </w:r>
      <w:r w:rsidRPr="005B6FD4">
        <w:rPr>
          <w:rFonts w:eastAsia="SimSun"/>
          <w:color w:val="000000"/>
          <w:lang w:eastAsia="zh-CN"/>
        </w:rPr>
        <w:t xml:space="preserve">6 GHz </w:t>
      </w:r>
      <w:r w:rsidRPr="005B6FD4">
        <w:rPr>
          <w:rFonts w:eastAsia="SimSun"/>
        </w:rPr>
        <w:t>frequency range, including the evolution of IMT through advances in technology and spectrally-efficient techniques, and their deployment;</w:t>
      </w:r>
    </w:p>
    <w:p w14:paraId="58194602" w14:textId="77777777" w:rsidR="0069201D" w:rsidRPr="005B6FD4" w:rsidRDefault="0069201D" w:rsidP="00152435">
      <w:pPr>
        <w:pStyle w:val="enumlev1"/>
        <w:rPr>
          <w:rFonts w:eastAsia="SimSun"/>
          <w:lang w:eastAsia="zh-CN"/>
        </w:rPr>
      </w:pPr>
      <w:r w:rsidRPr="005B6FD4">
        <w:rPr>
          <w:lang w:eastAsia="zh-CN"/>
        </w:rPr>
        <w:t>–</w:t>
      </w:r>
      <w:r w:rsidRPr="005B6FD4">
        <w:rPr>
          <w:lang w:eastAsia="zh-CN"/>
        </w:rPr>
        <w:tab/>
        <w:t>the time-frame in which spectrum would be needed;</w:t>
      </w:r>
    </w:p>
    <w:p w14:paraId="5C9FA160" w14:textId="77777777" w:rsidR="0069201D" w:rsidRPr="005B6FD4" w:rsidRDefault="0069201D" w:rsidP="0069201D">
      <w:pPr>
        <w:rPr>
          <w:rFonts w:eastAsiaTheme="minorEastAsia"/>
        </w:rPr>
      </w:pPr>
      <w:r w:rsidRPr="005B6FD4">
        <w:rPr>
          <w:lang w:eastAsia="zh-CN"/>
        </w:rPr>
        <w:t>2</w:t>
      </w:r>
      <w:r w:rsidRPr="005B6FD4">
        <w:rPr>
          <w:lang w:eastAsia="zh-CN"/>
        </w:rPr>
        <w:tab/>
        <w:t xml:space="preserve">to conduct sharing and compatibility studies between IMT and incumbent services, taken into account the need to ensure protection of existing </w:t>
      </w:r>
      <w:r w:rsidRPr="005B6FD4">
        <w:rPr>
          <w:rFonts w:eastAsiaTheme="minorEastAsia"/>
        </w:rPr>
        <w:t>services and future development without imposing additional constraint(s) which have allocations in the potential candidate bands and in adjacent bands on a primary basis;</w:t>
      </w:r>
    </w:p>
    <w:p w14:paraId="72FEDA3B" w14:textId="27715AD0" w:rsidR="0069201D" w:rsidRPr="005B6FD4" w:rsidRDefault="0069201D" w:rsidP="0069201D">
      <w:pPr>
        <w:rPr>
          <w:rFonts w:eastAsia="SimSun"/>
          <w:lang w:eastAsia="zh-CN"/>
        </w:rPr>
      </w:pPr>
      <w:r w:rsidRPr="005B6FD4">
        <w:rPr>
          <w:rFonts w:eastAsiaTheme="minorEastAsia"/>
        </w:rPr>
        <w:t>3</w:t>
      </w:r>
      <w:r w:rsidRPr="005B6FD4">
        <w:rPr>
          <w:rFonts w:eastAsiaTheme="minorEastAsia"/>
        </w:rPr>
        <w:tab/>
        <w:t>to consider possible new identification for IMT within the frequency range of 7 025-7</w:t>
      </w:r>
      <w:r w:rsidR="00152435">
        <w:rPr>
          <w:rFonts w:eastAsiaTheme="minorEastAsia"/>
        </w:rPr>
        <w:t> </w:t>
      </w:r>
      <w:r w:rsidRPr="005B6FD4">
        <w:rPr>
          <w:rFonts w:eastAsiaTheme="minorEastAsia"/>
        </w:rPr>
        <w:t>125</w:t>
      </w:r>
      <w:r w:rsidR="00152435">
        <w:rPr>
          <w:rFonts w:eastAsiaTheme="minorEastAsia"/>
        </w:rPr>
        <w:t> </w:t>
      </w:r>
      <w:r w:rsidRPr="005B6FD4">
        <w:rPr>
          <w:rFonts w:eastAsiaTheme="minorEastAsia"/>
        </w:rPr>
        <w:t>MHz if the results of the sharing and compatibility studies are satisfactorily protect the existing use of incumbent services and their future development</w:t>
      </w:r>
      <w:r w:rsidR="006E1687" w:rsidRPr="005B6FD4">
        <w:rPr>
          <w:rFonts w:eastAsiaTheme="minorEastAsia"/>
        </w:rPr>
        <w:t>,</w:t>
      </w:r>
    </w:p>
    <w:p w14:paraId="3606FB07" w14:textId="42B5B305" w:rsidR="0069201D" w:rsidRPr="005B6FD4" w:rsidRDefault="0069201D" w:rsidP="0069201D">
      <w:pPr>
        <w:pStyle w:val="Call"/>
        <w:rPr>
          <w:rFonts w:eastAsiaTheme="minorEastAsia"/>
        </w:rPr>
      </w:pPr>
      <w:r w:rsidRPr="005B6FD4">
        <w:rPr>
          <w:rFonts w:eastAsiaTheme="minorEastAsia"/>
        </w:rPr>
        <w:t>invite</w:t>
      </w:r>
      <w:r w:rsidR="00152435">
        <w:rPr>
          <w:rFonts w:eastAsiaTheme="minorEastAsia"/>
        </w:rPr>
        <w:t>s</w:t>
      </w:r>
      <w:r w:rsidRPr="005B6FD4">
        <w:rPr>
          <w:rFonts w:eastAsiaTheme="minorEastAsia"/>
        </w:rPr>
        <w:t xml:space="preserve"> administrations</w:t>
      </w:r>
    </w:p>
    <w:p w14:paraId="44D8FD1B" w14:textId="77777777" w:rsidR="0035481A" w:rsidRPr="005B6FD4" w:rsidRDefault="0069201D" w:rsidP="0069201D">
      <w:pPr>
        <w:rPr>
          <w:rFonts w:eastAsiaTheme="minorEastAsia"/>
        </w:rPr>
      </w:pPr>
      <w:r w:rsidRPr="005B6FD4">
        <w:rPr>
          <w:rFonts w:eastAsia="SimSun"/>
          <w:lang w:eastAsia="zh-CN"/>
        </w:rPr>
        <w:t>to participate actively in the studies by submitting contributions to the ITU-R.</w:t>
      </w:r>
    </w:p>
    <w:p w14:paraId="5372CC2D" w14:textId="77777777" w:rsidR="0035481A" w:rsidRPr="005B6FD4" w:rsidRDefault="00C56948" w:rsidP="006E1687">
      <w:pPr>
        <w:pStyle w:val="Reasons"/>
      </w:pPr>
      <w:r w:rsidRPr="005B6FD4">
        <w:rPr>
          <w:b/>
        </w:rPr>
        <w:t>Reasons:</w:t>
      </w:r>
      <w:r w:rsidRPr="005B6FD4">
        <w:tab/>
      </w:r>
      <w:r w:rsidR="006E1687" w:rsidRPr="005B6FD4">
        <w:t>Please refer to the following table.</w:t>
      </w:r>
    </w:p>
    <w:p w14:paraId="760FAC3E" w14:textId="77777777" w:rsidR="006E1687" w:rsidRPr="005B6FD4" w:rsidRDefault="006E1687">
      <w:pPr>
        <w:tabs>
          <w:tab w:val="clear" w:pos="1134"/>
          <w:tab w:val="clear" w:pos="1871"/>
          <w:tab w:val="clear" w:pos="2268"/>
        </w:tabs>
        <w:overflowPunct/>
        <w:autoSpaceDE/>
        <w:autoSpaceDN/>
        <w:adjustRightInd/>
        <w:spacing w:before="0"/>
        <w:textAlignment w:val="auto"/>
      </w:pPr>
      <w:r w:rsidRPr="005B6FD4">
        <w:br w:type="page"/>
      </w:r>
    </w:p>
    <w:tbl>
      <w:tblPr>
        <w:tblW w:w="9317" w:type="dxa"/>
        <w:tblInd w:w="99" w:type="dxa"/>
        <w:tblBorders>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5"/>
        <w:gridCol w:w="5112"/>
      </w:tblGrid>
      <w:tr w:rsidR="006E1687" w:rsidRPr="005B6FD4" w14:paraId="4F380B0B" w14:textId="77777777" w:rsidTr="001050C2">
        <w:tc>
          <w:tcPr>
            <w:tcW w:w="9317" w:type="dxa"/>
            <w:gridSpan w:val="2"/>
            <w:tcBorders>
              <w:top w:val="nil"/>
              <w:bottom w:val="nil"/>
            </w:tcBorders>
          </w:tcPr>
          <w:p w14:paraId="524FB4D1" w14:textId="2C28F9B2" w:rsidR="006E1687" w:rsidRPr="005B6FD4" w:rsidRDefault="006E1687" w:rsidP="001050C2">
            <w:pPr>
              <w:spacing w:beforeLines="50" w:afterLines="50" w:after="120"/>
              <w:rPr>
                <w:rFonts w:eastAsia="MS Gothic"/>
                <w:b/>
                <w:bCs/>
                <w:i/>
                <w:iCs/>
                <w:kern w:val="2"/>
              </w:rPr>
            </w:pPr>
            <w:r w:rsidRPr="005B6FD4">
              <w:rPr>
                <w:rFonts w:eastAsia="MS Gothic"/>
                <w:b/>
                <w:bCs/>
                <w:i/>
                <w:iCs/>
                <w:kern w:val="2"/>
              </w:rPr>
              <w:lastRenderedPageBreak/>
              <w:t>Subject:</w:t>
            </w:r>
          </w:p>
          <w:p w14:paraId="56D89E26" w14:textId="40F50EC2" w:rsidR="006E1687" w:rsidRPr="005B6FD4" w:rsidRDefault="006E1687" w:rsidP="001050C2">
            <w:pPr>
              <w:spacing w:beforeLines="50" w:afterLines="50" w:after="120"/>
              <w:rPr>
                <w:rFonts w:eastAsia="MS Gothic"/>
                <w:bCs/>
                <w:i/>
                <w:iCs/>
                <w:kern w:val="2"/>
                <w:lang w:eastAsia="zh-CN"/>
              </w:rPr>
            </w:pPr>
            <w:r w:rsidRPr="005B6FD4">
              <w:rPr>
                <w:rFonts w:eastAsia="MS Mincho"/>
                <w:kern w:val="2"/>
                <w:lang w:eastAsia="ja-JP"/>
              </w:rPr>
              <w:t xml:space="preserve">Proposal for a new WRC-23 agenda item to consider IMT identification in the </w:t>
            </w:r>
            <w:r w:rsidRPr="005B6FD4">
              <w:t>7 025-7</w:t>
            </w:r>
            <w:r w:rsidR="00152435">
              <w:t> </w:t>
            </w:r>
            <w:r w:rsidRPr="005B6FD4">
              <w:t>125</w:t>
            </w:r>
            <w:r w:rsidR="00152435">
              <w:t> </w:t>
            </w:r>
            <w:r w:rsidRPr="005B6FD4">
              <w:t>MHz</w:t>
            </w:r>
            <w:r w:rsidRPr="005B6FD4">
              <w:rPr>
                <w:rFonts w:eastAsia="MS Mincho"/>
                <w:kern w:val="2"/>
                <w:lang w:eastAsia="ja-JP"/>
              </w:rPr>
              <w:t xml:space="preserve"> frequency range</w:t>
            </w:r>
            <w:r w:rsidRPr="005B6FD4">
              <w:rPr>
                <w:rFonts w:eastAsia="SimSun"/>
                <w:color w:val="000000"/>
                <w:lang w:eastAsia="zh-CN"/>
              </w:rPr>
              <w:t xml:space="preserve"> </w:t>
            </w:r>
            <w:r w:rsidRPr="005B6FD4">
              <w:rPr>
                <w:rFonts w:eastAsia="MS Mincho"/>
                <w:kern w:val="2"/>
                <w:lang w:eastAsia="ja-JP"/>
              </w:rPr>
              <w:t xml:space="preserve">for the future development of IMT </w:t>
            </w:r>
          </w:p>
        </w:tc>
      </w:tr>
      <w:tr w:rsidR="006E1687" w:rsidRPr="005B6FD4" w14:paraId="6081515C" w14:textId="77777777" w:rsidTr="001050C2">
        <w:tc>
          <w:tcPr>
            <w:tcW w:w="9317" w:type="dxa"/>
            <w:gridSpan w:val="2"/>
            <w:tcBorders>
              <w:top w:val="nil"/>
            </w:tcBorders>
          </w:tcPr>
          <w:p w14:paraId="340C8CC6" w14:textId="77777777" w:rsidR="006E1687" w:rsidRPr="005B6FD4" w:rsidRDefault="006E1687" w:rsidP="001050C2">
            <w:pPr>
              <w:spacing w:beforeLines="50" w:afterLines="50" w:after="120"/>
              <w:rPr>
                <w:rFonts w:eastAsia="SimSun"/>
                <w:b/>
                <w:bCs/>
                <w:kern w:val="2"/>
                <w:lang w:eastAsia="zh-CN"/>
              </w:rPr>
            </w:pPr>
            <w:r w:rsidRPr="005B6FD4">
              <w:rPr>
                <w:rFonts w:eastAsia="MS Gothic"/>
                <w:b/>
                <w:bCs/>
                <w:i/>
                <w:kern w:val="2"/>
              </w:rPr>
              <w:t xml:space="preserve">Origin: </w:t>
            </w:r>
            <w:r w:rsidRPr="005B6FD4">
              <w:rPr>
                <w:rFonts w:eastAsia="MS Mincho"/>
                <w:kern w:val="2"/>
                <w:lang w:eastAsia="ja-JP"/>
              </w:rPr>
              <w:t>Asia-Pacific Telecommunity (APT)</w:t>
            </w:r>
          </w:p>
        </w:tc>
      </w:tr>
      <w:tr w:rsidR="006E1687" w:rsidRPr="005B6FD4" w14:paraId="4C2C700B" w14:textId="77777777" w:rsidTr="001050C2">
        <w:tc>
          <w:tcPr>
            <w:tcW w:w="9317" w:type="dxa"/>
            <w:gridSpan w:val="2"/>
          </w:tcPr>
          <w:p w14:paraId="5C1B108F" w14:textId="77777777" w:rsidR="006E1687" w:rsidRPr="005B6FD4" w:rsidRDefault="006E1687" w:rsidP="001050C2">
            <w:pPr>
              <w:spacing w:beforeLines="50" w:afterLines="50" w:after="120"/>
              <w:rPr>
                <w:rFonts w:eastAsia="MS Gothic"/>
                <w:b/>
                <w:bCs/>
                <w:i/>
                <w:iCs/>
                <w:kern w:val="2"/>
                <w:lang w:eastAsia="ja-JP"/>
              </w:rPr>
            </w:pPr>
            <w:r w:rsidRPr="005B6FD4">
              <w:rPr>
                <w:rFonts w:eastAsia="MS Gothic"/>
                <w:b/>
                <w:bCs/>
                <w:i/>
                <w:iCs/>
                <w:kern w:val="2"/>
              </w:rPr>
              <w:t>Proposal:</w:t>
            </w:r>
          </w:p>
          <w:p w14:paraId="15572B7F" w14:textId="77777777" w:rsidR="006E1687" w:rsidRPr="005B6FD4" w:rsidRDefault="006E1687" w:rsidP="001050C2">
            <w:pPr>
              <w:spacing w:beforeLines="50" w:afterLines="50" w:after="120"/>
              <w:rPr>
                <w:rFonts w:eastAsia="SimSun"/>
                <w:i/>
                <w:kern w:val="2"/>
                <w:lang w:eastAsia="ko-KR"/>
              </w:rPr>
            </w:pPr>
            <w:r w:rsidRPr="005B6FD4">
              <w:rPr>
                <w:rFonts w:eastAsia="MS Mincho"/>
                <w:kern w:val="2"/>
                <w:lang w:eastAsia="ja-JP"/>
              </w:rPr>
              <w:t xml:space="preserve">To consider identification of IMT in </w:t>
            </w:r>
            <w:r w:rsidRPr="005B6FD4">
              <w:t>7 025-7 125 MHz</w:t>
            </w:r>
            <w:r w:rsidRPr="005B6FD4">
              <w:rPr>
                <w:rFonts w:eastAsia="MS Mincho"/>
                <w:kern w:val="2"/>
                <w:lang w:eastAsia="ja-JP"/>
              </w:rPr>
              <w:t xml:space="preserve"> frequency range.</w:t>
            </w:r>
          </w:p>
        </w:tc>
      </w:tr>
      <w:tr w:rsidR="006E1687" w:rsidRPr="005B6FD4" w14:paraId="4AEBE398" w14:textId="77777777" w:rsidTr="001050C2">
        <w:tc>
          <w:tcPr>
            <w:tcW w:w="9317" w:type="dxa"/>
            <w:gridSpan w:val="2"/>
          </w:tcPr>
          <w:p w14:paraId="5FD325B8" w14:textId="77777777" w:rsidR="006E1687" w:rsidRPr="005B6FD4" w:rsidRDefault="006E1687" w:rsidP="001050C2">
            <w:pPr>
              <w:spacing w:beforeLines="50" w:afterLines="50" w:after="120"/>
              <w:rPr>
                <w:rFonts w:eastAsia="SimSun"/>
                <w:kern w:val="2"/>
                <w:lang w:eastAsia="ko-KR"/>
              </w:rPr>
            </w:pPr>
            <w:r w:rsidRPr="005B6FD4">
              <w:rPr>
                <w:rFonts w:eastAsia="MS Gothic"/>
                <w:b/>
                <w:bCs/>
                <w:i/>
                <w:iCs/>
                <w:kern w:val="2"/>
                <w:lang w:eastAsia="ko-KR"/>
              </w:rPr>
              <w:t>Background/</w:t>
            </w:r>
            <w:r w:rsidRPr="005B6FD4">
              <w:rPr>
                <w:rFonts w:eastAsia="MS Gothic"/>
                <w:b/>
                <w:bCs/>
                <w:i/>
                <w:iCs/>
                <w:kern w:val="2"/>
                <w:lang w:eastAsia="ja-JP"/>
              </w:rPr>
              <w:t>r</w:t>
            </w:r>
            <w:r w:rsidRPr="005B6FD4">
              <w:rPr>
                <w:rFonts w:eastAsia="MS Gothic"/>
                <w:b/>
                <w:bCs/>
                <w:i/>
                <w:iCs/>
                <w:kern w:val="2"/>
                <w:lang w:eastAsia="ko-KR"/>
              </w:rPr>
              <w:t>eason:</w:t>
            </w:r>
          </w:p>
          <w:p w14:paraId="425AE7E0" w14:textId="77777777" w:rsidR="006E1687" w:rsidRPr="005B6FD4" w:rsidRDefault="006E1687" w:rsidP="001050C2">
            <w:pPr>
              <w:spacing w:after="120"/>
              <w:rPr>
                <w:rFonts w:eastAsia="MS Mincho"/>
                <w:kern w:val="2"/>
                <w:lang w:eastAsia="ja-JP"/>
              </w:rPr>
            </w:pPr>
            <w:r w:rsidRPr="005B6FD4">
              <w:rPr>
                <w:rFonts w:eastAsia="MS Mincho"/>
                <w:kern w:val="2"/>
                <w:lang w:eastAsia="ja-JP"/>
              </w:rPr>
              <w:t>IMT-2020 technologies play important roles in society as the new engine for the digital economy. The IMT systems support various usage scenarios. In addition to enhanced Mobile Broadband (eMBB), they also support massive Machine Type Communications (mMTC) and Ultra-Reliable Low-Latency Communications (URLLC) usage scenarios which include a wide range of applications. The applications driven by IMT-2020 has been expanding into new market segments such as smart grid, e-health, intelligent transport systems (ITS), traffic control and safety. With the pace of global commercialization of IMT-2020, the market demand for IMT services and applications will be increasing, in the meantime additional spectrum is required to facilitate new IMT-2020 application scenarios, to provide the increasing network capacities in coming years.</w:t>
            </w:r>
          </w:p>
          <w:p w14:paraId="347E42A9" w14:textId="221C20F4" w:rsidR="006E1687" w:rsidRPr="005B6FD4" w:rsidRDefault="006E1687" w:rsidP="001050C2">
            <w:pPr>
              <w:spacing w:after="120"/>
              <w:rPr>
                <w:rFonts w:eastAsia="MS Mincho"/>
                <w:kern w:val="2"/>
                <w:lang w:eastAsia="ja-JP"/>
              </w:rPr>
            </w:pPr>
            <w:r w:rsidRPr="005B6FD4">
              <w:rPr>
                <w:rFonts w:eastAsia="MS Mincho"/>
                <w:kern w:val="2"/>
                <w:lang w:eastAsia="ja-JP"/>
              </w:rPr>
              <w:t xml:space="preserve">The </w:t>
            </w:r>
            <w:r w:rsidR="00152435" w:rsidRPr="005B6FD4">
              <w:rPr>
                <w:rFonts w:eastAsia="MS Mincho"/>
                <w:kern w:val="2"/>
                <w:lang w:eastAsia="ja-JP"/>
              </w:rPr>
              <w:t>millimetre</w:t>
            </w:r>
            <w:r w:rsidRPr="005B6FD4">
              <w:rPr>
                <w:rFonts w:eastAsia="MS Mincho"/>
                <w:kern w:val="2"/>
                <w:lang w:eastAsia="ja-JP"/>
              </w:rPr>
              <w:t xml:space="preserve"> wave frequency range and the middle frequency range both have vital roles to meet the spectrum needs for IMT. The </w:t>
            </w:r>
            <w:r w:rsidR="00152435" w:rsidRPr="005B6FD4">
              <w:rPr>
                <w:rFonts w:eastAsia="MS Mincho"/>
                <w:kern w:val="2"/>
                <w:lang w:eastAsia="ja-JP"/>
              </w:rPr>
              <w:t>millimetre</w:t>
            </w:r>
            <w:r w:rsidRPr="005B6FD4">
              <w:rPr>
                <w:rFonts w:eastAsia="MS Mincho"/>
                <w:kern w:val="2"/>
                <w:lang w:eastAsia="ja-JP"/>
              </w:rPr>
              <w:t xml:space="preserve"> wave frequency range is suitable to provide ultra-high capacity communication at hot spots in urban and densely populated areas, and the middle frequency range is needed to support new IMT-2020 applications which could deliver a very good balance between coverage and capacity needs. From a global perspective, the middle frequency range provides the most important frequency bands for the first wave of large scale IMT-2020 developments all over the world.</w:t>
            </w:r>
          </w:p>
          <w:p w14:paraId="6AD00F67" w14:textId="4C25F310" w:rsidR="006E1687" w:rsidRPr="005B6FD4" w:rsidRDefault="006E1687" w:rsidP="001050C2">
            <w:pPr>
              <w:spacing w:after="120"/>
              <w:rPr>
                <w:rFonts w:eastAsia="MS Mincho"/>
                <w:kern w:val="2"/>
                <w:lang w:eastAsia="ja-JP"/>
              </w:rPr>
            </w:pPr>
            <w:r w:rsidRPr="005B6FD4">
              <w:rPr>
                <w:rFonts w:eastAsia="MS Mincho"/>
                <w:kern w:val="2"/>
                <w:lang w:eastAsia="ja-JP"/>
              </w:rPr>
              <w:t>The 7 GHz frequency range may partially meet the future IMT spectrum needs in the middle frequency range.</w:t>
            </w:r>
            <w:r w:rsidR="00637038">
              <w:rPr>
                <w:rFonts w:eastAsia="MS Mincho"/>
                <w:kern w:val="2"/>
                <w:lang w:eastAsia="ja-JP"/>
              </w:rPr>
              <w:t xml:space="preserve"> </w:t>
            </w:r>
            <w:r w:rsidRPr="005B6FD4">
              <w:rPr>
                <w:rFonts w:eastAsia="MS Mincho"/>
                <w:kern w:val="2"/>
                <w:lang w:eastAsia="ja-JP"/>
              </w:rPr>
              <w:t>The feasibility of compatibility between IMT and incumbent services in the same and adjacent frequency bands will be improved with the implementation of new radio characteristics of IMT which reduce the potential of interference to other services.</w:t>
            </w:r>
            <w:r w:rsidRPr="005B6FD4">
              <w:t xml:space="preserve"> Considering the above background, APT</w:t>
            </w:r>
            <w:r w:rsidRPr="005B6FD4">
              <w:rPr>
                <w:rFonts w:eastAsia="MS Mincho"/>
                <w:kern w:val="2"/>
                <w:lang w:eastAsia="ja-JP"/>
              </w:rPr>
              <w:t xml:space="preserve"> proposes a WRC-23 agenda item to conduct spectrum related studies to identify IMT in the </w:t>
            </w:r>
            <w:r w:rsidRPr="005B6FD4">
              <w:t>7 025-7 125 MHz</w:t>
            </w:r>
            <w:r w:rsidRPr="005B6FD4">
              <w:rPr>
                <w:rFonts w:eastAsia="MS Mincho"/>
                <w:kern w:val="2"/>
                <w:lang w:eastAsia="ja-JP"/>
              </w:rPr>
              <w:t xml:space="preserve"> frequency range.</w:t>
            </w:r>
          </w:p>
        </w:tc>
      </w:tr>
      <w:tr w:rsidR="006E1687" w:rsidRPr="005B6FD4" w14:paraId="55A61BC8" w14:textId="77777777" w:rsidTr="001050C2">
        <w:tc>
          <w:tcPr>
            <w:tcW w:w="9317" w:type="dxa"/>
            <w:gridSpan w:val="2"/>
          </w:tcPr>
          <w:p w14:paraId="56871DC0" w14:textId="77777777" w:rsidR="006E1687" w:rsidRPr="005B6FD4" w:rsidRDefault="006E1687" w:rsidP="001050C2">
            <w:pPr>
              <w:spacing w:beforeLines="50" w:afterLines="50" w:after="120"/>
              <w:rPr>
                <w:rFonts w:eastAsia="MS Gothic"/>
                <w:b/>
                <w:bCs/>
                <w:i/>
                <w:iCs/>
                <w:kern w:val="2"/>
              </w:rPr>
            </w:pPr>
            <w:r w:rsidRPr="005B6FD4">
              <w:rPr>
                <w:rFonts w:eastAsia="MS Gothic"/>
                <w:b/>
                <w:bCs/>
                <w:i/>
                <w:iCs/>
                <w:kern w:val="2"/>
              </w:rPr>
              <w:t>Radio</w:t>
            </w:r>
            <w:r w:rsidRPr="005B6FD4">
              <w:rPr>
                <w:rFonts w:eastAsia="MS Gothic"/>
                <w:b/>
                <w:bCs/>
                <w:i/>
                <w:iCs/>
                <w:kern w:val="2"/>
                <w:lang w:eastAsia="ja-JP"/>
              </w:rPr>
              <w:t>communication</w:t>
            </w:r>
            <w:r w:rsidRPr="005B6FD4">
              <w:rPr>
                <w:rFonts w:eastAsia="MS Gothic"/>
                <w:b/>
                <w:bCs/>
                <w:i/>
                <w:iCs/>
                <w:kern w:val="2"/>
              </w:rPr>
              <w:t xml:space="preserve"> Services concerned:</w:t>
            </w:r>
            <w:r w:rsidRPr="005B6FD4">
              <w:rPr>
                <w:rFonts w:eastAsia="MS Gothic"/>
                <w:b/>
                <w:bCs/>
                <w:i/>
                <w:iCs/>
                <w:kern w:val="2"/>
              </w:rPr>
              <w:tab/>
            </w:r>
          </w:p>
          <w:p w14:paraId="188D3F4C" w14:textId="77777777" w:rsidR="006E1687" w:rsidRPr="005B6FD4" w:rsidRDefault="006E1687">
            <w:pPr>
              <w:spacing w:beforeLines="50" w:afterLines="50" w:after="120"/>
            </w:pPr>
            <w:r w:rsidRPr="005B6FD4">
              <w:t>7 025-7 125 MHz</w:t>
            </w:r>
            <w:r w:rsidRPr="005B6FD4">
              <w:rPr>
                <w:rFonts w:eastAsia="MS Mincho"/>
                <w:kern w:val="2"/>
                <w:lang w:eastAsia="ja-JP"/>
              </w:rPr>
              <w:t xml:space="preserve">: </w:t>
            </w:r>
            <w:r w:rsidR="008B346E" w:rsidRPr="005B6FD4">
              <w:rPr>
                <w:rFonts w:eastAsia="MS Mincho"/>
                <w:kern w:val="2"/>
                <w:lang w:eastAsia="ja-JP"/>
              </w:rPr>
              <w:t>f</w:t>
            </w:r>
            <w:r w:rsidRPr="005B6FD4">
              <w:rPr>
                <w:rFonts w:eastAsia="MS Mincho"/>
                <w:kern w:val="2"/>
                <w:lang w:eastAsia="ja-JP"/>
              </w:rPr>
              <w:t xml:space="preserve">ixed </w:t>
            </w:r>
            <w:r w:rsidR="008B346E" w:rsidRPr="005B6FD4">
              <w:rPr>
                <w:rFonts w:eastAsia="MS Mincho"/>
                <w:kern w:val="2"/>
                <w:lang w:eastAsia="ja-JP"/>
              </w:rPr>
              <w:t>s</w:t>
            </w:r>
            <w:r w:rsidRPr="005B6FD4">
              <w:rPr>
                <w:rFonts w:eastAsia="MS Mincho"/>
                <w:kern w:val="2"/>
                <w:lang w:eastAsia="ja-JP"/>
              </w:rPr>
              <w:t xml:space="preserve">ervice, </w:t>
            </w:r>
            <w:r w:rsidR="008B346E" w:rsidRPr="005B6FD4">
              <w:rPr>
                <w:rFonts w:eastAsia="MS Mincho"/>
                <w:kern w:val="2"/>
                <w:lang w:eastAsia="ja-JP"/>
              </w:rPr>
              <w:t>m</w:t>
            </w:r>
            <w:r w:rsidRPr="005B6FD4">
              <w:rPr>
                <w:rFonts w:eastAsia="MS Mincho"/>
                <w:kern w:val="2"/>
                <w:lang w:eastAsia="ja-JP"/>
              </w:rPr>
              <w:t xml:space="preserve">obile </w:t>
            </w:r>
            <w:r w:rsidR="008B346E" w:rsidRPr="005B6FD4">
              <w:rPr>
                <w:rFonts w:eastAsia="MS Mincho"/>
                <w:kern w:val="2"/>
                <w:lang w:eastAsia="ja-JP"/>
              </w:rPr>
              <w:t>s</w:t>
            </w:r>
            <w:r w:rsidRPr="005B6FD4">
              <w:rPr>
                <w:rFonts w:eastAsia="MS Mincho"/>
                <w:kern w:val="2"/>
                <w:lang w:eastAsia="ja-JP"/>
              </w:rPr>
              <w:t>ervice</w:t>
            </w:r>
          </w:p>
          <w:p w14:paraId="7DC1F357" w14:textId="77777777" w:rsidR="006E1687" w:rsidRPr="005B6FD4" w:rsidRDefault="006E1687">
            <w:pPr>
              <w:spacing w:after="120"/>
              <w:rPr>
                <w:rFonts w:eastAsia="MS Mincho"/>
                <w:kern w:val="2"/>
                <w:lang w:eastAsia="ja-JP"/>
              </w:rPr>
            </w:pPr>
            <w:r w:rsidRPr="005B6FD4">
              <w:rPr>
                <w:rFonts w:eastAsia="MS Mincho"/>
                <w:kern w:val="2"/>
                <w:lang w:eastAsia="ja-JP"/>
              </w:rPr>
              <w:t xml:space="preserve">6 700-7 075 MHz </w:t>
            </w:r>
            <w:r w:rsidR="008B346E" w:rsidRPr="005B6FD4">
              <w:rPr>
                <w:rFonts w:eastAsia="MS Mincho"/>
                <w:kern w:val="2"/>
                <w:lang w:eastAsia="ja-JP"/>
              </w:rPr>
              <w:t>f</w:t>
            </w:r>
            <w:r w:rsidRPr="005B6FD4">
              <w:rPr>
                <w:rFonts w:eastAsia="MS Mincho"/>
                <w:kern w:val="2"/>
                <w:lang w:eastAsia="ja-JP"/>
              </w:rPr>
              <w:t xml:space="preserve">ixed </w:t>
            </w:r>
            <w:r w:rsidR="008B346E" w:rsidRPr="005B6FD4">
              <w:rPr>
                <w:rFonts w:eastAsia="MS Mincho"/>
                <w:kern w:val="2"/>
                <w:lang w:eastAsia="ja-JP"/>
              </w:rPr>
              <w:t>s</w:t>
            </w:r>
            <w:r w:rsidRPr="005B6FD4">
              <w:rPr>
                <w:rFonts w:eastAsia="MS Mincho"/>
                <w:kern w:val="2"/>
                <w:lang w:eastAsia="ja-JP"/>
              </w:rPr>
              <w:t xml:space="preserve">ervice, </w:t>
            </w:r>
            <w:r w:rsidR="008B346E" w:rsidRPr="005B6FD4">
              <w:rPr>
                <w:rFonts w:eastAsia="MS Mincho"/>
                <w:kern w:val="2"/>
                <w:lang w:eastAsia="ja-JP"/>
              </w:rPr>
              <w:t>f</w:t>
            </w:r>
            <w:r w:rsidRPr="005B6FD4">
              <w:rPr>
                <w:rFonts w:eastAsia="MS Mincho"/>
                <w:kern w:val="2"/>
                <w:lang w:eastAsia="ja-JP"/>
              </w:rPr>
              <w:t>ixed</w:t>
            </w:r>
            <w:r w:rsidR="008B346E" w:rsidRPr="005B6FD4">
              <w:rPr>
                <w:rFonts w:eastAsia="MS Mincho"/>
                <w:kern w:val="2"/>
                <w:lang w:eastAsia="ja-JP"/>
              </w:rPr>
              <w:t>-s</w:t>
            </w:r>
            <w:r w:rsidRPr="005B6FD4">
              <w:rPr>
                <w:rFonts w:eastAsia="MS Mincho"/>
                <w:kern w:val="2"/>
                <w:lang w:eastAsia="ja-JP"/>
              </w:rPr>
              <w:t xml:space="preserve">atellite </w:t>
            </w:r>
            <w:r w:rsidR="008B346E" w:rsidRPr="005B6FD4">
              <w:rPr>
                <w:rFonts w:eastAsia="MS Mincho"/>
                <w:kern w:val="2"/>
                <w:lang w:eastAsia="ja-JP"/>
              </w:rPr>
              <w:t>s</w:t>
            </w:r>
            <w:r w:rsidRPr="005B6FD4">
              <w:rPr>
                <w:rFonts w:eastAsia="MS Mincho"/>
                <w:kern w:val="2"/>
                <w:lang w:eastAsia="ja-JP"/>
              </w:rPr>
              <w:t xml:space="preserve">ervice (Earth-to-space), </w:t>
            </w:r>
            <w:r w:rsidR="008B346E" w:rsidRPr="005B6FD4">
              <w:rPr>
                <w:rFonts w:eastAsia="MS Mincho"/>
                <w:kern w:val="2"/>
                <w:lang w:eastAsia="ja-JP"/>
              </w:rPr>
              <w:t>f</w:t>
            </w:r>
            <w:r w:rsidRPr="005B6FD4">
              <w:rPr>
                <w:rFonts w:eastAsia="MS Mincho"/>
                <w:kern w:val="2"/>
                <w:lang w:eastAsia="ja-JP"/>
              </w:rPr>
              <w:t>ixed</w:t>
            </w:r>
            <w:r w:rsidR="008B346E" w:rsidRPr="005B6FD4">
              <w:rPr>
                <w:rFonts w:eastAsia="MS Mincho"/>
                <w:kern w:val="2"/>
                <w:lang w:eastAsia="ja-JP"/>
              </w:rPr>
              <w:t>-s</w:t>
            </w:r>
            <w:r w:rsidRPr="005B6FD4">
              <w:rPr>
                <w:rFonts w:eastAsia="MS Mincho"/>
                <w:kern w:val="2"/>
                <w:lang w:eastAsia="ja-JP"/>
              </w:rPr>
              <w:t xml:space="preserve">atellite </w:t>
            </w:r>
            <w:r w:rsidR="008B346E" w:rsidRPr="005B6FD4">
              <w:rPr>
                <w:rFonts w:eastAsia="MS Mincho"/>
                <w:kern w:val="2"/>
                <w:lang w:eastAsia="ja-JP"/>
              </w:rPr>
              <w:t>s</w:t>
            </w:r>
            <w:r w:rsidRPr="005B6FD4">
              <w:rPr>
                <w:rFonts w:eastAsia="MS Mincho"/>
                <w:kern w:val="2"/>
                <w:lang w:eastAsia="ja-JP"/>
              </w:rPr>
              <w:t xml:space="preserve">ervice (space-to-Earth), </w:t>
            </w:r>
            <w:r w:rsidR="008B346E" w:rsidRPr="005B6FD4">
              <w:rPr>
                <w:rFonts w:eastAsia="MS Mincho"/>
                <w:kern w:val="2"/>
                <w:lang w:eastAsia="ja-JP"/>
              </w:rPr>
              <w:t>m</w:t>
            </w:r>
            <w:r w:rsidRPr="005B6FD4">
              <w:rPr>
                <w:rFonts w:eastAsia="MS Mincho"/>
                <w:kern w:val="2"/>
                <w:lang w:eastAsia="ja-JP"/>
              </w:rPr>
              <w:t xml:space="preserve">obile </w:t>
            </w:r>
            <w:r w:rsidR="008B346E" w:rsidRPr="005B6FD4">
              <w:rPr>
                <w:rFonts w:eastAsia="MS Mincho"/>
                <w:kern w:val="2"/>
                <w:lang w:eastAsia="ja-JP"/>
              </w:rPr>
              <w:t>s</w:t>
            </w:r>
            <w:r w:rsidRPr="005B6FD4">
              <w:rPr>
                <w:rFonts w:eastAsia="MS Mincho"/>
                <w:kern w:val="2"/>
                <w:lang w:eastAsia="ja-JP"/>
              </w:rPr>
              <w:t>ervice</w:t>
            </w:r>
          </w:p>
          <w:p w14:paraId="14A13B4E" w14:textId="77777777" w:rsidR="006E1687" w:rsidRPr="005B6FD4" w:rsidRDefault="006E1687" w:rsidP="001050C2">
            <w:pPr>
              <w:spacing w:after="120"/>
              <w:rPr>
                <w:rFonts w:eastAsia="MS Mincho"/>
                <w:kern w:val="2"/>
                <w:lang w:eastAsia="ja-JP"/>
              </w:rPr>
            </w:pPr>
            <w:r w:rsidRPr="005B6FD4">
              <w:rPr>
                <w:rFonts w:eastAsia="MS Mincho"/>
                <w:kern w:val="2"/>
                <w:lang w:eastAsia="ja-JP"/>
              </w:rPr>
              <w:t xml:space="preserve">7 075- 7145 MHz </w:t>
            </w:r>
          </w:p>
          <w:p w14:paraId="086CEBFE" w14:textId="77777777" w:rsidR="006E1687" w:rsidRPr="005B6FD4" w:rsidRDefault="006E1687" w:rsidP="001050C2">
            <w:pPr>
              <w:spacing w:after="120"/>
              <w:rPr>
                <w:rFonts w:eastAsia="SimSun"/>
                <w:kern w:val="2"/>
                <w:lang w:eastAsia="ko-KR"/>
              </w:rPr>
            </w:pPr>
            <w:r w:rsidRPr="005B6FD4">
              <w:rPr>
                <w:rFonts w:eastAsia="MS Mincho"/>
                <w:kern w:val="2"/>
                <w:lang w:eastAsia="ja-JP"/>
              </w:rPr>
              <w:t>(adjacent services: TBD)</w:t>
            </w:r>
          </w:p>
        </w:tc>
      </w:tr>
      <w:tr w:rsidR="006E1687" w:rsidRPr="005B6FD4" w14:paraId="3F18C67E" w14:textId="77777777" w:rsidTr="001050C2">
        <w:trPr>
          <w:trHeight w:val="941"/>
        </w:trPr>
        <w:tc>
          <w:tcPr>
            <w:tcW w:w="9317" w:type="dxa"/>
            <w:gridSpan w:val="2"/>
          </w:tcPr>
          <w:p w14:paraId="60849D73" w14:textId="77777777" w:rsidR="006E1687" w:rsidRPr="005B6FD4" w:rsidRDefault="006E1687" w:rsidP="001050C2">
            <w:pPr>
              <w:spacing w:beforeLines="50" w:afterLines="50" w:after="120"/>
              <w:rPr>
                <w:rFonts w:eastAsia="MS Gothic"/>
                <w:b/>
                <w:bCs/>
                <w:i/>
                <w:iCs/>
                <w:kern w:val="2"/>
              </w:rPr>
            </w:pPr>
            <w:r w:rsidRPr="005B6FD4">
              <w:rPr>
                <w:rFonts w:eastAsia="MS Gothic"/>
                <w:b/>
                <w:bCs/>
                <w:i/>
                <w:iCs/>
                <w:kern w:val="2"/>
              </w:rPr>
              <w:t xml:space="preserve">Indication of possible difficulties: </w:t>
            </w:r>
          </w:p>
          <w:p w14:paraId="5A991DCA" w14:textId="77777777" w:rsidR="006E1687" w:rsidRPr="005B6FD4" w:rsidRDefault="006E1687" w:rsidP="001050C2">
            <w:pPr>
              <w:rPr>
                <w:rFonts w:eastAsia="SimSun"/>
                <w:bCs/>
                <w:i/>
                <w:iCs/>
                <w:kern w:val="2"/>
                <w:lang w:eastAsia="zh-CN"/>
              </w:rPr>
            </w:pPr>
            <w:r w:rsidRPr="005B6FD4">
              <w:rPr>
                <w:rFonts w:eastAsia="SimSun"/>
                <w:kern w:val="2"/>
                <w:lang w:eastAsia="ko-KR"/>
              </w:rPr>
              <w:t>The proposed bands are widely used for terrestrial and space services on a co-primary basis. The coexistence of IMT and incumbent services needs to be considered.</w:t>
            </w:r>
          </w:p>
        </w:tc>
      </w:tr>
      <w:tr w:rsidR="006E1687" w:rsidRPr="005B6FD4" w14:paraId="00987550" w14:textId="77777777" w:rsidTr="001050C2">
        <w:tc>
          <w:tcPr>
            <w:tcW w:w="9317" w:type="dxa"/>
            <w:gridSpan w:val="2"/>
          </w:tcPr>
          <w:p w14:paraId="3483B022" w14:textId="77777777" w:rsidR="006E1687" w:rsidRPr="005B6FD4" w:rsidRDefault="006E1687" w:rsidP="001050C2">
            <w:pPr>
              <w:spacing w:beforeLines="50" w:afterLines="50" w:after="120"/>
              <w:rPr>
                <w:rFonts w:eastAsia="MS Gothic"/>
                <w:kern w:val="2"/>
                <w:lang w:eastAsia="ja-JP"/>
              </w:rPr>
            </w:pPr>
            <w:r w:rsidRPr="005B6FD4">
              <w:rPr>
                <w:rFonts w:eastAsia="MS Gothic"/>
                <w:b/>
                <w:bCs/>
                <w:i/>
                <w:iCs/>
                <w:kern w:val="2"/>
              </w:rPr>
              <w:t>Previous/ongoing studies on the issue:</w:t>
            </w:r>
          </w:p>
          <w:p w14:paraId="3B08D275" w14:textId="77777777" w:rsidR="006E1687" w:rsidRPr="005B6FD4" w:rsidRDefault="006E1687" w:rsidP="001050C2">
            <w:pPr>
              <w:spacing w:beforeLines="50" w:afterLines="50" w:after="120"/>
              <w:rPr>
                <w:rFonts w:eastAsia="MS PMincho"/>
                <w:kern w:val="2"/>
                <w:lang w:eastAsia="ja-JP"/>
              </w:rPr>
            </w:pPr>
            <w:r w:rsidRPr="005B6FD4">
              <w:rPr>
                <w:rFonts w:eastAsia="MS PMincho"/>
                <w:kern w:val="2"/>
                <w:lang w:eastAsia="ja-JP"/>
              </w:rPr>
              <w:lastRenderedPageBreak/>
              <w:t xml:space="preserve">During the study period 2012-2015 and in preparation for WRC-15, the ITU-R conducted spectrum-related studies on IMT in accordance with Resolution </w:t>
            </w:r>
            <w:r w:rsidRPr="00152435">
              <w:rPr>
                <w:rFonts w:eastAsia="MS PMincho"/>
                <w:b/>
                <w:bCs/>
                <w:kern w:val="2"/>
                <w:lang w:eastAsia="ja-JP"/>
              </w:rPr>
              <w:t>238</w:t>
            </w:r>
            <w:r w:rsidR="008B346E" w:rsidRPr="005B6FD4">
              <w:rPr>
                <w:rFonts w:eastAsia="MS PMincho"/>
                <w:kern w:val="2"/>
                <w:lang w:eastAsia="ja-JP"/>
              </w:rPr>
              <w:t xml:space="preserve"> </w:t>
            </w:r>
            <w:r w:rsidRPr="005B6FD4">
              <w:rPr>
                <w:rFonts w:eastAsia="MS PMincho"/>
                <w:kern w:val="2"/>
                <w:lang w:eastAsia="ja-JP"/>
              </w:rPr>
              <w:t xml:space="preserve">(WRC-15). </w:t>
            </w:r>
          </w:p>
          <w:p w14:paraId="5C7E9EA1" w14:textId="47C55A95" w:rsidR="006E1687" w:rsidRPr="005B6FD4" w:rsidRDefault="006E1687">
            <w:pPr>
              <w:spacing w:beforeLines="50" w:afterLines="50" w:after="120"/>
              <w:rPr>
                <w:rFonts w:eastAsia="MS PMincho"/>
                <w:kern w:val="2"/>
                <w:lang w:eastAsia="ja-JP"/>
              </w:rPr>
            </w:pPr>
            <w:r w:rsidRPr="005B6FD4">
              <w:rPr>
                <w:rFonts w:eastAsia="MS PMincho"/>
                <w:kern w:val="2"/>
                <w:lang w:eastAsia="ja-JP"/>
              </w:rPr>
              <w:t>In the frequency band of 5</w:t>
            </w:r>
            <w:r w:rsidR="00152435">
              <w:rPr>
                <w:rFonts w:eastAsia="MS PMincho"/>
                <w:kern w:val="2"/>
                <w:lang w:eastAsia="ja-JP"/>
              </w:rPr>
              <w:t> </w:t>
            </w:r>
            <w:r w:rsidRPr="005B6FD4">
              <w:rPr>
                <w:rFonts w:eastAsia="MS PMincho"/>
                <w:kern w:val="2"/>
                <w:lang w:eastAsia="ja-JP"/>
              </w:rPr>
              <w:t>925-6</w:t>
            </w:r>
            <w:r w:rsidR="00152435">
              <w:rPr>
                <w:rFonts w:eastAsia="MS PMincho"/>
                <w:kern w:val="2"/>
                <w:lang w:eastAsia="ja-JP"/>
              </w:rPr>
              <w:t> </w:t>
            </w:r>
            <w:r w:rsidRPr="005B6FD4">
              <w:rPr>
                <w:rFonts w:eastAsia="MS PMincho"/>
                <w:kern w:val="2"/>
                <w:lang w:eastAsia="ja-JP"/>
              </w:rPr>
              <w:t xml:space="preserve">425 MHz, the result of sharing and compatibility studies for IMT and other services are demonstrated in the Report ITU-R F.2326-0 (for the sharing studies with </w:t>
            </w:r>
            <w:r w:rsidR="008B346E" w:rsidRPr="005B6FD4">
              <w:rPr>
                <w:rFonts w:eastAsia="MS PMincho"/>
                <w:kern w:val="2"/>
                <w:lang w:eastAsia="ja-JP"/>
              </w:rPr>
              <w:t>f</w:t>
            </w:r>
            <w:r w:rsidRPr="005B6FD4">
              <w:rPr>
                <w:rFonts w:eastAsia="MS PMincho"/>
                <w:kern w:val="2"/>
                <w:lang w:eastAsia="ja-JP"/>
              </w:rPr>
              <w:t xml:space="preserve">ixed </w:t>
            </w:r>
            <w:r w:rsidR="008B346E" w:rsidRPr="005B6FD4">
              <w:rPr>
                <w:rFonts w:eastAsia="MS PMincho"/>
                <w:kern w:val="2"/>
                <w:lang w:eastAsia="ja-JP"/>
              </w:rPr>
              <w:t>s</w:t>
            </w:r>
            <w:r w:rsidRPr="005B6FD4">
              <w:rPr>
                <w:rFonts w:eastAsia="MS PMincho"/>
                <w:kern w:val="2"/>
                <w:lang w:eastAsia="ja-JP"/>
              </w:rPr>
              <w:t>ervice) and Report ITU-R S.2367 (for the sharing studies with FSS UL).</w:t>
            </w:r>
          </w:p>
        </w:tc>
      </w:tr>
      <w:tr w:rsidR="006E1687" w:rsidRPr="005B6FD4" w14:paraId="12C0FD80" w14:textId="77777777" w:rsidTr="001050C2">
        <w:tc>
          <w:tcPr>
            <w:tcW w:w="4205" w:type="dxa"/>
          </w:tcPr>
          <w:p w14:paraId="73D923F9" w14:textId="77777777" w:rsidR="006E1687" w:rsidRPr="005B6FD4" w:rsidRDefault="006E1687" w:rsidP="001050C2">
            <w:pPr>
              <w:spacing w:beforeLines="50" w:afterLines="50" w:after="120"/>
              <w:rPr>
                <w:rFonts w:eastAsia="MS Gothic"/>
                <w:b/>
                <w:bCs/>
                <w:i/>
                <w:iCs/>
                <w:kern w:val="2"/>
                <w:lang w:eastAsia="ja-JP"/>
              </w:rPr>
            </w:pPr>
            <w:r w:rsidRPr="005B6FD4">
              <w:rPr>
                <w:rFonts w:eastAsia="MS Gothic"/>
                <w:b/>
                <w:bCs/>
                <w:i/>
                <w:iCs/>
                <w:kern w:val="2"/>
              </w:rPr>
              <w:lastRenderedPageBreak/>
              <w:t>Studies to be carried out by:</w:t>
            </w:r>
          </w:p>
          <w:p w14:paraId="6C460436" w14:textId="77777777" w:rsidR="006E1687" w:rsidRPr="005B6FD4" w:rsidRDefault="006E1687" w:rsidP="001050C2">
            <w:pPr>
              <w:spacing w:beforeLines="50" w:afterLines="50" w:after="120"/>
              <w:rPr>
                <w:rFonts w:eastAsia="SimSun"/>
                <w:bCs/>
                <w:iCs/>
                <w:kern w:val="2"/>
                <w:lang w:eastAsia="ko-KR"/>
              </w:rPr>
            </w:pPr>
            <w:r w:rsidRPr="005B6FD4">
              <w:rPr>
                <w:rFonts w:eastAsia="SimSun"/>
                <w:bCs/>
                <w:iCs/>
                <w:kern w:val="2"/>
                <w:lang w:eastAsia="ko-KR"/>
              </w:rPr>
              <w:t>ITU-R SG5</w:t>
            </w:r>
          </w:p>
        </w:tc>
        <w:tc>
          <w:tcPr>
            <w:tcW w:w="5112" w:type="dxa"/>
          </w:tcPr>
          <w:p w14:paraId="551C81A1" w14:textId="77777777" w:rsidR="006E1687" w:rsidRPr="005B6FD4" w:rsidRDefault="006E1687" w:rsidP="001050C2">
            <w:pPr>
              <w:spacing w:beforeLines="50" w:afterLines="50" w:after="120"/>
              <w:rPr>
                <w:rFonts w:eastAsia="MS Gothic"/>
                <w:b/>
                <w:bCs/>
                <w:i/>
                <w:iCs/>
                <w:kern w:val="2"/>
                <w:lang w:eastAsia="ja-JP"/>
              </w:rPr>
            </w:pPr>
            <w:r w:rsidRPr="005B6FD4">
              <w:rPr>
                <w:rFonts w:eastAsia="MS Gothic"/>
                <w:b/>
                <w:bCs/>
                <w:i/>
                <w:iCs/>
                <w:kern w:val="2"/>
              </w:rPr>
              <w:t>with participation of:</w:t>
            </w:r>
          </w:p>
          <w:p w14:paraId="41A5DAA0" w14:textId="77777777" w:rsidR="006E1687" w:rsidRPr="005B6FD4" w:rsidRDefault="006E1687" w:rsidP="001050C2">
            <w:pPr>
              <w:spacing w:beforeLines="50" w:afterLines="50" w:after="120"/>
              <w:rPr>
                <w:rFonts w:eastAsia="MS Gothic"/>
                <w:kern w:val="2"/>
                <w:lang w:eastAsia="ja-JP"/>
              </w:rPr>
            </w:pPr>
            <w:r w:rsidRPr="005B6FD4">
              <w:rPr>
                <w:rFonts w:eastAsia="MS Gothic"/>
                <w:kern w:val="2"/>
                <w:lang w:eastAsia="ja-JP"/>
              </w:rPr>
              <w:t>Administrations</w:t>
            </w:r>
            <w:r w:rsidRPr="005B6FD4">
              <w:rPr>
                <w:rFonts w:eastAsia="SimSun"/>
                <w:kern w:val="2"/>
                <w:lang w:eastAsia="ko-KR"/>
              </w:rPr>
              <w:t xml:space="preserve"> and Sector members of the ITU-R</w:t>
            </w:r>
          </w:p>
        </w:tc>
      </w:tr>
      <w:tr w:rsidR="006E1687" w:rsidRPr="005B6FD4" w14:paraId="0A80EA84" w14:textId="77777777" w:rsidTr="001050C2">
        <w:tc>
          <w:tcPr>
            <w:tcW w:w="9317" w:type="dxa"/>
            <w:gridSpan w:val="2"/>
          </w:tcPr>
          <w:p w14:paraId="10C9D505" w14:textId="77777777" w:rsidR="006E1687" w:rsidRPr="005B6FD4" w:rsidRDefault="006E1687" w:rsidP="001050C2">
            <w:pPr>
              <w:spacing w:beforeLines="50" w:afterLines="50" w:after="120"/>
              <w:rPr>
                <w:rFonts w:eastAsia="MS Gothic"/>
                <w:b/>
                <w:bCs/>
                <w:i/>
                <w:iCs/>
                <w:kern w:val="2"/>
                <w:lang w:eastAsia="ja-JP"/>
              </w:rPr>
            </w:pPr>
            <w:r w:rsidRPr="005B6FD4">
              <w:rPr>
                <w:rFonts w:eastAsia="MS Gothic"/>
                <w:b/>
                <w:bCs/>
                <w:i/>
                <w:iCs/>
                <w:kern w:val="2"/>
              </w:rPr>
              <w:t>ITU-R Study Groups concerned:</w:t>
            </w:r>
          </w:p>
          <w:p w14:paraId="29FDD92A" w14:textId="77777777" w:rsidR="006E1687" w:rsidRPr="005B6FD4" w:rsidRDefault="006E1687" w:rsidP="001050C2">
            <w:pPr>
              <w:spacing w:beforeLines="50" w:afterLines="50" w:after="120"/>
              <w:rPr>
                <w:rFonts w:eastAsia="Malgun Gothic"/>
                <w:kern w:val="2"/>
                <w:lang w:eastAsia="ko-KR"/>
              </w:rPr>
            </w:pPr>
            <w:r w:rsidRPr="005B6FD4">
              <w:rPr>
                <w:rFonts w:eastAsia="MS Gothic"/>
                <w:bCs/>
                <w:iCs/>
                <w:kern w:val="2"/>
                <w:lang w:eastAsia="ja-JP"/>
              </w:rPr>
              <w:t>SG5, SG4 and other groups</w:t>
            </w:r>
          </w:p>
        </w:tc>
      </w:tr>
      <w:tr w:rsidR="006E1687" w:rsidRPr="005B6FD4" w14:paraId="6EAF7BE9" w14:textId="77777777" w:rsidTr="001050C2">
        <w:trPr>
          <w:trHeight w:val="1087"/>
        </w:trPr>
        <w:tc>
          <w:tcPr>
            <w:tcW w:w="9317" w:type="dxa"/>
            <w:gridSpan w:val="2"/>
          </w:tcPr>
          <w:p w14:paraId="0EB17DA8" w14:textId="77777777" w:rsidR="006E1687" w:rsidRPr="005B6FD4" w:rsidRDefault="006E1687" w:rsidP="001050C2">
            <w:pPr>
              <w:spacing w:beforeLines="50" w:afterLines="50" w:after="120"/>
              <w:rPr>
                <w:rFonts w:eastAsia="MS Gothic"/>
                <w:kern w:val="2"/>
                <w:lang w:eastAsia="ja-JP"/>
              </w:rPr>
            </w:pPr>
            <w:r w:rsidRPr="005B6FD4">
              <w:rPr>
                <w:rFonts w:eastAsia="MS Gothic"/>
                <w:b/>
                <w:bCs/>
                <w:i/>
                <w:iCs/>
                <w:kern w:val="2"/>
              </w:rPr>
              <w:t xml:space="preserve">ITU </w:t>
            </w:r>
            <w:r w:rsidRPr="005B6FD4">
              <w:rPr>
                <w:rFonts w:eastAsia="MS Gothic"/>
                <w:b/>
                <w:bCs/>
                <w:i/>
                <w:iCs/>
                <w:kern w:val="2"/>
                <w:lang w:eastAsia="ja-JP"/>
              </w:rPr>
              <w:t>r</w:t>
            </w:r>
            <w:r w:rsidRPr="005B6FD4">
              <w:rPr>
                <w:rFonts w:eastAsia="MS Gothic"/>
                <w:b/>
                <w:bCs/>
                <w:i/>
                <w:iCs/>
                <w:kern w:val="2"/>
              </w:rPr>
              <w:t xml:space="preserve">esource </w:t>
            </w:r>
            <w:r w:rsidRPr="005B6FD4">
              <w:rPr>
                <w:rFonts w:eastAsia="MS Gothic"/>
                <w:b/>
                <w:bCs/>
                <w:i/>
                <w:iCs/>
                <w:kern w:val="2"/>
                <w:lang w:eastAsia="ja-JP"/>
              </w:rPr>
              <w:t>i</w:t>
            </w:r>
            <w:r w:rsidRPr="005B6FD4">
              <w:rPr>
                <w:rFonts w:eastAsia="MS Gothic"/>
                <w:b/>
                <w:bCs/>
                <w:i/>
                <w:iCs/>
                <w:kern w:val="2"/>
              </w:rPr>
              <w:t>mplications</w:t>
            </w:r>
            <w:r w:rsidRPr="005B6FD4">
              <w:rPr>
                <w:rFonts w:eastAsia="MS Gothic"/>
                <w:b/>
                <w:bCs/>
                <w:i/>
                <w:iCs/>
                <w:kern w:val="2"/>
                <w:lang w:eastAsia="ja-JP"/>
              </w:rPr>
              <w:t>,</w:t>
            </w:r>
            <w:r w:rsidRPr="005B6FD4">
              <w:rPr>
                <w:rFonts w:eastAsia="MS Gothic"/>
                <w:b/>
                <w:bCs/>
                <w:i/>
                <w:iCs/>
                <w:kern w:val="2"/>
              </w:rPr>
              <w:t xml:space="preserve"> including financial i</w:t>
            </w:r>
            <w:r w:rsidRPr="005B6FD4">
              <w:rPr>
                <w:rFonts w:eastAsia="MS Gothic"/>
                <w:b/>
                <w:bCs/>
                <w:i/>
                <w:iCs/>
                <w:kern w:val="2"/>
                <w:lang w:eastAsia="ja-JP"/>
              </w:rPr>
              <w:t>mpli</w:t>
            </w:r>
            <w:r w:rsidRPr="005B6FD4">
              <w:rPr>
                <w:rFonts w:eastAsia="MS Gothic"/>
                <w:b/>
                <w:bCs/>
                <w:i/>
                <w:iCs/>
                <w:kern w:val="2"/>
              </w:rPr>
              <w:t>cations (refer to CV 126)</w:t>
            </w:r>
            <w:r w:rsidRPr="005B6FD4">
              <w:rPr>
                <w:rFonts w:eastAsia="MS Gothic"/>
                <w:b/>
                <w:bCs/>
                <w:i/>
                <w:iCs/>
                <w:kern w:val="2"/>
                <w:lang w:eastAsia="ja-JP"/>
              </w:rPr>
              <w:t>:</w:t>
            </w:r>
          </w:p>
          <w:p w14:paraId="4A2E563F" w14:textId="77777777" w:rsidR="006E1687" w:rsidRPr="005B6FD4" w:rsidRDefault="006E1687" w:rsidP="001050C2">
            <w:pPr>
              <w:rPr>
                <w:rFonts w:eastAsia="SimSun"/>
                <w:kern w:val="2"/>
                <w:lang w:eastAsia="zh-CN"/>
              </w:rPr>
            </w:pPr>
            <w:r w:rsidRPr="005B6FD4">
              <w:rPr>
                <w:rFonts w:eastAsia="SimSun"/>
                <w:kern w:val="2"/>
                <w:lang w:eastAsia="zh-CN"/>
              </w:rPr>
              <w:t>If a dedicated task group is needed to carry out research it will require a related budget.</w:t>
            </w:r>
          </w:p>
        </w:tc>
      </w:tr>
      <w:tr w:rsidR="006E1687" w:rsidRPr="005B6FD4" w14:paraId="0DAFC068" w14:textId="77777777" w:rsidTr="001050C2">
        <w:trPr>
          <w:trHeight w:val="612"/>
        </w:trPr>
        <w:tc>
          <w:tcPr>
            <w:tcW w:w="4205" w:type="dxa"/>
          </w:tcPr>
          <w:p w14:paraId="5D318F5B" w14:textId="77777777" w:rsidR="006E1687" w:rsidRPr="005B6FD4" w:rsidRDefault="006E1687" w:rsidP="001050C2">
            <w:pPr>
              <w:spacing w:beforeLines="50" w:afterLines="50" w:after="120"/>
              <w:rPr>
                <w:rFonts w:eastAsia="MS Gothic"/>
                <w:b/>
                <w:bCs/>
                <w:i/>
                <w:iCs/>
                <w:kern w:val="2"/>
                <w:lang w:eastAsia="ja-JP"/>
              </w:rPr>
            </w:pPr>
            <w:r w:rsidRPr="005B6FD4">
              <w:rPr>
                <w:rFonts w:eastAsia="MS Gothic"/>
                <w:b/>
                <w:bCs/>
                <w:i/>
                <w:iCs/>
                <w:kern w:val="2"/>
              </w:rPr>
              <w:t xml:space="preserve">Common </w:t>
            </w:r>
            <w:r w:rsidRPr="005B6FD4">
              <w:rPr>
                <w:rFonts w:eastAsia="MS Gothic"/>
                <w:b/>
                <w:bCs/>
                <w:i/>
                <w:iCs/>
                <w:kern w:val="2"/>
                <w:lang w:eastAsia="ja-JP"/>
              </w:rPr>
              <w:t>regional p</w:t>
            </w:r>
            <w:r w:rsidRPr="005B6FD4">
              <w:rPr>
                <w:rFonts w:eastAsia="MS Gothic"/>
                <w:b/>
                <w:bCs/>
                <w:i/>
                <w:iCs/>
                <w:kern w:val="2"/>
              </w:rPr>
              <w:t>roposal:</w:t>
            </w:r>
          </w:p>
          <w:p w14:paraId="51557DAF" w14:textId="77777777" w:rsidR="006E1687" w:rsidRPr="005B6FD4" w:rsidRDefault="006E1687" w:rsidP="001050C2">
            <w:pPr>
              <w:spacing w:beforeLines="50" w:afterLines="50" w:after="120"/>
              <w:rPr>
                <w:rFonts w:eastAsia="SimSun"/>
                <w:kern w:val="2"/>
                <w:lang w:eastAsia="ko-KR"/>
              </w:rPr>
            </w:pPr>
            <w:r w:rsidRPr="005B6FD4">
              <w:rPr>
                <w:rFonts w:eastAsia="MS Gothic"/>
                <w:bCs/>
                <w:iCs/>
                <w:kern w:val="2"/>
                <w:lang w:eastAsia="ja-JP"/>
              </w:rPr>
              <w:t>Yes</w:t>
            </w:r>
          </w:p>
        </w:tc>
        <w:tc>
          <w:tcPr>
            <w:tcW w:w="5112" w:type="dxa"/>
          </w:tcPr>
          <w:p w14:paraId="57C3846E" w14:textId="77777777" w:rsidR="006E1687" w:rsidRPr="005B6FD4" w:rsidRDefault="006E1687" w:rsidP="001050C2">
            <w:pPr>
              <w:spacing w:beforeLines="50" w:afterLines="50" w:after="120"/>
              <w:rPr>
                <w:rFonts w:eastAsia="SimSun"/>
                <w:kern w:val="2"/>
                <w:lang w:eastAsia="ko-KR"/>
              </w:rPr>
            </w:pPr>
            <w:r w:rsidRPr="005B6FD4">
              <w:rPr>
                <w:rFonts w:eastAsia="MS Gothic"/>
                <w:b/>
                <w:bCs/>
                <w:i/>
                <w:iCs/>
                <w:kern w:val="2"/>
              </w:rPr>
              <w:t xml:space="preserve">Multicountry Proposal: </w:t>
            </w:r>
            <w:r w:rsidRPr="005B6FD4">
              <w:rPr>
                <w:rFonts w:eastAsia="SimSun"/>
                <w:bCs/>
                <w:iCs/>
                <w:kern w:val="2"/>
                <w:lang w:eastAsia="ko-KR"/>
              </w:rPr>
              <w:t>No</w:t>
            </w:r>
          </w:p>
          <w:p w14:paraId="02BC5259" w14:textId="77777777" w:rsidR="006E1687" w:rsidRPr="005B6FD4" w:rsidRDefault="006E1687" w:rsidP="001050C2">
            <w:pPr>
              <w:spacing w:beforeLines="50" w:afterLines="50" w:after="120"/>
              <w:rPr>
                <w:rFonts w:eastAsia="Malgun Gothic"/>
                <w:kern w:val="2"/>
                <w:lang w:eastAsia="ko-KR"/>
              </w:rPr>
            </w:pPr>
            <w:r w:rsidRPr="005B6FD4">
              <w:rPr>
                <w:rFonts w:eastAsia="MS Gothic"/>
                <w:b/>
                <w:bCs/>
                <w:i/>
                <w:iCs/>
                <w:kern w:val="2"/>
                <w:lang w:eastAsia="ja-JP"/>
              </w:rPr>
              <w:t>Number of countries</w:t>
            </w:r>
            <w:r w:rsidRPr="005B6FD4">
              <w:rPr>
                <w:rFonts w:eastAsia="MS Gothic"/>
                <w:b/>
                <w:bCs/>
                <w:i/>
                <w:iCs/>
                <w:kern w:val="2"/>
              </w:rPr>
              <w:t>:</w:t>
            </w:r>
          </w:p>
        </w:tc>
      </w:tr>
      <w:tr w:rsidR="006E1687" w:rsidRPr="00E66A6F" w14:paraId="6575A2B8" w14:textId="77777777" w:rsidTr="001050C2">
        <w:trPr>
          <w:trHeight w:val="70"/>
        </w:trPr>
        <w:tc>
          <w:tcPr>
            <w:tcW w:w="9317" w:type="dxa"/>
            <w:gridSpan w:val="2"/>
          </w:tcPr>
          <w:p w14:paraId="2A74FF5F" w14:textId="77777777" w:rsidR="006E1687" w:rsidRPr="00E66A6F" w:rsidRDefault="006E1687" w:rsidP="001050C2">
            <w:pPr>
              <w:spacing w:beforeLines="50" w:afterLines="50" w:after="120"/>
              <w:rPr>
                <w:rFonts w:eastAsia="SimSun"/>
                <w:b/>
                <w:bCs/>
                <w:i/>
                <w:iCs/>
                <w:kern w:val="2"/>
                <w:lang w:eastAsia="ko-KR"/>
              </w:rPr>
            </w:pPr>
            <w:r w:rsidRPr="005B6FD4">
              <w:rPr>
                <w:rFonts w:eastAsia="MS Gothic"/>
                <w:b/>
                <w:bCs/>
                <w:i/>
                <w:iCs/>
                <w:kern w:val="2"/>
              </w:rPr>
              <w:t>Remarks</w:t>
            </w:r>
          </w:p>
        </w:tc>
      </w:tr>
    </w:tbl>
    <w:p w14:paraId="6CF06A6C" w14:textId="77777777" w:rsidR="006E1687" w:rsidRDefault="006E1687" w:rsidP="006E1687">
      <w:bookmarkStart w:id="12" w:name="_GoBack"/>
      <w:bookmarkEnd w:id="12"/>
    </w:p>
    <w:p w14:paraId="5E2F9B8E" w14:textId="77777777" w:rsidR="006E1687" w:rsidRDefault="006E1687" w:rsidP="006E1687">
      <w:pPr>
        <w:jc w:val="center"/>
      </w:pPr>
      <w:r>
        <w:t>________________</w:t>
      </w:r>
    </w:p>
    <w:sectPr w:rsidR="006E1687"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1125A" w14:textId="77777777" w:rsidR="0016182E" w:rsidRDefault="0016182E">
      <w:r>
        <w:separator/>
      </w:r>
    </w:p>
  </w:endnote>
  <w:endnote w:type="continuationSeparator" w:id="0">
    <w:p w14:paraId="19AC2B4F" w14:textId="77777777" w:rsidR="0016182E" w:rsidRDefault="0016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06D9D" w14:textId="77777777" w:rsidR="00E45D05" w:rsidRDefault="00E45D05">
    <w:pPr>
      <w:framePr w:wrap="around" w:vAnchor="text" w:hAnchor="margin" w:xAlign="right" w:y="1"/>
    </w:pPr>
    <w:r>
      <w:fldChar w:fldCharType="begin"/>
    </w:r>
    <w:r>
      <w:instrText xml:space="preserve">PAGE  </w:instrText>
    </w:r>
    <w:r>
      <w:fldChar w:fldCharType="end"/>
    </w:r>
  </w:p>
  <w:p w14:paraId="02AA056B" w14:textId="2F36B3A5"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062E9E">
      <w:rPr>
        <w:noProof/>
        <w:lang w:val="en-US"/>
      </w:rPr>
      <w:t>P:\ENG\ITU-R\CONF-R\CMR19\000\024ADD24ADD03E.docx</w:t>
    </w:r>
    <w:r>
      <w:fldChar w:fldCharType="end"/>
    </w:r>
    <w:r w:rsidRPr="0041348E">
      <w:rPr>
        <w:lang w:val="en-US"/>
      </w:rPr>
      <w:tab/>
    </w:r>
    <w:r>
      <w:fldChar w:fldCharType="begin"/>
    </w:r>
    <w:r>
      <w:instrText xml:space="preserve"> SAVEDATE \@ DD.MM.YY </w:instrText>
    </w:r>
    <w:r>
      <w:fldChar w:fldCharType="separate"/>
    </w:r>
    <w:r w:rsidR="00062E9E">
      <w:rPr>
        <w:noProof/>
      </w:rPr>
      <w:t>30.09.19</w:t>
    </w:r>
    <w:r>
      <w:fldChar w:fldCharType="end"/>
    </w:r>
    <w:r w:rsidRPr="0041348E">
      <w:rPr>
        <w:lang w:val="en-US"/>
      </w:rPr>
      <w:tab/>
    </w:r>
    <w:r>
      <w:fldChar w:fldCharType="begin"/>
    </w:r>
    <w:r>
      <w:instrText xml:space="preserve"> PRINTDATE \@ DD.MM.YY </w:instrText>
    </w:r>
    <w:r>
      <w:fldChar w:fldCharType="separate"/>
    </w:r>
    <w:r w:rsidR="00062E9E">
      <w:rPr>
        <w:noProof/>
      </w:rPr>
      <w:t>30.09.19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D0EB" w14:textId="09EB3CCB" w:rsidR="00E45D05" w:rsidRDefault="00E45D05" w:rsidP="009B1EA1">
    <w:pPr>
      <w:pStyle w:val="Footer"/>
    </w:pPr>
    <w:r>
      <w:fldChar w:fldCharType="begin"/>
    </w:r>
    <w:r w:rsidRPr="0041348E">
      <w:rPr>
        <w:lang w:val="en-US"/>
      </w:rPr>
      <w:instrText xml:space="preserve"> FILENAME \p  \* MERGEFORMAT </w:instrText>
    </w:r>
    <w:r>
      <w:fldChar w:fldCharType="separate"/>
    </w:r>
    <w:r w:rsidR="00062E9E">
      <w:rPr>
        <w:lang w:val="en-US"/>
      </w:rPr>
      <w:t>P:\ENG\ITU-R\CONF-R\CMR19\000\024ADD24ADD03E.docx</w:t>
    </w:r>
    <w:r>
      <w:fldChar w:fldCharType="end"/>
    </w:r>
    <w:r w:rsidR="00152435">
      <w:t xml:space="preserve"> (461092)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675B2" w14:textId="190FDE9D"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062E9E">
      <w:rPr>
        <w:lang w:val="en-US"/>
      </w:rPr>
      <w:t>P:\ENG\ITU-R\CONF-R\CMR19\000\024ADD24ADD03E.docx</w:t>
    </w:r>
    <w:r>
      <w:fldChar w:fldCharType="end"/>
    </w:r>
    <w:r w:rsidR="00152435">
      <w:t xml:space="preserve"> (461092)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171FC" w14:textId="77777777" w:rsidR="0016182E" w:rsidRDefault="0016182E">
      <w:r>
        <w:rPr>
          <w:b/>
        </w:rPr>
        <w:t>_______________</w:t>
      </w:r>
    </w:p>
  </w:footnote>
  <w:footnote w:type="continuationSeparator" w:id="0">
    <w:p w14:paraId="28C96BE5" w14:textId="77777777" w:rsidR="0016182E" w:rsidRDefault="0016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255EC" w14:textId="77777777" w:rsidR="00E45D05" w:rsidRDefault="00A066F1" w:rsidP="00187BD9">
    <w:pPr>
      <w:pStyle w:val="Header"/>
    </w:pPr>
    <w:r>
      <w:fldChar w:fldCharType="begin"/>
    </w:r>
    <w:r>
      <w:instrText xml:space="preserve"> PAGE  \* MERGEFORMAT </w:instrText>
    </w:r>
    <w:r>
      <w:fldChar w:fldCharType="separate"/>
    </w:r>
    <w:r w:rsidR="004213CB">
      <w:rPr>
        <w:noProof/>
      </w:rPr>
      <w:t>3</w:t>
    </w:r>
    <w:r>
      <w:fldChar w:fldCharType="end"/>
    </w:r>
  </w:p>
  <w:p w14:paraId="21B7350C" w14:textId="77777777" w:rsidR="00A066F1" w:rsidRPr="00A066F1" w:rsidRDefault="00187BD9" w:rsidP="00241FA2">
    <w:pPr>
      <w:pStyle w:val="Header"/>
    </w:pPr>
    <w:r>
      <w:t>CMR1</w:t>
    </w:r>
    <w:r w:rsidR="00202756">
      <w:t>9</w:t>
    </w:r>
    <w:r w:rsidR="00A066F1">
      <w:t>/</w:t>
    </w:r>
    <w:bookmarkStart w:id="13" w:name="OLE_LINK1"/>
    <w:bookmarkStart w:id="14" w:name="OLE_LINK2"/>
    <w:bookmarkStart w:id="15" w:name="OLE_LINK3"/>
    <w:r w:rsidR="00EB55C6">
      <w:t>24(Add.24)(Add.3)</w:t>
    </w:r>
    <w:bookmarkEnd w:id="13"/>
    <w:bookmarkEnd w:id="14"/>
    <w:bookmarkEnd w:id="15"/>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7"/>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62E9E"/>
    <w:rsid w:val="000705F2"/>
    <w:rsid w:val="00077239"/>
    <w:rsid w:val="0007795D"/>
    <w:rsid w:val="00086491"/>
    <w:rsid w:val="00091346"/>
    <w:rsid w:val="0009706C"/>
    <w:rsid w:val="000C0EF3"/>
    <w:rsid w:val="000D154B"/>
    <w:rsid w:val="000D2DAF"/>
    <w:rsid w:val="000E463E"/>
    <w:rsid w:val="000F73FF"/>
    <w:rsid w:val="00114CF7"/>
    <w:rsid w:val="00116C7A"/>
    <w:rsid w:val="00123B68"/>
    <w:rsid w:val="00126F2E"/>
    <w:rsid w:val="00146F6F"/>
    <w:rsid w:val="00152435"/>
    <w:rsid w:val="0016182E"/>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5481A"/>
    <w:rsid w:val="00361B37"/>
    <w:rsid w:val="00377BD3"/>
    <w:rsid w:val="00384088"/>
    <w:rsid w:val="003852CE"/>
    <w:rsid w:val="0039169B"/>
    <w:rsid w:val="003A7F8C"/>
    <w:rsid w:val="003B2284"/>
    <w:rsid w:val="003B532E"/>
    <w:rsid w:val="003B634E"/>
    <w:rsid w:val="003D0F8B"/>
    <w:rsid w:val="003E0DB6"/>
    <w:rsid w:val="003F1C8B"/>
    <w:rsid w:val="0041348E"/>
    <w:rsid w:val="00420873"/>
    <w:rsid w:val="004213CB"/>
    <w:rsid w:val="004501D6"/>
    <w:rsid w:val="00492075"/>
    <w:rsid w:val="004969AD"/>
    <w:rsid w:val="004A26C4"/>
    <w:rsid w:val="004B13CB"/>
    <w:rsid w:val="004D26EA"/>
    <w:rsid w:val="004D2BFB"/>
    <w:rsid w:val="004D5D5C"/>
    <w:rsid w:val="004F3DC0"/>
    <w:rsid w:val="0050139F"/>
    <w:rsid w:val="00522A30"/>
    <w:rsid w:val="0055140B"/>
    <w:rsid w:val="005964AB"/>
    <w:rsid w:val="005A55A8"/>
    <w:rsid w:val="005B6FD4"/>
    <w:rsid w:val="005C099A"/>
    <w:rsid w:val="005C31A5"/>
    <w:rsid w:val="005E10C9"/>
    <w:rsid w:val="005E290B"/>
    <w:rsid w:val="005E61DD"/>
    <w:rsid w:val="005F04D8"/>
    <w:rsid w:val="006023DF"/>
    <w:rsid w:val="00615426"/>
    <w:rsid w:val="00616219"/>
    <w:rsid w:val="00637038"/>
    <w:rsid w:val="00645B7D"/>
    <w:rsid w:val="00657DE0"/>
    <w:rsid w:val="00685313"/>
    <w:rsid w:val="0069201D"/>
    <w:rsid w:val="00692833"/>
    <w:rsid w:val="006A6E9B"/>
    <w:rsid w:val="006B7C2A"/>
    <w:rsid w:val="006C23DA"/>
    <w:rsid w:val="006E1687"/>
    <w:rsid w:val="006E3D45"/>
    <w:rsid w:val="0070607A"/>
    <w:rsid w:val="007149F9"/>
    <w:rsid w:val="00733A30"/>
    <w:rsid w:val="00745AEE"/>
    <w:rsid w:val="00750F10"/>
    <w:rsid w:val="007742CA"/>
    <w:rsid w:val="007821AA"/>
    <w:rsid w:val="0078776F"/>
    <w:rsid w:val="00790D70"/>
    <w:rsid w:val="007A6F1F"/>
    <w:rsid w:val="007D5320"/>
    <w:rsid w:val="00800972"/>
    <w:rsid w:val="00804475"/>
    <w:rsid w:val="00811633"/>
    <w:rsid w:val="00814037"/>
    <w:rsid w:val="00841216"/>
    <w:rsid w:val="00842AF0"/>
    <w:rsid w:val="0086171E"/>
    <w:rsid w:val="00872FC8"/>
    <w:rsid w:val="008845D0"/>
    <w:rsid w:val="00884D60"/>
    <w:rsid w:val="008B346E"/>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39E9"/>
    <w:rsid w:val="00B657BE"/>
    <w:rsid w:val="00B817CD"/>
    <w:rsid w:val="00B81A7D"/>
    <w:rsid w:val="00B94AD0"/>
    <w:rsid w:val="00BB3A95"/>
    <w:rsid w:val="00BD6CCE"/>
    <w:rsid w:val="00C0018F"/>
    <w:rsid w:val="00C16A5A"/>
    <w:rsid w:val="00C20466"/>
    <w:rsid w:val="00C214ED"/>
    <w:rsid w:val="00C234E6"/>
    <w:rsid w:val="00C324A8"/>
    <w:rsid w:val="00C54517"/>
    <w:rsid w:val="00C564D0"/>
    <w:rsid w:val="00C56948"/>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1D4E"/>
    <w:rsid w:val="00D268B3"/>
    <w:rsid w:val="00D27F76"/>
    <w:rsid w:val="00D52FD6"/>
    <w:rsid w:val="00D54009"/>
    <w:rsid w:val="00D5651D"/>
    <w:rsid w:val="00D57A34"/>
    <w:rsid w:val="00D74898"/>
    <w:rsid w:val="00D801ED"/>
    <w:rsid w:val="00D936BC"/>
    <w:rsid w:val="00D96530"/>
    <w:rsid w:val="00DA1CB1"/>
    <w:rsid w:val="00DD44AF"/>
    <w:rsid w:val="00DE1018"/>
    <w:rsid w:val="00DE2AC3"/>
    <w:rsid w:val="00DE5692"/>
    <w:rsid w:val="00DE6300"/>
    <w:rsid w:val="00DF2AA5"/>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2A637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R16-WRC19-C-0024!A24-A3!MSW-E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03A4C-8AD7-4537-80FE-43086F3DA99C}">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 ds:uri="996b2e75-67fd-4955-a3b0-5ab9934cb50b"/>
    <ds:schemaRef ds:uri="http://schemas.microsoft.com/office/2006/metadata/properties"/>
    <ds:schemaRef ds:uri="http://purl.org/dc/terms/"/>
    <ds:schemaRef ds:uri="32a1a8c5-2265-4ebc-b7a0-2071e2c5c9bb"/>
    <ds:schemaRef ds:uri="http://www.w3.org/XML/1998/namespace"/>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050977-6DE5-4FE6-9E39-02A42173FDBB}">
  <ds:schemaRefs>
    <ds:schemaRef ds:uri="http://schemas.microsoft.com/sharepoint/v3/contenttype/forms"/>
  </ds:schemaRefs>
</ds:datastoreItem>
</file>

<file path=customXml/itemProps5.xml><?xml version="1.0" encoding="utf-8"?>
<ds:datastoreItem xmlns:ds="http://schemas.openxmlformats.org/officeDocument/2006/customXml" ds:itemID="{653AB4FD-4E6E-423B-8CB8-48437C64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1206</Words>
  <Characters>6954</Characters>
  <Application>Microsoft Office Word</Application>
  <DocSecurity>0</DocSecurity>
  <Lines>149</Lines>
  <Paragraphs>81</Paragraphs>
  <ScaleCrop>false</ScaleCrop>
  <HeadingPairs>
    <vt:vector size="2" baseType="variant">
      <vt:variant>
        <vt:lpstr>Title</vt:lpstr>
      </vt:variant>
      <vt:variant>
        <vt:i4>1</vt:i4>
      </vt:variant>
    </vt:vector>
  </HeadingPairs>
  <TitlesOfParts>
    <vt:vector size="1" baseType="lpstr">
      <vt:lpstr>R16-WRC19-C-0024!A24-A3!MSW-E</vt:lpstr>
    </vt:vector>
  </TitlesOfParts>
  <Manager>General Secretariat - Pool</Manager>
  <Company>International Telecommunication Union (ITU)</Company>
  <LinksUpToDate>false</LinksUpToDate>
  <CharactersWithSpaces>8089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R16-WRC19-C-0024!A24-A3!MSW-E</dc:title>
  <dc:subject>World Radiocommunication Conference - 2019</dc:subject>
  <dc:creator>Documents Proposals Manager (DPM)</dc:creator>
  <cp:keywords>DPM_v2019.9.20.1_prod</cp:keywords>
  <dc:description>Uploaded on 2015.07.06</dc:description>
  <cp:lastModifiedBy>Currie, Jane</cp:lastModifiedBy>
  <cp:revision>7</cp:revision>
  <cp:lastPrinted>2019-09-30T14:21:00Z</cp:lastPrinted>
  <dcterms:created xsi:type="dcterms:W3CDTF">2019-09-27T08:21:00Z</dcterms:created>
  <dcterms:modified xsi:type="dcterms:W3CDTF">2019-09-30T14:21:00Z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