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5592B5FF" w14:textId="77777777" w:rsidTr="00967FA5">
        <w:trPr>
          <w:cantSplit/>
        </w:trPr>
        <w:tc>
          <w:tcPr>
            <w:tcW w:w="6663" w:type="dxa"/>
          </w:tcPr>
          <w:p w14:paraId="59FCEA2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56B0BEC0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5727A9AD" wp14:editId="27A5414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5260BF4" w14:textId="77777777" w:rsidTr="00967FA5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785CE734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1F1EA17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3E9058F" w14:textId="77777777" w:rsidTr="00967FA5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FA57DC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1AD7627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1117243" w14:textId="77777777" w:rsidTr="00967FA5">
        <w:trPr>
          <w:cantSplit/>
          <w:trHeight w:val="23"/>
        </w:trPr>
        <w:tc>
          <w:tcPr>
            <w:tcW w:w="6663" w:type="dxa"/>
          </w:tcPr>
          <w:p w14:paraId="2D871DB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338C8685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074B7FD7" w14:textId="77777777" w:rsidTr="00967FA5">
        <w:trPr>
          <w:cantSplit/>
          <w:trHeight w:val="23"/>
        </w:trPr>
        <w:tc>
          <w:tcPr>
            <w:tcW w:w="6663" w:type="dxa"/>
          </w:tcPr>
          <w:p w14:paraId="055934EF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4A5057F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9190A45" w14:textId="77777777" w:rsidTr="00967FA5">
        <w:trPr>
          <w:cantSplit/>
          <w:trHeight w:val="23"/>
        </w:trPr>
        <w:tc>
          <w:tcPr>
            <w:tcW w:w="6663" w:type="dxa"/>
          </w:tcPr>
          <w:p w14:paraId="76741E2A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5FB620E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B4DF9E0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0ABD66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6885F20" w14:textId="77777777">
        <w:trPr>
          <w:cantSplit/>
        </w:trPr>
        <w:tc>
          <w:tcPr>
            <w:tcW w:w="10031" w:type="dxa"/>
            <w:gridSpan w:val="2"/>
          </w:tcPr>
          <w:p w14:paraId="5977DDE4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D44FA8" w14:paraId="56616390" w14:textId="77777777">
        <w:trPr>
          <w:cantSplit/>
        </w:trPr>
        <w:tc>
          <w:tcPr>
            <w:tcW w:w="10031" w:type="dxa"/>
            <w:gridSpan w:val="2"/>
          </w:tcPr>
          <w:p w14:paraId="3C60531D" w14:textId="1A6C222B" w:rsidR="00D44FA8" w:rsidRDefault="00D44FA8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D44FA8" w14:paraId="2B47DA61" w14:textId="77777777">
        <w:trPr>
          <w:cantSplit/>
        </w:trPr>
        <w:tc>
          <w:tcPr>
            <w:tcW w:w="10031" w:type="dxa"/>
            <w:gridSpan w:val="2"/>
          </w:tcPr>
          <w:p w14:paraId="713577F5" w14:textId="77777777" w:rsidR="00D44FA8" w:rsidRDefault="00D44FA8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D44FA8" w14:paraId="32393021" w14:textId="77777777">
        <w:trPr>
          <w:cantSplit/>
        </w:trPr>
        <w:tc>
          <w:tcPr>
            <w:tcW w:w="10031" w:type="dxa"/>
            <w:gridSpan w:val="2"/>
          </w:tcPr>
          <w:p w14:paraId="7E91961F" w14:textId="77777777" w:rsidR="00D44FA8" w:rsidRDefault="00D44FA8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9.1(9.1.5)</w:t>
            </w:r>
          </w:p>
        </w:tc>
      </w:tr>
    </w:tbl>
    <w:bookmarkEnd w:id="6"/>
    <w:p w14:paraId="5CDAB4AA" w14:textId="77777777" w:rsidR="008B60D0" w:rsidRPr="00331A64" w:rsidRDefault="005436F3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4D51CB9A" w14:textId="77777777" w:rsidR="008B60D0" w:rsidRPr="00802ABF" w:rsidRDefault="005436F3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55FCB7B9" w14:textId="6BB2E867" w:rsidR="008B60D0" w:rsidRPr="00802ABF" w:rsidRDefault="005436F3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5)</w:t>
      </w:r>
      <w:r w:rsidRPr="00DD1F51">
        <w:rPr>
          <w:rFonts w:cstheme="majorBidi" w:hint="eastAsia"/>
          <w:color w:val="000000"/>
          <w:szCs w:val="24"/>
          <w:lang w:eastAsia="zh-CN"/>
        </w:rPr>
        <w:tab/>
      </w:r>
      <w:r w:rsidRPr="00DD1F51">
        <w:rPr>
          <w:rFonts w:cstheme="majorBidi" w:hint="eastAsia"/>
          <w:color w:val="000000"/>
          <w:szCs w:val="24"/>
          <w:lang w:eastAsia="zh-CN"/>
        </w:rPr>
        <w:t>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764</w:t>
      </w:r>
      <w:r w:rsidRPr="00DD1F51">
        <w:rPr>
          <w:rFonts w:cstheme="majorBidi" w:hint="eastAsia"/>
          <w:color w:val="000000"/>
          <w:szCs w:val="24"/>
          <w:lang w:eastAsia="zh-CN"/>
        </w:rPr>
        <w:t>号决议（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DD1F51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Pr="00DD1F51">
        <w:rPr>
          <w:rFonts w:cstheme="majorBidi" w:hint="eastAsia"/>
          <w:color w:val="000000"/>
          <w:szCs w:val="24"/>
          <w:lang w:eastAsia="zh-CN"/>
        </w:rPr>
        <w:t>）</w:t>
      </w:r>
      <w:r w:rsidR="00B31C96">
        <w:rPr>
          <w:rFonts w:cstheme="majorBidi" w:hint="eastAsia"/>
          <w:color w:val="000000"/>
          <w:szCs w:val="24"/>
          <w:lang w:eastAsia="zh-CN"/>
        </w:rPr>
        <w:t xml:space="preserve"> </w:t>
      </w:r>
      <w:r w:rsidR="00B31C96" w:rsidRPr="00B31C96">
        <w:rPr>
          <w:rFonts w:cstheme="majorBidi"/>
          <w:color w:val="000000"/>
          <w:szCs w:val="24"/>
          <w:lang w:eastAsia="zh-CN"/>
        </w:rPr>
        <w:t>–</w:t>
      </w:r>
      <w:r w:rsidR="00B31C96">
        <w:rPr>
          <w:rFonts w:cstheme="majorBidi" w:hint="eastAsia"/>
          <w:color w:val="000000"/>
          <w:szCs w:val="24"/>
          <w:lang w:eastAsia="zh-CN"/>
        </w:rPr>
        <w:t xml:space="preserve"> </w:t>
      </w:r>
      <w:r w:rsidRPr="00DD1F51">
        <w:rPr>
          <w:rFonts w:cstheme="majorBidi" w:hint="eastAsia"/>
          <w:color w:val="000000"/>
          <w:szCs w:val="24"/>
          <w:lang w:eastAsia="zh-CN"/>
        </w:rPr>
        <w:t>审查在《无线电规则》第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5.447F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5.450A</w:t>
      </w:r>
      <w:r w:rsidRPr="00DD1F51">
        <w:rPr>
          <w:rFonts w:cstheme="majorBidi" w:hint="eastAsia"/>
          <w:color w:val="000000"/>
          <w:szCs w:val="24"/>
          <w:lang w:eastAsia="zh-CN"/>
        </w:rPr>
        <w:t>款中引证</w:t>
      </w:r>
      <w:r w:rsidRPr="00DD1F51">
        <w:rPr>
          <w:rFonts w:cstheme="majorBidi" w:hint="eastAsia"/>
          <w:color w:val="000000"/>
          <w:szCs w:val="24"/>
          <w:lang w:eastAsia="zh-CN"/>
        </w:rPr>
        <w:t>ITU-R M.1638-1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color w:val="000000"/>
          <w:szCs w:val="24"/>
          <w:lang w:eastAsia="zh-CN"/>
        </w:rPr>
        <w:t>M.1849-1</w:t>
      </w:r>
      <w:r w:rsidRPr="00DD1F51">
        <w:rPr>
          <w:rFonts w:cstheme="majorBidi" w:hint="eastAsia"/>
          <w:color w:val="000000"/>
          <w:szCs w:val="24"/>
          <w:lang w:eastAsia="zh-CN"/>
        </w:rPr>
        <w:t>建议书的技术和规则影响</w:t>
      </w:r>
    </w:p>
    <w:p w14:paraId="57285EA4" w14:textId="2E351476" w:rsidR="00221E57" w:rsidRPr="00E256AA" w:rsidRDefault="00847590" w:rsidP="00221E5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42C3AE64" w14:textId="501ED264" w:rsidR="00221E57" w:rsidRPr="00E256AA" w:rsidRDefault="00D44FA8" w:rsidP="00B31C96">
      <w:pPr>
        <w:ind w:firstLineChars="200" w:firstLine="480"/>
        <w:rPr>
          <w:lang w:val="en-US" w:eastAsia="zh-CN"/>
        </w:rPr>
      </w:pPr>
      <w:r>
        <w:rPr>
          <w:rFonts w:hint="eastAsia"/>
          <w:lang w:eastAsia="zh-CN"/>
        </w:rPr>
        <w:t>本文件介绍了有关</w:t>
      </w:r>
      <w:r w:rsidRPr="00E256AA">
        <w:rPr>
          <w:lang w:val="en-US" w:eastAsia="zh-CN"/>
        </w:rPr>
        <w:t>WRC-19</w:t>
      </w:r>
      <w:r w:rsidRPr="00D44FA8">
        <w:rPr>
          <w:rFonts w:hint="eastAsia"/>
          <w:lang w:eastAsia="zh-CN"/>
        </w:rPr>
        <w:t>议项</w:t>
      </w:r>
      <w:r w:rsidRPr="00D44FA8">
        <w:rPr>
          <w:rFonts w:hint="eastAsia"/>
          <w:lang w:eastAsia="zh-CN"/>
        </w:rPr>
        <w:t>9.1</w:t>
      </w:r>
      <w:r>
        <w:rPr>
          <w:rFonts w:hint="eastAsia"/>
          <w:lang w:eastAsia="zh-CN"/>
        </w:rPr>
        <w:t>问题</w:t>
      </w:r>
      <w:r w:rsidRPr="00D44FA8">
        <w:rPr>
          <w:rFonts w:hint="eastAsia"/>
          <w:lang w:eastAsia="zh-CN"/>
        </w:rPr>
        <w:t>9.1.5</w:t>
      </w:r>
      <w:r>
        <w:rPr>
          <w:rFonts w:hint="eastAsia"/>
          <w:lang w:eastAsia="zh-CN"/>
        </w:rPr>
        <w:t>的</w:t>
      </w:r>
      <w:r w:rsidR="00221E57" w:rsidRPr="00E256AA">
        <w:rPr>
          <w:lang w:val="en-US" w:eastAsia="zh-CN"/>
        </w:rPr>
        <w:t>APT</w:t>
      </w:r>
      <w:r>
        <w:rPr>
          <w:rFonts w:hint="eastAsia"/>
          <w:lang w:val="en-US" w:eastAsia="zh-CN"/>
        </w:rPr>
        <w:t>共同提案。</w:t>
      </w:r>
    </w:p>
    <w:p w14:paraId="45ED2314" w14:textId="01386B7E" w:rsidR="00D44FA8" w:rsidRPr="00AE10C5" w:rsidRDefault="00D44FA8" w:rsidP="00221E57">
      <w:pPr>
        <w:ind w:firstLineChars="200" w:firstLine="480"/>
        <w:rPr>
          <w:rFonts w:ascii="Calibri" w:hAnsi="Calibri" w:cs="Calibri"/>
          <w:b/>
          <w:color w:val="800000"/>
          <w:lang w:val="en-NZ" w:eastAsia="zh-CN"/>
        </w:rPr>
      </w:pPr>
      <w:r w:rsidRPr="00E256AA">
        <w:rPr>
          <w:lang w:val="en-US" w:eastAsia="zh-CN"/>
        </w:rPr>
        <w:t>APT</w:t>
      </w:r>
      <w:r w:rsidR="009D051C">
        <w:rPr>
          <w:rFonts w:hint="eastAsia"/>
          <w:lang w:val="en-US" w:eastAsia="zh-CN"/>
        </w:rPr>
        <w:t>成员支持通过引用</w:t>
      </w:r>
      <w:r w:rsidR="009D051C" w:rsidRPr="00E733B0">
        <w:rPr>
          <w:rFonts w:hint="eastAsia"/>
          <w:lang w:eastAsia="zh-CN"/>
        </w:rPr>
        <w:t>《无线电规则》第</w:t>
      </w:r>
      <w:r w:rsidR="009D051C" w:rsidRPr="00E733B0">
        <w:rPr>
          <w:rFonts w:hint="eastAsia"/>
          <w:b/>
          <w:bCs/>
          <w:lang w:eastAsia="zh-CN"/>
        </w:rPr>
        <w:t>5.447F</w:t>
      </w:r>
      <w:r w:rsidR="009D051C" w:rsidRPr="00E733B0">
        <w:rPr>
          <w:rFonts w:hint="eastAsia"/>
          <w:lang w:eastAsia="zh-CN"/>
        </w:rPr>
        <w:t>和</w:t>
      </w:r>
      <w:r w:rsidR="009D051C" w:rsidRPr="00E733B0">
        <w:rPr>
          <w:rFonts w:hint="eastAsia"/>
          <w:b/>
          <w:bCs/>
          <w:lang w:eastAsia="zh-CN"/>
        </w:rPr>
        <w:t>5.450A</w:t>
      </w:r>
      <w:r w:rsidR="009D051C" w:rsidRPr="00E733B0">
        <w:rPr>
          <w:rFonts w:hint="eastAsia"/>
          <w:lang w:eastAsia="zh-CN"/>
        </w:rPr>
        <w:t>款</w:t>
      </w:r>
      <w:r w:rsidR="009D051C">
        <w:rPr>
          <w:rFonts w:hint="eastAsia"/>
          <w:lang w:eastAsia="zh-CN"/>
        </w:rPr>
        <w:t>中的第</w:t>
      </w:r>
      <w:r w:rsidR="009D051C" w:rsidRPr="009D051C">
        <w:rPr>
          <w:rFonts w:hint="eastAsia"/>
          <w:b/>
          <w:bCs/>
          <w:lang w:eastAsia="zh-CN"/>
        </w:rPr>
        <w:t>229</w:t>
      </w:r>
      <w:r w:rsidR="009D051C">
        <w:rPr>
          <w:rFonts w:hint="eastAsia"/>
          <w:lang w:eastAsia="zh-CN"/>
        </w:rPr>
        <w:t>号决议</w:t>
      </w:r>
      <w:r w:rsidR="009D051C" w:rsidRPr="009D051C">
        <w:rPr>
          <w:rFonts w:hint="eastAsia"/>
          <w:b/>
          <w:bCs/>
          <w:lang w:eastAsia="zh-CN"/>
        </w:rPr>
        <w:t>（</w:t>
      </w:r>
      <w:r w:rsidR="009D051C" w:rsidRPr="009D051C">
        <w:rPr>
          <w:b/>
          <w:bCs/>
          <w:lang w:eastAsia="zh-CN"/>
        </w:rPr>
        <w:t>WRC-12</w:t>
      </w:r>
      <w:r w:rsidR="009D051C" w:rsidRPr="009D051C">
        <w:rPr>
          <w:rFonts w:hint="eastAsia"/>
          <w:b/>
          <w:bCs/>
          <w:lang w:eastAsia="zh-CN"/>
        </w:rPr>
        <w:t>，修订版）</w:t>
      </w:r>
      <w:r w:rsidR="009D051C">
        <w:rPr>
          <w:rFonts w:hint="eastAsia"/>
          <w:lang w:val="en-US" w:eastAsia="zh-CN"/>
        </w:rPr>
        <w:t>的方式使用</w:t>
      </w:r>
      <w:r w:rsidR="009D051C">
        <w:rPr>
          <w:rFonts w:hint="eastAsia"/>
          <w:lang w:val="en-US" w:eastAsia="zh-CN"/>
        </w:rPr>
        <w:t>C</w:t>
      </w:r>
      <w:r w:rsidR="009D051C">
        <w:rPr>
          <w:lang w:val="en-US" w:eastAsia="zh-CN"/>
        </w:rPr>
        <w:t>PM</w:t>
      </w:r>
      <w:r w:rsidR="009D051C">
        <w:rPr>
          <w:rFonts w:hint="eastAsia"/>
          <w:lang w:val="en-US" w:eastAsia="zh-CN"/>
        </w:rPr>
        <w:t>报告的方法</w:t>
      </w:r>
      <w:r w:rsidR="009D051C">
        <w:rPr>
          <w:rFonts w:hint="eastAsia"/>
          <w:lang w:val="en-US" w:eastAsia="zh-CN"/>
        </w:rPr>
        <w:t>A</w:t>
      </w:r>
      <w:r w:rsidR="009D051C">
        <w:rPr>
          <w:rFonts w:hint="eastAsia"/>
          <w:lang w:val="en-US" w:eastAsia="zh-CN"/>
        </w:rPr>
        <w:t>，该</w:t>
      </w:r>
      <w:r w:rsidR="009D051C" w:rsidRPr="00E733B0">
        <w:rPr>
          <w:rFonts w:hint="eastAsia"/>
          <w:lang w:eastAsia="zh-CN"/>
        </w:rPr>
        <w:t>方法是一种长期解决方案，可以避免重新</w:t>
      </w:r>
      <w:r w:rsidR="009D051C">
        <w:rPr>
          <w:rFonts w:hint="eastAsia"/>
          <w:lang w:eastAsia="zh-CN"/>
        </w:rPr>
        <w:t>评估将来</w:t>
      </w:r>
      <w:r w:rsidR="009D051C" w:rsidRPr="00E733B0">
        <w:rPr>
          <w:rFonts w:hint="eastAsia"/>
          <w:lang w:eastAsia="zh-CN"/>
        </w:rPr>
        <w:t>引用新</w:t>
      </w:r>
      <w:r w:rsidR="009D051C" w:rsidRPr="009D051C">
        <w:rPr>
          <w:lang w:val="en-US" w:eastAsia="zh-CN"/>
        </w:rPr>
        <w:t>ITU-R</w:t>
      </w:r>
      <w:r w:rsidR="009D051C" w:rsidRPr="00E733B0">
        <w:rPr>
          <w:rFonts w:hint="eastAsia"/>
          <w:lang w:eastAsia="zh-CN"/>
        </w:rPr>
        <w:t>建议书版本而带来的技术和规则影响</w:t>
      </w:r>
      <w:r w:rsidR="009D051C">
        <w:rPr>
          <w:rFonts w:hint="eastAsia"/>
          <w:lang w:eastAsia="zh-CN"/>
        </w:rPr>
        <w:t>，同时既不给移动业务施加更多限制又能保护无线电定位业务。</w:t>
      </w:r>
    </w:p>
    <w:p w14:paraId="5B2119CF" w14:textId="30CB6C02" w:rsidR="00622560" w:rsidRDefault="00847590" w:rsidP="005436F3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1FE7FFBB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24A6122" w14:textId="77777777" w:rsidR="00F56974" w:rsidRDefault="005436F3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1A7D11AC" w14:textId="77777777" w:rsidR="00F56974" w:rsidRDefault="005436F3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4B1BAF6D" w14:textId="77777777" w:rsidR="00F56974" w:rsidRDefault="005436F3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0025CE6E" w14:textId="77777777" w:rsidR="004D2F2D" w:rsidRDefault="005436F3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ACP/24A21A5/1</w:t>
      </w:r>
      <w:r>
        <w:rPr>
          <w:vanish/>
          <w:color w:val="7F7F7F" w:themeColor="text1" w:themeTint="80"/>
          <w:vertAlign w:val="superscript"/>
          <w:lang w:eastAsia="zh-CN"/>
        </w:rPr>
        <w:t>#49965</w:t>
      </w:r>
    </w:p>
    <w:p w14:paraId="456CFFAB" w14:textId="77777777" w:rsidR="00C3020F" w:rsidRPr="00FC00C3" w:rsidRDefault="005436F3" w:rsidP="00C3020F">
      <w:pPr>
        <w:pStyle w:val="Note"/>
        <w:rPr>
          <w:bCs/>
          <w:sz w:val="16"/>
          <w:lang w:eastAsia="zh-CN"/>
        </w:rPr>
      </w:pPr>
      <w:r w:rsidRPr="00C11E57">
        <w:rPr>
          <w:rStyle w:val="Artdef"/>
          <w:rFonts w:hint="eastAsia"/>
          <w:lang w:eastAsia="zh-CN"/>
        </w:rPr>
        <w:t>5.447F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250-5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350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频段内，移动业务电台不应要求无线电定位业务、卫星地球探测业务（有源）和空间研究业务（有源）的保护。</w:t>
      </w:r>
      <w:del w:id="9" w:author="" w:date="2018-06-08T11:26:00Z">
        <w:r w:rsidRPr="00974163" w:rsidDel="00D27411">
          <w:rPr>
            <w:rFonts w:hint="eastAsia"/>
            <w:lang w:eastAsia="zh-CN"/>
          </w:rPr>
          <w:delText>这些业务不得在系统特性和干扰标准方面对移动业务实行比</w:delText>
        </w:r>
        <w:r w:rsidRPr="00974163" w:rsidDel="00D27411">
          <w:rPr>
            <w:rFonts w:hint="eastAsia"/>
            <w:lang w:eastAsia="zh-CN"/>
          </w:rPr>
          <w:delText>ITU-R M.1638</w:delText>
        </w:r>
        <w:r w:rsidDel="00D27411">
          <w:rPr>
            <w:lang w:eastAsia="zh-CN"/>
          </w:rPr>
          <w:delText>-0</w:delText>
        </w:r>
        <w:r w:rsidRPr="00974163" w:rsidDel="00D27411">
          <w:rPr>
            <w:rFonts w:hint="eastAsia"/>
            <w:lang w:eastAsia="zh-CN"/>
          </w:rPr>
          <w:delText>和</w:delText>
        </w:r>
        <w:r w:rsidRPr="00974163" w:rsidDel="00D27411">
          <w:rPr>
            <w:rFonts w:hint="eastAsia"/>
            <w:lang w:eastAsia="zh-CN"/>
          </w:rPr>
          <w:delText xml:space="preserve">ITU-R </w:delText>
        </w:r>
        <w:r w:rsidDel="00D27411">
          <w:rPr>
            <w:rFonts w:hint="eastAsia"/>
            <w:lang w:eastAsia="zh-CN"/>
          </w:rPr>
          <w:delText>R</w:delText>
        </w:r>
        <w:r w:rsidRPr="00974163" w:rsidDel="00D27411">
          <w:rPr>
            <w:rFonts w:hint="eastAsia"/>
            <w:lang w:eastAsia="zh-CN"/>
          </w:rPr>
          <w:delText>S.1632</w:delText>
        </w:r>
        <w:r w:rsidDel="00D27411">
          <w:rPr>
            <w:lang w:eastAsia="zh-CN"/>
          </w:rPr>
          <w:delText>-0</w:delText>
        </w:r>
        <w:r w:rsidRPr="00FC00C3" w:rsidDel="00D27411">
          <w:rPr>
            <w:rFonts w:hint="eastAsia"/>
            <w:lang w:eastAsia="zh-CN"/>
          </w:rPr>
          <w:delText>建议书中所述更为严格的保护标准</w:delText>
        </w:r>
      </w:del>
      <w:ins w:id="10" w:author="" w:date="2019-01-29T15:14:00Z">
        <w:r w:rsidRPr="00FC00C3">
          <w:rPr>
            <w:rFonts w:hint="eastAsia"/>
            <w:lang w:val="en-US" w:eastAsia="zh-CN"/>
          </w:rPr>
          <w:t>第</w:t>
        </w:r>
        <w:r w:rsidRPr="00FC00C3">
          <w:rPr>
            <w:b/>
            <w:bCs/>
            <w:spacing w:val="-2"/>
            <w:lang w:eastAsia="zh-CN"/>
          </w:rPr>
          <w:t>229</w:t>
        </w:r>
        <w:r w:rsidRPr="00FC00C3">
          <w:rPr>
            <w:rFonts w:hint="eastAsia"/>
            <w:lang w:val="en-US" w:eastAsia="zh-CN"/>
          </w:rPr>
          <w:t>号决议（</w:t>
        </w:r>
        <w:r w:rsidRPr="00FC00C3">
          <w:rPr>
            <w:b/>
            <w:bCs/>
            <w:spacing w:val="-2"/>
            <w:lang w:eastAsia="zh-CN"/>
          </w:rPr>
          <w:t>WRC-12</w:t>
        </w:r>
        <w:r w:rsidRPr="00FC00C3">
          <w:rPr>
            <w:rFonts w:hint="eastAsia"/>
            <w:b/>
            <w:bCs/>
            <w:spacing w:val="-2"/>
            <w:lang w:eastAsia="zh-CN"/>
          </w:rPr>
          <w:t>，修订版</w:t>
        </w:r>
        <w:r w:rsidRPr="00FC00C3">
          <w:rPr>
            <w:rFonts w:hint="eastAsia"/>
            <w:lang w:val="en-US" w:eastAsia="zh-CN"/>
          </w:rPr>
          <w:t>）</w:t>
        </w:r>
      </w:ins>
      <w:ins w:id="11" w:author="" w:date="2018-06-20T14:27:00Z">
        <w:r w:rsidRPr="00FC00C3">
          <w:rPr>
            <w:rFonts w:hint="eastAsia"/>
            <w:lang w:eastAsia="zh-CN"/>
          </w:rPr>
          <w:t>适用</w:t>
        </w:r>
      </w:ins>
      <w:r w:rsidRPr="00FC00C3">
        <w:rPr>
          <w:rFonts w:hint="eastAsia"/>
          <w:lang w:eastAsia="zh-CN"/>
        </w:rPr>
        <w:t>。</w:t>
      </w:r>
      <w:r w:rsidRPr="00FC00C3">
        <w:rPr>
          <w:rFonts w:hint="eastAsia"/>
          <w:sz w:val="16"/>
          <w:szCs w:val="16"/>
          <w:lang w:eastAsia="zh-CN"/>
        </w:rPr>
        <w:t>（</w:t>
      </w:r>
      <w:r w:rsidRPr="00FC00C3">
        <w:rPr>
          <w:rFonts w:hint="eastAsia"/>
          <w:sz w:val="16"/>
          <w:szCs w:val="16"/>
          <w:lang w:eastAsia="zh-CN"/>
        </w:rPr>
        <w:t>WRC-</w:t>
      </w:r>
      <w:del w:id="12" w:author="" w:date="2018-06-19T09:35:00Z">
        <w:r w:rsidRPr="00FC00C3" w:rsidDel="00002E4B">
          <w:rPr>
            <w:bCs/>
            <w:sz w:val="16"/>
            <w:lang w:val="en-US" w:eastAsia="zh-CN"/>
          </w:rPr>
          <w:delText>1</w:delText>
        </w:r>
      </w:del>
      <w:del w:id="13" w:author="">
        <w:r w:rsidRPr="00FC00C3">
          <w:rPr>
            <w:bCs/>
            <w:sz w:val="16"/>
            <w:lang w:val="en-US" w:eastAsia="zh-CN"/>
          </w:rPr>
          <w:delText>5</w:delText>
        </w:r>
      </w:del>
      <w:ins w:id="14" w:author="" w:date="2018-06-19T09:35:00Z">
        <w:r w:rsidRPr="00FC00C3">
          <w:rPr>
            <w:bCs/>
            <w:sz w:val="16"/>
            <w:lang w:val="en-US" w:eastAsia="zh-CN"/>
          </w:rPr>
          <w:t>1</w:t>
        </w:r>
      </w:ins>
      <w:ins w:id="15" w:author="">
        <w:r w:rsidRPr="00FC00C3">
          <w:rPr>
            <w:bCs/>
            <w:sz w:val="16"/>
            <w:lang w:val="en-US" w:eastAsia="zh-CN"/>
          </w:rPr>
          <w:t>9</w:t>
        </w:r>
      </w:ins>
      <w:r w:rsidRPr="00FC00C3">
        <w:rPr>
          <w:rFonts w:hint="eastAsia"/>
          <w:sz w:val="16"/>
          <w:szCs w:val="16"/>
          <w:lang w:eastAsia="zh-CN"/>
        </w:rPr>
        <w:t>）</w:t>
      </w:r>
    </w:p>
    <w:p w14:paraId="1DAA208C" w14:textId="475D3DB7" w:rsidR="009D7D7E" w:rsidRDefault="009D051C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>
        <w:rPr>
          <w:rFonts w:hint="eastAsia"/>
          <w:lang w:eastAsia="zh-CN"/>
        </w:rPr>
        <w:t>作为一种长期解决方案，当</w:t>
      </w:r>
      <w:r w:rsidRPr="00387B4E">
        <w:rPr>
          <w:lang w:eastAsia="zh-CN"/>
        </w:rPr>
        <w:t>ITU-R M.1638</w:t>
      </w:r>
      <w:r>
        <w:rPr>
          <w:rFonts w:hint="eastAsia"/>
          <w:lang w:eastAsia="zh-CN"/>
        </w:rPr>
        <w:t>或</w:t>
      </w:r>
      <w:r w:rsidRPr="00387B4E">
        <w:rPr>
          <w:lang w:eastAsia="zh-CN"/>
        </w:rPr>
        <w:t>M.1849</w:t>
      </w:r>
      <w:r>
        <w:rPr>
          <w:rFonts w:hint="eastAsia"/>
          <w:lang w:eastAsia="zh-CN"/>
        </w:rPr>
        <w:t>建议书将再次更新时所需的规则更</w:t>
      </w:r>
      <w:r w:rsidR="00B31C96">
        <w:rPr>
          <w:rFonts w:hint="eastAsia"/>
          <w:lang w:eastAsia="zh-CN"/>
        </w:rPr>
        <w:t>宽松</w:t>
      </w:r>
      <w:r>
        <w:rPr>
          <w:rFonts w:hint="eastAsia"/>
          <w:lang w:eastAsia="zh-CN"/>
        </w:rPr>
        <w:t>，同时既不给移动业务施加更多限制又能保护无线电定位业务。</w:t>
      </w:r>
    </w:p>
    <w:p w14:paraId="68D3B69D" w14:textId="77777777" w:rsidR="004D2F2D" w:rsidRDefault="005436F3">
      <w:pPr>
        <w:pStyle w:val="Proposal"/>
      </w:pPr>
      <w:r>
        <w:t>MOD</w:t>
      </w:r>
      <w:r>
        <w:tab/>
        <w:t>ACP/24A21A5/2</w:t>
      </w:r>
      <w:r>
        <w:rPr>
          <w:vanish/>
          <w:color w:val="7F7F7F" w:themeColor="text1" w:themeTint="80"/>
          <w:vertAlign w:val="superscript"/>
        </w:rPr>
        <w:t>#49966</w:t>
      </w:r>
    </w:p>
    <w:p w14:paraId="1D119E59" w14:textId="77777777" w:rsidR="00C3020F" w:rsidRPr="00FC00C3" w:rsidRDefault="005436F3" w:rsidP="00C3020F">
      <w:pPr>
        <w:pStyle w:val="Note"/>
        <w:rPr>
          <w:bCs/>
          <w:sz w:val="16"/>
          <w:lang w:eastAsia="zh-CN"/>
        </w:rPr>
      </w:pPr>
      <w:r w:rsidRPr="00FC00C3">
        <w:rPr>
          <w:rStyle w:val="Artdef"/>
          <w:rFonts w:hint="eastAsia"/>
          <w:lang w:eastAsia="zh-CN"/>
        </w:rPr>
        <w:t>5.450A</w:t>
      </w:r>
      <w:r w:rsidRPr="00FC00C3">
        <w:rPr>
          <w:rFonts w:hint="eastAsia"/>
          <w:lang w:eastAsia="zh-CN"/>
        </w:rPr>
        <w:tab/>
      </w:r>
      <w:r w:rsidRPr="00FC00C3">
        <w:rPr>
          <w:rFonts w:hint="eastAsia"/>
          <w:lang w:eastAsia="zh-CN"/>
        </w:rPr>
        <w:t>在</w:t>
      </w:r>
      <w:r w:rsidRPr="00FC00C3">
        <w:rPr>
          <w:rFonts w:hint="eastAsia"/>
          <w:lang w:eastAsia="zh-CN"/>
        </w:rPr>
        <w:t>5</w:t>
      </w:r>
      <w:r w:rsidRPr="00FC00C3">
        <w:rPr>
          <w:lang w:eastAsia="zh-CN"/>
        </w:rPr>
        <w:t> </w:t>
      </w:r>
      <w:r w:rsidRPr="00FC00C3">
        <w:rPr>
          <w:rFonts w:hint="eastAsia"/>
          <w:lang w:eastAsia="zh-CN"/>
        </w:rPr>
        <w:t>470-5</w:t>
      </w:r>
      <w:r w:rsidRPr="00FC00C3">
        <w:rPr>
          <w:lang w:eastAsia="zh-CN"/>
        </w:rPr>
        <w:t> </w:t>
      </w:r>
      <w:r w:rsidRPr="00FC00C3">
        <w:rPr>
          <w:rFonts w:hint="eastAsia"/>
          <w:lang w:eastAsia="zh-CN"/>
        </w:rPr>
        <w:t>725</w:t>
      </w:r>
      <w:r w:rsidRPr="00FC00C3">
        <w:rPr>
          <w:lang w:eastAsia="zh-CN"/>
        </w:rPr>
        <w:t> </w:t>
      </w:r>
      <w:r w:rsidRPr="00FC00C3">
        <w:rPr>
          <w:rFonts w:hint="eastAsia"/>
          <w:lang w:eastAsia="zh-CN"/>
        </w:rPr>
        <w:t>MHz</w:t>
      </w:r>
      <w:r w:rsidRPr="00FC00C3">
        <w:rPr>
          <w:rFonts w:hint="eastAsia"/>
          <w:lang w:eastAsia="zh-CN"/>
        </w:rPr>
        <w:t>频段内，移动业务电台不得要求无线电测定业务的保护。</w:t>
      </w:r>
      <w:del w:id="16" w:author="" w:date="2018-06-08T11:28:00Z">
        <w:r w:rsidRPr="00FC00C3" w:rsidDel="00D27411">
          <w:rPr>
            <w:rFonts w:hint="eastAsia"/>
            <w:lang w:eastAsia="zh-CN"/>
          </w:rPr>
          <w:delText>无线电测定业务不得在系统特性和干扰标准方面对移动业务实行比</w:delText>
        </w:r>
        <w:r w:rsidRPr="00FC00C3" w:rsidDel="00D27411">
          <w:rPr>
            <w:rFonts w:hint="eastAsia"/>
            <w:lang w:eastAsia="zh-CN"/>
          </w:rPr>
          <w:delText>ITU-R M.1638</w:delText>
        </w:r>
        <w:r w:rsidRPr="00FC00C3" w:rsidDel="00D27411">
          <w:rPr>
            <w:lang w:eastAsia="zh-CN"/>
          </w:rPr>
          <w:delText>-0</w:delText>
        </w:r>
        <w:r w:rsidRPr="00FC00C3" w:rsidDel="00D27411">
          <w:rPr>
            <w:rFonts w:hint="eastAsia"/>
            <w:lang w:eastAsia="zh-CN"/>
          </w:rPr>
          <w:delText>建议书中所述更为严格的保护标准</w:delText>
        </w:r>
      </w:del>
      <w:ins w:id="17" w:author="" w:date="2019-01-29T15:15:00Z">
        <w:r w:rsidRPr="00FC00C3">
          <w:rPr>
            <w:rFonts w:hint="eastAsia"/>
            <w:lang w:val="en-US" w:eastAsia="zh-CN"/>
          </w:rPr>
          <w:t>第</w:t>
        </w:r>
        <w:r w:rsidRPr="00FC00C3">
          <w:rPr>
            <w:b/>
            <w:bCs/>
            <w:spacing w:val="-2"/>
            <w:lang w:eastAsia="zh-CN"/>
          </w:rPr>
          <w:t>229</w:t>
        </w:r>
        <w:r w:rsidRPr="00FC00C3">
          <w:rPr>
            <w:rFonts w:hint="eastAsia"/>
            <w:lang w:val="en-US" w:eastAsia="zh-CN"/>
          </w:rPr>
          <w:t>号决议（</w:t>
        </w:r>
        <w:r w:rsidRPr="00FC00C3">
          <w:rPr>
            <w:b/>
            <w:bCs/>
            <w:spacing w:val="-2"/>
            <w:lang w:eastAsia="zh-CN"/>
          </w:rPr>
          <w:t>WRC-12</w:t>
        </w:r>
        <w:r w:rsidRPr="00FC00C3">
          <w:rPr>
            <w:rFonts w:hint="eastAsia"/>
            <w:b/>
            <w:bCs/>
            <w:spacing w:val="-2"/>
            <w:lang w:eastAsia="zh-CN"/>
          </w:rPr>
          <w:t>，修订版</w:t>
        </w:r>
        <w:r w:rsidRPr="00FC00C3">
          <w:rPr>
            <w:rFonts w:hint="eastAsia"/>
            <w:lang w:val="en-US" w:eastAsia="zh-CN"/>
          </w:rPr>
          <w:t>）</w:t>
        </w:r>
      </w:ins>
      <w:ins w:id="18" w:author="" w:date="2018-06-20T14:28:00Z">
        <w:r w:rsidRPr="00FC00C3">
          <w:rPr>
            <w:rFonts w:hint="eastAsia"/>
            <w:lang w:eastAsia="zh-CN"/>
          </w:rPr>
          <w:t>适用</w:t>
        </w:r>
      </w:ins>
      <w:r w:rsidRPr="00FC00C3">
        <w:rPr>
          <w:rFonts w:hint="eastAsia"/>
          <w:lang w:eastAsia="zh-CN"/>
        </w:rPr>
        <w:t>。</w:t>
      </w:r>
      <w:r w:rsidRPr="00FC00C3">
        <w:rPr>
          <w:rFonts w:hint="eastAsia"/>
          <w:sz w:val="16"/>
          <w:szCs w:val="16"/>
          <w:lang w:eastAsia="zh-CN"/>
        </w:rPr>
        <w:t>（</w:t>
      </w:r>
      <w:r w:rsidRPr="00FC00C3">
        <w:rPr>
          <w:rFonts w:hint="eastAsia"/>
          <w:sz w:val="16"/>
          <w:szCs w:val="16"/>
          <w:lang w:eastAsia="zh-CN"/>
        </w:rPr>
        <w:t>WRC-</w:t>
      </w:r>
      <w:del w:id="19" w:author="" w:date="2018-06-19T09:35:00Z">
        <w:r w:rsidRPr="00FC00C3" w:rsidDel="00002E4B">
          <w:rPr>
            <w:bCs/>
            <w:sz w:val="16"/>
            <w:lang w:val="en-US" w:eastAsia="zh-CN"/>
          </w:rPr>
          <w:delText>1</w:delText>
        </w:r>
      </w:del>
      <w:del w:id="20" w:author="">
        <w:r w:rsidRPr="00FC00C3">
          <w:rPr>
            <w:bCs/>
            <w:sz w:val="16"/>
            <w:lang w:val="en-US" w:eastAsia="zh-CN"/>
          </w:rPr>
          <w:delText>5</w:delText>
        </w:r>
      </w:del>
      <w:ins w:id="21" w:author="" w:date="2018-06-19T09:35:00Z">
        <w:r w:rsidRPr="00FC00C3">
          <w:rPr>
            <w:bCs/>
            <w:sz w:val="16"/>
            <w:lang w:val="en-US" w:eastAsia="zh-CN"/>
          </w:rPr>
          <w:t>1</w:t>
        </w:r>
      </w:ins>
      <w:ins w:id="22" w:author="">
        <w:r w:rsidRPr="00FC00C3">
          <w:rPr>
            <w:bCs/>
            <w:sz w:val="16"/>
            <w:lang w:val="en-US" w:eastAsia="zh-CN"/>
          </w:rPr>
          <w:t>9</w:t>
        </w:r>
      </w:ins>
      <w:r w:rsidRPr="00FC00C3">
        <w:rPr>
          <w:rFonts w:hint="eastAsia"/>
          <w:sz w:val="16"/>
          <w:szCs w:val="16"/>
          <w:lang w:eastAsia="zh-CN"/>
        </w:rPr>
        <w:t>）</w:t>
      </w:r>
    </w:p>
    <w:p w14:paraId="5D1674DB" w14:textId="52B3813C" w:rsidR="009D7D7E" w:rsidRDefault="009D051C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>
        <w:rPr>
          <w:rFonts w:hint="eastAsia"/>
          <w:lang w:eastAsia="zh-CN"/>
        </w:rPr>
        <w:t>作为一种长期解决方案，当</w:t>
      </w:r>
      <w:r w:rsidRPr="00387B4E">
        <w:rPr>
          <w:lang w:eastAsia="zh-CN"/>
        </w:rPr>
        <w:t>ITU-R M.1638</w:t>
      </w:r>
      <w:r>
        <w:rPr>
          <w:rFonts w:hint="eastAsia"/>
          <w:lang w:eastAsia="zh-CN"/>
        </w:rPr>
        <w:t>或</w:t>
      </w:r>
      <w:r w:rsidRPr="00387B4E">
        <w:rPr>
          <w:lang w:eastAsia="zh-CN"/>
        </w:rPr>
        <w:t>M.1849</w:t>
      </w:r>
      <w:r>
        <w:rPr>
          <w:rFonts w:hint="eastAsia"/>
          <w:lang w:eastAsia="zh-CN"/>
        </w:rPr>
        <w:t>建议书将再次更新时所需的规则更</w:t>
      </w:r>
      <w:r w:rsidR="00B31C96">
        <w:rPr>
          <w:rFonts w:hint="eastAsia"/>
          <w:lang w:eastAsia="zh-CN"/>
        </w:rPr>
        <w:t>宽松</w:t>
      </w:r>
      <w:r>
        <w:rPr>
          <w:rFonts w:hint="eastAsia"/>
          <w:lang w:eastAsia="zh-CN"/>
        </w:rPr>
        <w:t>，同时既不给移动业务施加更多限制又能保护无线电定位业务。</w:t>
      </w:r>
    </w:p>
    <w:p w14:paraId="099A110B" w14:textId="77777777" w:rsidR="004D2F2D" w:rsidRDefault="005436F3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ACP/24A21A5/3</w:t>
      </w:r>
      <w:r>
        <w:rPr>
          <w:vanish/>
          <w:color w:val="7F7F7F" w:themeColor="text1" w:themeTint="80"/>
          <w:vertAlign w:val="superscript"/>
          <w:lang w:eastAsia="zh-CN"/>
        </w:rPr>
        <w:t>#49969</w:t>
      </w:r>
    </w:p>
    <w:p w14:paraId="768C9468" w14:textId="77777777" w:rsidR="00C3020F" w:rsidRPr="00D27411" w:rsidRDefault="005436F3" w:rsidP="00C3020F">
      <w:pPr>
        <w:pStyle w:val="ResNo"/>
        <w:rPr>
          <w:lang w:eastAsia="zh-CN"/>
        </w:rPr>
      </w:pPr>
      <w:r w:rsidRPr="00D27411">
        <w:rPr>
          <w:rFonts w:hint="eastAsia"/>
          <w:lang w:eastAsia="zh-CN"/>
        </w:rPr>
        <w:t>第</w:t>
      </w:r>
      <w:r w:rsidRPr="00D27411">
        <w:rPr>
          <w:rStyle w:val="href"/>
          <w:lang w:eastAsia="zh-CN"/>
        </w:rPr>
        <w:t>764</w:t>
      </w:r>
      <w:r w:rsidRPr="00D27411">
        <w:rPr>
          <w:rFonts w:hint="eastAsia"/>
          <w:lang w:eastAsia="zh-CN"/>
        </w:rPr>
        <w:t>号决议（</w:t>
      </w:r>
      <w:r w:rsidRPr="00D27411">
        <w:rPr>
          <w:lang w:eastAsia="zh-CN"/>
        </w:rPr>
        <w:t>WRC</w:t>
      </w:r>
      <w:r w:rsidRPr="00D27411">
        <w:rPr>
          <w:lang w:eastAsia="zh-CN"/>
        </w:rPr>
        <w:noBreakHyphen/>
        <w:t>15</w:t>
      </w:r>
      <w:r w:rsidRPr="00D27411">
        <w:rPr>
          <w:rFonts w:hint="eastAsia"/>
          <w:lang w:eastAsia="zh-CN"/>
        </w:rPr>
        <w:t>）</w:t>
      </w:r>
    </w:p>
    <w:p w14:paraId="0A264994" w14:textId="00941A35" w:rsidR="00C3020F" w:rsidRDefault="005436F3" w:rsidP="00C3020F">
      <w:pPr>
        <w:pStyle w:val="Restitle"/>
        <w:rPr>
          <w:lang w:eastAsia="zh-CN"/>
        </w:rPr>
      </w:pPr>
      <w:r>
        <w:rPr>
          <w:rFonts w:hint="eastAsia"/>
          <w:lang w:eastAsia="zh-CN"/>
        </w:rPr>
        <w:t>审查</w:t>
      </w:r>
      <w:r>
        <w:rPr>
          <w:lang w:eastAsia="zh-CN"/>
        </w:rPr>
        <w:t>在《无线电规则》</w:t>
      </w:r>
      <w:r>
        <w:rPr>
          <w:rFonts w:hint="eastAsia"/>
          <w:lang w:eastAsia="zh-CN"/>
        </w:rPr>
        <w:t>第</w:t>
      </w:r>
      <w:r w:rsidRPr="007A67F7">
        <w:rPr>
          <w:lang w:eastAsia="zh-CN"/>
        </w:rPr>
        <w:t>5.447F</w:t>
      </w:r>
      <w:r>
        <w:rPr>
          <w:rFonts w:hint="eastAsia"/>
          <w:lang w:eastAsia="zh-CN"/>
        </w:rPr>
        <w:t>和</w:t>
      </w:r>
      <w:r w:rsidRPr="007A67F7">
        <w:rPr>
          <w:lang w:eastAsia="zh-CN"/>
        </w:rPr>
        <w:t>5.</w:t>
      </w:r>
      <w:r w:rsidRPr="007A67F7">
        <w:rPr>
          <w:rFonts w:hint="eastAsia"/>
          <w:lang w:eastAsia="ja-JP"/>
        </w:rPr>
        <w:t>45</w:t>
      </w:r>
      <w:r w:rsidRPr="007A67F7">
        <w:rPr>
          <w:lang w:eastAsia="zh-CN"/>
        </w:rPr>
        <w:t>0A</w:t>
      </w:r>
      <w:r>
        <w:rPr>
          <w:lang w:eastAsia="zh-CN"/>
        </w:rPr>
        <w:t>款</w:t>
      </w:r>
      <w:r>
        <w:rPr>
          <w:rFonts w:hint="eastAsia"/>
          <w:lang w:eastAsia="zh-CN"/>
        </w:rPr>
        <w:t>中</w:t>
      </w:r>
      <w:r>
        <w:rPr>
          <w:lang w:eastAsia="zh-CN"/>
        </w:rPr>
        <w:t>引用</w:t>
      </w:r>
      <w:r>
        <w:rPr>
          <w:lang w:eastAsia="zh-CN"/>
        </w:rPr>
        <w:br/>
      </w:r>
      <w:r w:rsidRPr="007A67F7">
        <w:rPr>
          <w:lang w:eastAsia="zh-CN"/>
        </w:rPr>
        <w:t>ITU-R M.1638-1</w:t>
      </w:r>
      <w:r>
        <w:rPr>
          <w:rFonts w:hint="eastAsia"/>
          <w:lang w:eastAsia="zh-CN"/>
        </w:rPr>
        <w:t>和</w:t>
      </w:r>
      <w:r w:rsidRPr="007A67F7">
        <w:rPr>
          <w:lang w:eastAsia="zh-CN"/>
        </w:rPr>
        <w:t>M.1849-1</w:t>
      </w:r>
      <w:r>
        <w:rPr>
          <w:rFonts w:hint="eastAsia"/>
          <w:lang w:eastAsia="zh-CN"/>
        </w:rPr>
        <w:t>建议书</w:t>
      </w:r>
      <w:r>
        <w:rPr>
          <w:lang w:eastAsia="zh-CN"/>
        </w:rPr>
        <w:t>的</w:t>
      </w:r>
      <w:r w:rsidR="00026866">
        <w:rPr>
          <w:lang w:eastAsia="zh-CN"/>
        </w:rPr>
        <w:br/>
      </w:r>
      <w:r>
        <w:rPr>
          <w:lang w:eastAsia="zh-CN"/>
        </w:rPr>
        <w:t>技术和规则影响</w:t>
      </w:r>
    </w:p>
    <w:p w14:paraId="618E5276" w14:textId="7AF2D27C" w:rsidR="00847590" w:rsidRDefault="005436F3" w:rsidP="00411C49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 w:rsidR="00D5395D" w:rsidRPr="00387B4E">
        <w:t>WRC-19</w:t>
      </w:r>
      <w:r w:rsidR="009D051C">
        <w:rPr>
          <w:rFonts w:hint="eastAsia"/>
          <w:lang w:eastAsia="zh-CN"/>
        </w:rPr>
        <w:t>后不再需要。</w:t>
      </w:r>
    </w:p>
    <w:p w14:paraId="5081DF79" w14:textId="77777777" w:rsidR="00B31C96" w:rsidRDefault="00B31C96" w:rsidP="00EF02BD"/>
    <w:p w14:paraId="2BFE5927" w14:textId="77777777" w:rsidR="00847590" w:rsidRDefault="00847590">
      <w:pPr>
        <w:jc w:val="center"/>
      </w:pPr>
      <w:r>
        <w:t>______________</w:t>
      </w:r>
    </w:p>
    <w:p w14:paraId="79E1668A" w14:textId="1D479533" w:rsidR="004D2F2D" w:rsidRDefault="004D2F2D" w:rsidP="00EF02BD">
      <w:bookmarkStart w:id="23" w:name="_GoBack"/>
      <w:bookmarkEnd w:id="23"/>
    </w:p>
    <w:sectPr w:rsidR="004D2F2D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5EC00" w14:textId="77777777" w:rsidR="00B6115E" w:rsidRDefault="00B6115E">
      <w:r>
        <w:separator/>
      </w:r>
    </w:p>
  </w:endnote>
  <w:endnote w:type="continuationSeparator" w:id="0">
    <w:p w14:paraId="0C9A9CB3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9EA0" w14:textId="7AB5013E" w:rsidR="00B851D4" w:rsidRPr="00DA0469" w:rsidRDefault="00EF02BD" w:rsidP="00847590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B31C96">
      <w:t>P:\CHI\ITU-R\CONF-R\CMR19\000\024ADD21ADD05C.docx</w:t>
    </w:r>
    <w:r>
      <w:fldChar w:fldCharType="end"/>
    </w:r>
    <w:r w:rsidR="00847590">
      <w:t xml:space="preserve"> (461111)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EAAD" w14:textId="27A8A9B0" w:rsidR="00B851D4" w:rsidRPr="00DA0469" w:rsidRDefault="00EF02BD" w:rsidP="00847590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B31C96">
      <w:t>P:\CHI\ITU-R\CONF-R\CMR19\000\024ADD21ADD05C.docx</w:t>
    </w:r>
    <w:r>
      <w:fldChar w:fldCharType="end"/>
    </w:r>
    <w:r w:rsidR="00847590">
      <w:t xml:space="preserve"> (461111)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5AB5E" w14:textId="77777777" w:rsidR="00B6115E" w:rsidRDefault="00B6115E">
      <w:r>
        <w:t>____________________</w:t>
      </w:r>
    </w:p>
  </w:footnote>
  <w:footnote w:type="continuationSeparator" w:id="0">
    <w:p w14:paraId="1E72D070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328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1E67CB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21)(</w:t>
    </w:r>
    <w:proofErr w:type="gramEnd"/>
    <w:r w:rsidR="00C929E0">
      <w:t>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zh-CN" w:vendorID="64" w:dllVersion="0" w:nlCheck="1" w:checkStyle="1"/>
  <w:activeWritingStyle w:appName="MSWord" w:lang="en-AU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6866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29E5"/>
    <w:rsid w:val="001B6360"/>
    <w:rsid w:val="001F4EA6"/>
    <w:rsid w:val="00214959"/>
    <w:rsid w:val="00221E57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3F10C9"/>
    <w:rsid w:val="0041282E"/>
    <w:rsid w:val="00437869"/>
    <w:rsid w:val="00465A34"/>
    <w:rsid w:val="004B4C76"/>
    <w:rsid w:val="004C4554"/>
    <w:rsid w:val="004D2DEC"/>
    <w:rsid w:val="004D2F2D"/>
    <w:rsid w:val="004F2BE6"/>
    <w:rsid w:val="00527E8A"/>
    <w:rsid w:val="00542E85"/>
    <w:rsid w:val="005436F3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47590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67FA5"/>
    <w:rsid w:val="0099525B"/>
    <w:rsid w:val="009C72B7"/>
    <w:rsid w:val="009D051C"/>
    <w:rsid w:val="009D7D7E"/>
    <w:rsid w:val="00A0052C"/>
    <w:rsid w:val="00A141FA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31C96"/>
    <w:rsid w:val="00B50377"/>
    <w:rsid w:val="00B6115E"/>
    <w:rsid w:val="00B711CC"/>
    <w:rsid w:val="00B851D4"/>
    <w:rsid w:val="00B868FC"/>
    <w:rsid w:val="00B9433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44FA8"/>
    <w:rsid w:val="00D52A14"/>
    <w:rsid w:val="00D5395D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F02BD"/>
    <w:rsid w:val="00F837F4"/>
    <w:rsid w:val="00FC59C4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D31E52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07dee9d-38a2-417d-9a53-f289c8b3b3dc" targetNamespace="http://schemas.microsoft.com/office/2006/metadata/properties" ma:root="true" ma:fieldsID="d41af5c836d734370eb92e7ee5f83852" ns2:_="" ns3:_="">
    <xsd:import namespace="996b2e75-67fd-4955-a3b0-5ab9934cb50b"/>
    <xsd:import namespace="307dee9d-38a2-417d-9a53-f289c8b3b3d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ee9d-38a2-417d-9a53-f289c8b3b3d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07dee9d-38a2-417d-9a53-f289c8b3b3dc">DPM</DPM_x0020_Author>
    <DPM_x0020_File_x0020_name xmlns="307dee9d-38a2-417d-9a53-f289c8b3b3dc">R16-WRC19-C-0024!A21-A5!MSW-C</DPM_x0020_File_x0020_name>
    <DPM_x0020_Version xmlns="307dee9d-38a2-417d-9a53-f289c8b3b3dc">DPM_2019.08.19.01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07dee9d-38a2-417d-9a53-f289c8b3b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996b2e75-67fd-4955-a3b0-5ab9934cb50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07dee9d-38a2-417d-9a53-f289c8b3b3d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638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R16-WRC19-C-0024!A21-A5!MSW-C</vt:lpstr>
    </vt:vector>
  </TitlesOfParts>
  <Manager>General Secretariat - Pool</Manager>
  <Company>International Telecommunication Union (ITU)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R16-WRC19-C-0024!A21-A5!MSW-C</dc:title>
  <dc:subject>World Radiocommunication Conference - 2019</dc:subject>
  <dc:creator>Documents Proposals Manager (DPM)</dc:creator>
  <cp:keywords>DPM_v2019.9.25.1_prod</cp:keywords>
  <dc:description/>
  <cp:lastModifiedBy>Murphy, Margaret</cp:lastModifiedBy>
  <cp:revision>7</cp:revision>
  <cp:lastPrinted>2019-09-30T07:28:00Z</cp:lastPrinted>
  <dcterms:created xsi:type="dcterms:W3CDTF">2019-10-03T07:02:00Z</dcterms:created>
  <dcterms:modified xsi:type="dcterms:W3CDTF">2019-10-03T09:51:00Z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