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72F5BC8B" w14:textId="77777777" w:rsidTr="0050008E">
        <w:trPr>
          <w:cantSplit/>
        </w:trPr>
        <w:tc>
          <w:tcPr>
            <w:tcW w:w="6911" w:type="dxa"/>
          </w:tcPr>
          <w:p w14:paraId="4344DC0E" w14:textId="77777777" w:rsidR="00BB1D82" w:rsidRPr="00930FFD" w:rsidRDefault="00851625" w:rsidP="00D44422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43BADE7A" w14:textId="77777777" w:rsidR="00BB1D82" w:rsidRPr="002A6F8F" w:rsidRDefault="000A55AE" w:rsidP="00D44422">
            <w:pPr>
              <w:spacing w:before="0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GB" w:eastAsia="zh-CN"/>
              </w:rPr>
              <w:drawing>
                <wp:inline distT="0" distB="0" distL="0" distR="0" wp14:anchorId="6B1799E1" wp14:editId="0377381D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7FF37CD7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84F129C" w14:textId="77777777" w:rsidR="00BB1D82" w:rsidRPr="002A6F8F" w:rsidRDefault="00BB1D82" w:rsidP="00D44422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C89DD16" w14:textId="77777777" w:rsidR="00BB1D82" w:rsidRPr="002A6F8F" w:rsidRDefault="00BB1D82" w:rsidP="00D44422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1F621755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B093B04" w14:textId="77777777" w:rsidR="00BB1D82" w:rsidRPr="002A6F8F" w:rsidRDefault="00BB1D82" w:rsidP="00D44422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C29EC7B" w14:textId="77777777" w:rsidR="00BB1D82" w:rsidRPr="002A6F8F" w:rsidRDefault="00BB1D82" w:rsidP="00D44422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217178E5" w14:textId="77777777" w:rsidTr="00BB1D82">
        <w:trPr>
          <w:cantSplit/>
        </w:trPr>
        <w:tc>
          <w:tcPr>
            <w:tcW w:w="6911" w:type="dxa"/>
          </w:tcPr>
          <w:p w14:paraId="1125DA0B" w14:textId="77777777" w:rsidR="00BB1D82" w:rsidRPr="00930FFD" w:rsidRDefault="006D4724" w:rsidP="00D44422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742A9A61" w14:textId="77777777" w:rsidR="00BB1D82" w:rsidRPr="0049610D" w:rsidRDefault="006D4724" w:rsidP="00D44422">
            <w:pPr>
              <w:spacing w:before="0"/>
              <w:rPr>
                <w:rFonts w:ascii="Verdana" w:hAnsi="Verdana"/>
                <w:sz w:val="20"/>
              </w:rPr>
            </w:pPr>
            <w:r w:rsidRPr="0049610D">
              <w:rPr>
                <w:rFonts w:ascii="Verdana" w:hAnsi="Verdana"/>
                <w:b/>
                <w:sz w:val="20"/>
              </w:rPr>
              <w:t>Addendum 4 au</w:t>
            </w:r>
            <w:r w:rsidRPr="0049610D">
              <w:rPr>
                <w:rFonts w:ascii="Verdana" w:hAnsi="Verdana"/>
                <w:b/>
                <w:sz w:val="20"/>
              </w:rPr>
              <w:br/>
              <w:t>Document 24(Add.21)</w:t>
            </w:r>
            <w:r w:rsidR="00BB1D82" w:rsidRPr="0049610D">
              <w:rPr>
                <w:rFonts w:ascii="Verdana" w:hAnsi="Verdana"/>
                <w:b/>
                <w:sz w:val="20"/>
              </w:rPr>
              <w:t>-</w:t>
            </w:r>
            <w:r w:rsidRPr="0049610D">
              <w:rPr>
                <w:rFonts w:ascii="Verdana" w:hAnsi="Verdana"/>
                <w:b/>
                <w:sz w:val="20"/>
              </w:rPr>
              <w:t>F</w:t>
            </w:r>
          </w:p>
        </w:tc>
      </w:tr>
      <w:tr w:rsidR="00690C7B" w:rsidRPr="002A6F8F" w14:paraId="2E1BAFCE" w14:textId="77777777" w:rsidTr="00BB1D82">
        <w:trPr>
          <w:cantSplit/>
        </w:trPr>
        <w:tc>
          <w:tcPr>
            <w:tcW w:w="6911" w:type="dxa"/>
          </w:tcPr>
          <w:p w14:paraId="1937B433" w14:textId="77777777" w:rsidR="00690C7B" w:rsidRPr="0049610D" w:rsidRDefault="00690C7B" w:rsidP="00D44422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0908B530" w14:textId="77777777" w:rsidR="00690C7B" w:rsidRPr="002A6F8F" w:rsidRDefault="00690C7B" w:rsidP="00D44422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20 septembre 2019</w:t>
            </w:r>
          </w:p>
        </w:tc>
      </w:tr>
      <w:tr w:rsidR="00690C7B" w:rsidRPr="002A6F8F" w14:paraId="418DA403" w14:textId="77777777" w:rsidTr="00BB1D82">
        <w:trPr>
          <w:cantSplit/>
        </w:trPr>
        <w:tc>
          <w:tcPr>
            <w:tcW w:w="6911" w:type="dxa"/>
          </w:tcPr>
          <w:p w14:paraId="7734429B" w14:textId="77777777" w:rsidR="00690C7B" w:rsidRPr="002A6F8F" w:rsidRDefault="00690C7B" w:rsidP="00D44422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2AEC2D2B" w14:textId="77777777" w:rsidR="00690C7B" w:rsidRPr="002A6F8F" w:rsidRDefault="00690C7B" w:rsidP="00D44422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4CD9502E" w14:textId="77777777" w:rsidTr="00C11970">
        <w:trPr>
          <w:cantSplit/>
        </w:trPr>
        <w:tc>
          <w:tcPr>
            <w:tcW w:w="10031" w:type="dxa"/>
            <w:gridSpan w:val="2"/>
          </w:tcPr>
          <w:p w14:paraId="71D9D550" w14:textId="77777777" w:rsidR="00690C7B" w:rsidRPr="002A6F8F" w:rsidRDefault="00690C7B" w:rsidP="00D44422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5420E0B1" w14:textId="77777777" w:rsidTr="0050008E">
        <w:trPr>
          <w:cantSplit/>
        </w:trPr>
        <w:tc>
          <w:tcPr>
            <w:tcW w:w="10031" w:type="dxa"/>
            <w:gridSpan w:val="2"/>
          </w:tcPr>
          <w:p w14:paraId="47E5C0C3" w14:textId="77777777" w:rsidR="00690C7B" w:rsidRPr="0049610D" w:rsidRDefault="00690C7B" w:rsidP="00D44422">
            <w:pPr>
              <w:pStyle w:val="Source"/>
            </w:pPr>
            <w:bookmarkStart w:id="0" w:name="dsource" w:colFirst="0" w:colLast="0"/>
            <w:r w:rsidRPr="0049610D">
              <w:t>Propositions communes de la Télécommunauté Asie-Pacifique</w:t>
            </w:r>
          </w:p>
        </w:tc>
      </w:tr>
      <w:tr w:rsidR="00690C7B" w:rsidRPr="002A6F8F" w14:paraId="4265C70C" w14:textId="77777777" w:rsidTr="0050008E">
        <w:trPr>
          <w:cantSplit/>
        </w:trPr>
        <w:tc>
          <w:tcPr>
            <w:tcW w:w="10031" w:type="dxa"/>
            <w:gridSpan w:val="2"/>
          </w:tcPr>
          <w:p w14:paraId="0C58B6B4" w14:textId="4F8592AD" w:rsidR="00690C7B" w:rsidRPr="0049610D" w:rsidRDefault="00690C7B" w:rsidP="00D44422">
            <w:pPr>
              <w:pStyle w:val="Title1"/>
            </w:pPr>
            <w:bookmarkStart w:id="1" w:name="dtitle1" w:colFirst="0" w:colLast="0"/>
            <w:bookmarkEnd w:id="0"/>
            <w:r w:rsidRPr="0049610D">
              <w:t>PROPOS</w:t>
            </w:r>
            <w:r w:rsidR="005442C7" w:rsidRPr="0049610D">
              <w:t xml:space="preserve">itions pour les travaux de la </w:t>
            </w:r>
            <w:r w:rsidRPr="0049610D">
              <w:t>CONF</w:t>
            </w:r>
            <w:r w:rsidR="002C7F09">
              <w:rPr>
                <w:lang w:val="fr-CH"/>
              </w:rPr>
              <w:t>é</w:t>
            </w:r>
            <w:r w:rsidRPr="0049610D">
              <w:t>RENCE</w:t>
            </w:r>
          </w:p>
        </w:tc>
      </w:tr>
      <w:tr w:rsidR="00690C7B" w:rsidRPr="002A6F8F" w14:paraId="5821A2C1" w14:textId="77777777" w:rsidTr="0050008E">
        <w:trPr>
          <w:cantSplit/>
        </w:trPr>
        <w:tc>
          <w:tcPr>
            <w:tcW w:w="10031" w:type="dxa"/>
            <w:gridSpan w:val="2"/>
          </w:tcPr>
          <w:p w14:paraId="5591DEEA" w14:textId="77777777" w:rsidR="00690C7B" w:rsidRPr="0049610D" w:rsidRDefault="00690C7B" w:rsidP="00D44422">
            <w:pPr>
              <w:pStyle w:val="Title2"/>
            </w:pPr>
            <w:bookmarkStart w:id="2" w:name="dtitle2" w:colFirst="0" w:colLast="0"/>
            <w:bookmarkEnd w:id="1"/>
          </w:p>
        </w:tc>
      </w:tr>
      <w:tr w:rsidR="00690C7B" w14:paraId="12C35820" w14:textId="77777777" w:rsidTr="0050008E">
        <w:trPr>
          <w:cantSplit/>
        </w:trPr>
        <w:tc>
          <w:tcPr>
            <w:tcW w:w="10031" w:type="dxa"/>
            <w:gridSpan w:val="2"/>
          </w:tcPr>
          <w:p w14:paraId="1D6DA799" w14:textId="77777777" w:rsidR="00690C7B" w:rsidRDefault="00690C7B" w:rsidP="00D44422">
            <w:pPr>
              <w:pStyle w:val="Agendaitem"/>
            </w:pPr>
            <w:bookmarkStart w:id="3" w:name="dtitle3" w:colFirst="0" w:colLast="0"/>
            <w:bookmarkEnd w:id="2"/>
            <w:r w:rsidRPr="006D4724">
              <w:t>Point 9.1(9.1.4) de l'ordre du jour</w:t>
            </w:r>
          </w:p>
        </w:tc>
      </w:tr>
    </w:tbl>
    <w:bookmarkEnd w:id="3"/>
    <w:p w14:paraId="6B18784C" w14:textId="77777777" w:rsidR="001C0E40" w:rsidRPr="00404314" w:rsidRDefault="00531CBA" w:rsidP="00D44422">
      <w:r w:rsidRPr="009B46DD">
        <w:t>9</w:t>
      </w:r>
      <w:r w:rsidRPr="009B46DD">
        <w:tab/>
        <w:t>examiner et approuver le rapport du Directeur du Bureau des radiocommunications, conformément à l'article 7 de la Convention:</w:t>
      </w:r>
    </w:p>
    <w:p w14:paraId="24CBF00D" w14:textId="77777777" w:rsidR="001C0E40" w:rsidRPr="00404314" w:rsidRDefault="00531CBA" w:rsidP="00D44422">
      <w:r w:rsidRPr="009B46DD">
        <w:t>9.1</w:t>
      </w:r>
      <w:r w:rsidRPr="009B46DD">
        <w:tab/>
        <w:t>sur les activités du Secteur des radiocommunications depuis la CMR</w:t>
      </w:r>
      <w:r w:rsidRPr="009B46DD">
        <w:noBreakHyphen/>
        <w:t>15;</w:t>
      </w:r>
    </w:p>
    <w:p w14:paraId="3EC4E0B0" w14:textId="77777777" w:rsidR="001C0E40" w:rsidRPr="00404314" w:rsidRDefault="00531CBA" w:rsidP="00D44422">
      <w:pPr>
        <w:jc w:val="both"/>
      </w:pPr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val="fr-CH" w:eastAsia="zh-CN"/>
        </w:rPr>
        <w:t>9.1.</w:t>
      </w:r>
      <w:r>
        <w:rPr>
          <w:lang w:val="fr-CH" w:eastAsia="zh-CN"/>
        </w:rPr>
        <w:t>4</w:t>
      </w:r>
      <w:r w:rsidRPr="00E630D8">
        <w:rPr>
          <w:lang w:val="fr-CH" w:eastAsia="zh-CN"/>
        </w:rPr>
        <w:t>)</w:t>
      </w:r>
      <w:r w:rsidRPr="00296466">
        <w:rPr>
          <w:rFonts w:asciiTheme="majorBidi" w:hAnsiTheme="majorBidi" w:cstheme="majorBidi"/>
          <w:bCs/>
          <w:szCs w:val="28"/>
          <w:lang w:val="fr-CH"/>
        </w:rPr>
        <w:tab/>
      </w:r>
      <w:hyperlink w:anchor="RES_763" w:history="1">
        <w:r w:rsidRPr="00296466">
          <w:rPr>
            <w:bCs/>
            <w:szCs w:val="28"/>
            <w:lang w:val="fr-CH"/>
          </w:rPr>
          <w:t>Résolution</w:t>
        </w:r>
        <w:r>
          <w:rPr>
            <w:szCs w:val="28"/>
            <w:lang w:val="fr-CH"/>
          </w:rPr>
          <w:t xml:space="preserve"> </w:t>
        </w:r>
        <w:r w:rsidRPr="00296466">
          <w:rPr>
            <w:b/>
            <w:szCs w:val="28"/>
            <w:lang w:val="fr-CH"/>
          </w:rPr>
          <w:t>763 (CMR</w:t>
        </w:r>
        <w:r w:rsidRPr="00296466">
          <w:rPr>
            <w:b/>
            <w:szCs w:val="28"/>
            <w:lang w:val="fr-CH"/>
          </w:rPr>
          <w:noBreakHyphen/>
          <w:t>15)</w:t>
        </w:r>
      </w:hyperlink>
      <w:r w:rsidRPr="00296466">
        <w:rPr>
          <w:rFonts w:asciiTheme="majorBidi" w:hAnsiTheme="majorBidi" w:cstheme="majorBidi"/>
          <w:bCs/>
          <w:szCs w:val="28"/>
          <w:lang w:val="fr-CH"/>
        </w:rPr>
        <w:t xml:space="preserve"> – </w:t>
      </w:r>
      <w:r w:rsidRPr="00325EC4">
        <w:rPr>
          <w:rFonts w:asciiTheme="majorBidi" w:hAnsiTheme="majorBidi" w:cstheme="majorBidi"/>
          <w:bCs/>
          <w:szCs w:val="28"/>
          <w:lang w:val="fr-CH"/>
        </w:rPr>
        <w:t>Stations placées à bord de véhicules suborbitaux</w:t>
      </w:r>
    </w:p>
    <w:p w14:paraId="5B91BA83" w14:textId="77777777" w:rsidR="005442C7" w:rsidRPr="00D44422" w:rsidRDefault="005442C7" w:rsidP="00D44422">
      <w:pPr>
        <w:pStyle w:val="Headingb"/>
      </w:pPr>
      <w:r w:rsidRPr="00D44422">
        <w:t>Introduction</w:t>
      </w:r>
    </w:p>
    <w:p w14:paraId="56139D74" w14:textId="1DA334A7" w:rsidR="005442C7" w:rsidRPr="0049610D" w:rsidRDefault="0049610D" w:rsidP="00D44422">
      <w:r w:rsidRPr="0049610D">
        <w:t xml:space="preserve">Les Membres de l'APT estiment qu'il </w:t>
      </w:r>
      <w:r w:rsidR="00D44422">
        <w:t>n'</w:t>
      </w:r>
      <w:r w:rsidRPr="0049610D">
        <w:t xml:space="preserve">est </w:t>
      </w:r>
      <w:r w:rsidR="00D44422">
        <w:t xml:space="preserve">pas </w:t>
      </w:r>
      <w:r w:rsidRPr="0049610D">
        <w:t>n</w:t>
      </w:r>
      <w:r>
        <w:t>é</w:t>
      </w:r>
      <w:r w:rsidRPr="0049610D">
        <w:t xml:space="preserve">cessaire </w:t>
      </w:r>
      <w:r w:rsidR="00D44422">
        <w:t>d</w:t>
      </w:r>
      <w:r w:rsidRPr="0049610D">
        <w:t xml:space="preserve">'apporter </w:t>
      </w:r>
      <w:r w:rsidR="00D44422">
        <w:t>des</w:t>
      </w:r>
      <w:r w:rsidRPr="0049610D">
        <w:t xml:space="preserve"> modification</w:t>
      </w:r>
      <w:r w:rsidR="00D44422">
        <w:t>s</w:t>
      </w:r>
      <w:r w:rsidRPr="0049610D">
        <w:t xml:space="preserve"> au Règlement des radiocommunications</w:t>
      </w:r>
      <w:r w:rsidR="005442C7" w:rsidRPr="0049610D">
        <w:t xml:space="preserve"> </w:t>
      </w:r>
      <w:r w:rsidR="00D44422">
        <w:t xml:space="preserve">lors de </w:t>
      </w:r>
      <w:r>
        <w:t>la CMR-19 et sont donc favorables à la suppression de la Résolution</w:t>
      </w:r>
      <w:r w:rsidR="005442C7" w:rsidRPr="0049610D">
        <w:t xml:space="preserve"> </w:t>
      </w:r>
      <w:r w:rsidR="005442C7" w:rsidRPr="00225281">
        <w:rPr>
          <w:b/>
          <w:bCs/>
        </w:rPr>
        <w:t>763 (</w:t>
      </w:r>
      <w:r w:rsidRPr="00225281">
        <w:rPr>
          <w:b/>
          <w:bCs/>
        </w:rPr>
        <w:t>CMR</w:t>
      </w:r>
      <w:r w:rsidR="005442C7" w:rsidRPr="00225281">
        <w:rPr>
          <w:b/>
          <w:bCs/>
        </w:rPr>
        <w:t>-15)</w:t>
      </w:r>
      <w:r w:rsidR="005442C7" w:rsidRPr="0049610D">
        <w:t xml:space="preserve">. </w:t>
      </w:r>
      <w:r>
        <w:t xml:space="preserve">Les Membres de l'APT </w:t>
      </w:r>
      <w:r w:rsidR="00D44422">
        <w:t>appuient la réalisation d'</w:t>
      </w:r>
      <w:r w:rsidRPr="0049610D">
        <w:t>études de l'</w:t>
      </w:r>
      <w:r w:rsidR="00FE5608">
        <w:t xml:space="preserve">UIT-R </w:t>
      </w:r>
      <w:r w:rsidR="00760868">
        <w:t>en vertu</w:t>
      </w:r>
      <w:r w:rsidR="00FE5608">
        <w:t xml:space="preserve"> d'une nouvelle Résolution de la CMR</w:t>
      </w:r>
      <w:r w:rsidR="005442C7" w:rsidRPr="0049610D">
        <w:t>.</w:t>
      </w:r>
    </w:p>
    <w:p w14:paraId="21ECA219" w14:textId="3B52A9F1" w:rsidR="003A583E" w:rsidRDefault="005442C7" w:rsidP="00D44422">
      <w:pPr>
        <w:pStyle w:val="Headingb"/>
      </w:pPr>
      <w:r>
        <w:t>Propos</w:t>
      </w:r>
      <w:r w:rsidR="0049610D">
        <w:t>ition</w:t>
      </w:r>
      <w:r>
        <w:t>s</w:t>
      </w:r>
    </w:p>
    <w:p w14:paraId="0E134A9D" w14:textId="77777777" w:rsidR="0015203F" w:rsidRDefault="0015203F" w:rsidP="00D4442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15221EFD" w14:textId="77777777" w:rsidR="00C84EAE" w:rsidRDefault="00531CBA" w:rsidP="00D44422">
      <w:pPr>
        <w:pStyle w:val="Proposal"/>
      </w:pPr>
      <w:r>
        <w:rPr>
          <w:u w:val="single"/>
        </w:rPr>
        <w:lastRenderedPageBreak/>
        <w:t>NOC</w:t>
      </w:r>
      <w:r>
        <w:tab/>
        <w:t>ACP/24A21A4/1</w:t>
      </w:r>
    </w:p>
    <w:p w14:paraId="590B7AFE" w14:textId="77777777" w:rsidR="00DC48DB" w:rsidRPr="00F116C7" w:rsidRDefault="00531CBA" w:rsidP="00D44422">
      <w:pPr>
        <w:pStyle w:val="Volumetitle"/>
        <w:rPr>
          <w:bCs/>
        </w:rPr>
      </w:pPr>
      <w:bookmarkStart w:id="4" w:name="_Toc455752901"/>
      <w:bookmarkStart w:id="5" w:name="_Toc455756140"/>
      <w:r w:rsidRPr="00F116C7">
        <w:rPr>
          <w:bCs/>
        </w:rPr>
        <w:t>ARTICLES</w:t>
      </w:r>
      <w:bookmarkEnd w:id="4"/>
      <w:bookmarkEnd w:id="5"/>
    </w:p>
    <w:p w14:paraId="287A4D1F" w14:textId="14FF3090" w:rsidR="00C84EAE" w:rsidRPr="0049610D" w:rsidRDefault="00531CBA" w:rsidP="00D44422">
      <w:pPr>
        <w:pStyle w:val="Reasons"/>
      </w:pPr>
      <w:r w:rsidRPr="0049610D">
        <w:rPr>
          <w:b/>
        </w:rPr>
        <w:t>Motifs:</w:t>
      </w:r>
      <w:r w:rsidRPr="0049610D">
        <w:tab/>
      </w:r>
      <w:r w:rsidR="0049610D" w:rsidRPr="0049610D">
        <w:rPr>
          <w:lang w:eastAsia="ko-KR"/>
        </w:rPr>
        <w:t>Aucune modification du Règlement des radiocommunications</w:t>
      </w:r>
      <w:r w:rsidR="002C7F09" w:rsidRPr="0049610D">
        <w:rPr>
          <w:lang w:eastAsia="ko-KR"/>
        </w:rPr>
        <w:t>.</w:t>
      </w:r>
    </w:p>
    <w:p w14:paraId="76ED78D9" w14:textId="77777777" w:rsidR="00C84EAE" w:rsidRDefault="00531CBA" w:rsidP="00D44422">
      <w:pPr>
        <w:pStyle w:val="Proposal"/>
      </w:pPr>
      <w:r>
        <w:t>SUP</w:t>
      </w:r>
      <w:r>
        <w:tab/>
        <w:t>ACP/24A21A4/2</w:t>
      </w:r>
    </w:p>
    <w:p w14:paraId="0F420DD4" w14:textId="77777777" w:rsidR="004A4B52" w:rsidRPr="00325EC4" w:rsidRDefault="00531CBA" w:rsidP="00D44422">
      <w:pPr>
        <w:pStyle w:val="ResNo"/>
        <w:rPr>
          <w:lang w:val="fr-CH"/>
        </w:rPr>
      </w:pPr>
      <w:r w:rsidRPr="00325EC4">
        <w:rPr>
          <w:caps w:val="0"/>
          <w:lang w:val="fr-CH"/>
        </w:rPr>
        <w:t xml:space="preserve">RÉSOLUTION </w:t>
      </w:r>
      <w:r w:rsidRPr="00CB23B7">
        <w:rPr>
          <w:rStyle w:val="href"/>
          <w:caps w:val="0"/>
        </w:rPr>
        <w:t>763</w:t>
      </w:r>
      <w:r w:rsidRPr="00325EC4">
        <w:rPr>
          <w:caps w:val="0"/>
          <w:lang w:val="fr-CH"/>
        </w:rPr>
        <w:t xml:space="preserve"> (CMR-15)</w:t>
      </w:r>
    </w:p>
    <w:p w14:paraId="74192E31" w14:textId="77777777" w:rsidR="004A4B52" w:rsidRPr="00325EC4" w:rsidRDefault="00531CBA" w:rsidP="00D44422">
      <w:pPr>
        <w:pStyle w:val="Restitle"/>
        <w:rPr>
          <w:rFonts w:asciiTheme="majorBidi" w:hAnsiTheme="majorBidi" w:cstheme="majorBidi"/>
          <w:bCs/>
          <w:szCs w:val="28"/>
          <w:lang w:val="fr-CH"/>
        </w:rPr>
      </w:pPr>
      <w:bookmarkStart w:id="6" w:name="_Toc450208815"/>
      <w:r w:rsidRPr="00325EC4">
        <w:rPr>
          <w:rFonts w:asciiTheme="majorBidi" w:hAnsiTheme="majorBidi" w:cstheme="majorBidi"/>
          <w:bCs/>
          <w:szCs w:val="28"/>
          <w:lang w:val="fr-CH"/>
        </w:rPr>
        <w:t>Stations placées à bord de véhicules suborbitaux</w:t>
      </w:r>
      <w:bookmarkEnd w:id="6"/>
    </w:p>
    <w:p w14:paraId="060E3BC5" w14:textId="1F61B500" w:rsidR="00C84EAE" w:rsidRPr="0049610D" w:rsidRDefault="00531CBA" w:rsidP="00D44422">
      <w:pPr>
        <w:pStyle w:val="Reasons"/>
        <w:rPr>
          <w:lang w:val="fr-CH"/>
        </w:rPr>
      </w:pPr>
      <w:r w:rsidRPr="0049610D">
        <w:rPr>
          <w:b/>
          <w:lang w:val="fr-CH"/>
        </w:rPr>
        <w:t>Motifs:</w:t>
      </w:r>
      <w:r w:rsidRPr="0049610D">
        <w:rPr>
          <w:lang w:val="fr-CH"/>
        </w:rPr>
        <w:tab/>
      </w:r>
      <w:r w:rsidR="0049610D" w:rsidRPr="0049610D">
        <w:rPr>
          <w:lang w:val="fr-CH"/>
        </w:rPr>
        <w:t xml:space="preserve">Cette Résolution ne sera plus nécessaire après la CMR-19, </w:t>
      </w:r>
      <w:r w:rsidR="00D44422">
        <w:rPr>
          <w:lang w:val="fr-CH"/>
        </w:rPr>
        <w:t xml:space="preserve">étant donné </w:t>
      </w:r>
      <w:r w:rsidR="0049610D" w:rsidRPr="0049610D">
        <w:rPr>
          <w:lang w:val="fr-CH"/>
        </w:rPr>
        <w:t>que les Membres de l'</w:t>
      </w:r>
      <w:r w:rsidR="0049610D">
        <w:rPr>
          <w:lang w:val="fr-CH"/>
        </w:rPr>
        <w:t xml:space="preserve">APT </w:t>
      </w:r>
      <w:r w:rsidR="00D44422">
        <w:rPr>
          <w:lang w:val="fr-CH"/>
        </w:rPr>
        <w:t>préconisent</w:t>
      </w:r>
      <w:r w:rsidR="0049610D">
        <w:rPr>
          <w:lang w:val="fr-CH"/>
        </w:rPr>
        <w:t xml:space="preserve"> que les travaux soient </w:t>
      </w:r>
      <w:r w:rsidR="00D44422">
        <w:rPr>
          <w:lang w:val="fr-CH"/>
        </w:rPr>
        <w:t>effectués</w:t>
      </w:r>
      <w:r w:rsidR="0049610D">
        <w:rPr>
          <w:lang w:val="fr-CH"/>
        </w:rPr>
        <w:t xml:space="preserve"> dans le cadre d'une nouvelle Résolution de la</w:t>
      </w:r>
      <w:r w:rsidR="00377A5A">
        <w:rPr>
          <w:lang w:val="fr-CH"/>
        </w:rPr>
        <w:t> </w:t>
      </w:r>
      <w:bookmarkStart w:id="7" w:name="_GoBack"/>
      <w:bookmarkEnd w:id="7"/>
      <w:r w:rsidR="0049610D">
        <w:rPr>
          <w:lang w:val="fr-CH"/>
        </w:rPr>
        <w:t>CMR</w:t>
      </w:r>
      <w:r w:rsidR="002C7F09" w:rsidRPr="0049610D">
        <w:rPr>
          <w:lang w:val="fr-CH"/>
        </w:rPr>
        <w:t>.</w:t>
      </w:r>
    </w:p>
    <w:p w14:paraId="5871B805" w14:textId="1DAD7195" w:rsidR="002C7F09" w:rsidRPr="0049610D" w:rsidRDefault="002C7F09" w:rsidP="00D44422">
      <w:pPr>
        <w:rPr>
          <w:lang w:val="fr-CH"/>
        </w:rPr>
      </w:pPr>
    </w:p>
    <w:p w14:paraId="758763AD" w14:textId="77777777" w:rsidR="002C7F09" w:rsidRDefault="002C7F09" w:rsidP="00D44422">
      <w:pPr>
        <w:jc w:val="center"/>
      </w:pPr>
      <w:r>
        <w:t>______________</w:t>
      </w:r>
    </w:p>
    <w:sectPr w:rsidR="002C7F09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65DCB" w14:textId="77777777" w:rsidR="0070076C" w:rsidRDefault="0070076C">
      <w:r>
        <w:separator/>
      </w:r>
    </w:p>
  </w:endnote>
  <w:endnote w:type="continuationSeparator" w:id="0">
    <w:p w14:paraId="6D224C44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76353" w14:textId="3230910F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77A5A">
      <w:rPr>
        <w:noProof/>
        <w:lang w:val="en-US"/>
      </w:rPr>
      <w:t>P:\FRA\ITU-R\CONF-R\CMR19\000\024ADD21ADD04F.docx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77A5A">
      <w:rPr>
        <w:noProof/>
      </w:rPr>
      <w:t>04.10.19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77A5A">
      <w:rPr>
        <w:noProof/>
      </w:rPr>
      <w:t>08.10.19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554A4" w14:textId="1C56DAA4" w:rsidR="00936D25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77A5A">
      <w:rPr>
        <w:lang w:val="en-US"/>
      </w:rPr>
      <w:t>P:\FRA\ITU-R\CONF-R\CMR19\000\024ADD21ADD04F.docx</w:t>
    </w:r>
    <w:r>
      <w:fldChar w:fldCharType="end"/>
    </w:r>
    <w:r w:rsidR="00531CBA" w:rsidRPr="00D44422">
      <w:rPr>
        <w:lang w:val="en-US"/>
      </w:rPr>
      <w:t xml:space="preserve"> (461109)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62113" w14:textId="050A827A"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77A5A">
      <w:rPr>
        <w:lang w:val="en-US"/>
      </w:rPr>
      <w:t>P:\FRA\ITU-R\CONF-R\CMR19\000\024ADD21ADD04F.docx</w:t>
    </w:r>
    <w:r>
      <w:fldChar w:fldCharType="end"/>
    </w:r>
    <w:r w:rsidR="00531CBA" w:rsidRPr="00D44422">
      <w:rPr>
        <w:lang w:val="en-US"/>
      </w:rPr>
      <w:t xml:space="preserve"> (461109)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8C55C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73F18625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23EBC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0868">
      <w:rPr>
        <w:noProof/>
      </w:rPr>
      <w:t>2</w:t>
    </w:r>
    <w:r>
      <w:fldChar w:fldCharType="end"/>
    </w:r>
  </w:p>
  <w:p w14:paraId="17CD69E5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24(Add.21)(Add.4)-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204306"/>
    <w:rsid w:val="00225281"/>
    <w:rsid w:val="00232FD2"/>
    <w:rsid w:val="0026554E"/>
    <w:rsid w:val="002A4622"/>
    <w:rsid w:val="002A6F8F"/>
    <w:rsid w:val="002B17E5"/>
    <w:rsid w:val="002C0EBF"/>
    <w:rsid w:val="002C28A4"/>
    <w:rsid w:val="002C7F09"/>
    <w:rsid w:val="002D7E0A"/>
    <w:rsid w:val="00315AFE"/>
    <w:rsid w:val="00356658"/>
    <w:rsid w:val="003606A6"/>
    <w:rsid w:val="0036650C"/>
    <w:rsid w:val="00377A5A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9610D"/>
    <w:rsid w:val="004D01FC"/>
    <w:rsid w:val="004E28C3"/>
    <w:rsid w:val="004F1F8E"/>
    <w:rsid w:val="00512A32"/>
    <w:rsid w:val="00531CBA"/>
    <w:rsid w:val="005343DA"/>
    <w:rsid w:val="005442C7"/>
    <w:rsid w:val="00556907"/>
    <w:rsid w:val="00560874"/>
    <w:rsid w:val="00586CF2"/>
    <w:rsid w:val="005A7C75"/>
    <w:rsid w:val="005C3768"/>
    <w:rsid w:val="005C6C3F"/>
    <w:rsid w:val="005E4965"/>
    <w:rsid w:val="00613635"/>
    <w:rsid w:val="0062093D"/>
    <w:rsid w:val="00637ECF"/>
    <w:rsid w:val="00647B59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0868"/>
    <w:rsid w:val="00764342"/>
    <w:rsid w:val="00774362"/>
    <w:rsid w:val="00786598"/>
    <w:rsid w:val="00790C74"/>
    <w:rsid w:val="007A04E8"/>
    <w:rsid w:val="007B2C34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B31FB"/>
    <w:rsid w:val="00AE36A0"/>
    <w:rsid w:val="00B00294"/>
    <w:rsid w:val="00B06782"/>
    <w:rsid w:val="00B3749C"/>
    <w:rsid w:val="00B64FD0"/>
    <w:rsid w:val="00BA5BD0"/>
    <w:rsid w:val="00BB1D82"/>
    <w:rsid w:val="00BD51C5"/>
    <w:rsid w:val="00BF26E7"/>
    <w:rsid w:val="00C53FCA"/>
    <w:rsid w:val="00C76BAF"/>
    <w:rsid w:val="00C814B9"/>
    <w:rsid w:val="00C84EAE"/>
    <w:rsid w:val="00CD516F"/>
    <w:rsid w:val="00D119A7"/>
    <w:rsid w:val="00D25FBA"/>
    <w:rsid w:val="00D32B28"/>
    <w:rsid w:val="00D42954"/>
    <w:rsid w:val="00D44422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C41F8"/>
    <w:rsid w:val="00FD7AA3"/>
    <w:rsid w:val="00FE560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95B8446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R16-WRC19-C-0024!A21-A4!MSW-F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06BFB3C8-3323-4C7E-AEDA-073C279FD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BE730-A939-420B-B131-75F677A0F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4B85C2-C9A1-4533-9310-A88ABB7CC964}">
  <ds:schemaRefs>
    <ds:schemaRef ds:uri="32a1a8c5-2265-4ebc-b7a0-2071e2c5c9bb"/>
    <ds:schemaRef ds:uri="http://purl.org/dc/dcmitype/"/>
    <ds:schemaRef ds:uri="http://schemas.microsoft.com/office/infopath/2007/PartnerControls"/>
    <ds:schemaRef ds:uri="http://schemas.microsoft.com/office/2006/metadata/properties"/>
    <ds:schemaRef ds:uri="996b2e75-67fd-4955-a3b0-5ab9934cb5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1180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R16-WRC19-C-0024!A21-A4!MSW-F</vt:lpstr>
    </vt:vector>
  </TitlesOfParts>
  <Manager>Secrétariat général - Pool</Manager>
  <Company>Union internationale des télécommunications (UIT)</Company>
  <LinksUpToDate>false</LinksUpToDate>
  <CharactersWithSpaces>1353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R16-WRC19-C-0024!A21-A4!MSW-F</dc:title>
  <dc:subject>Conférence mondiale des radiocommunications - 2019</dc:subject>
  <dc:creator>Documents Proposals Manager (DPM)</dc:creator>
  <cp:keywords>DPM_v2019.9.25.1_prod</cp:keywords>
  <dc:description/>
  <cp:lastModifiedBy>French</cp:lastModifiedBy>
  <cp:revision>5</cp:revision>
  <cp:lastPrinted>2019-10-08T13:11:00Z</cp:lastPrinted>
  <dcterms:created xsi:type="dcterms:W3CDTF">2019-10-04T09:52:00Z</dcterms:created>
  <dcterms:modified xsi:type="dcterms:W3CDTF">2019-10-08T13:11:00Z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