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FB5B0ED" w14:textId="77777777">
        <w:trPr>
          <w:cantSplit/>
        </w:trPr>
        <w:tc>
          <w:tcPr>
            <w:tcW w:w="6911" w:type="dxa"/>
          </w:tcPr>
          <w:p w14:paraId="65862E4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7AB3FA6"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7892062F" wp14:editId="150443E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FAFEADA" w14:textId="77777777">
        <w:trPr>
          <w:cantSplit/>
        </w:trPr>
        <w:tc>
          <w:tcPr>
            <w:tcW w:w="6911" w:type="dxa"/>
            <w:tcBorders>
              <w:bottom w:val="single" w:sz="12" w:space="0" w:color="auto"/>
            </w:tcBorders>
          </w:tcPr>
          <w:p w14:paraId="685143F8"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0A97310" w14:textId="77777777" w:rsidR="00A066F1" w:rsidRPr="00617BE4" w:rsidRDefault="00A066F1" w:rsidP="00A066F1">
            <w:pPr>
              <w:spacing w:before="0" w:line="240" w:lineRule="atLeast"/>
              <w:rPr>
                <w:rFonts w:ascii="Verdana" w:hAnsi="Verdana"/>
                <w:szCs w:val="24"/>
              </w:rPr>
            </w:pPr>
          </w:p>
        </w:tc>
      </w:tr>
      <w:tr w:rsidR="00A066F1" w:rsidRPr="00C324A8" w14:paraId="71DC99A2" w14:textId="77777777">
        <w:trPr>
          <w:cantSplit/>
        </w:trPr>
        <w:tc>
          <w:tcPr>
            <w:tcW w:w="6911" w:type="dxa"/>
            <w:tcBorders>
              <w:top w:val="single" w:sz="12" w:space="0" w:color="auto"/>
            </w:tcBorders>
          </w:tcPr>
          <w:p w14:paraId="2AD1965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5809B8F" w14:textId="77777777" w:rsidR="00A066F1" w:rsidRPr="00C324A8" w:rsidRDefault="00A066F1" w:rsidP="00A066F1">
            <w:pPr>
              <w:spacing w:before="0" w:line="240" w:lineRule="atLeast"/>
              <w:rPr>
                <w:rFonts w:ascii="Verdana" w:hAnsi="Verdana"/>
                <w:sz w:val="20"/>
              </w:rPr>
            </w:pPr>
          </w:p>
        </w:tc>
      </w:tr>
      <w:tr w:rsidR="00A066F1" w:rsidRPr="00C324A8" w14:paraId="231BE541" w14:textId="77777777">
        <w:trPr>
          <w:cantSplit/>
          <w:trHeight w:val="23"/>
        </w:trPr>
        <w:tc>
          <w:tcPr>
            <w:tcW w:w="6911" w:type="dxa"/>
            <w:shd w:val="clear" w:color="auto" w:fill="auto"/>
          </w:tcPr>
          <w:p w14:paraId="36FED02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883CB5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21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18E867D8" w14:textId="77777777">
        <w:trPr>
          <w:cantSplit/>
          <w:trHeight w:val="23"/>
        </w:trPr>
        <w:tc>
          <w:tcPr>
            <w:tcW w:w="6911" w:type="dxa"/>
            <w:shd w:val="clear" w:color="auto" w:fill="auto"/>
          </w:tcPr>
          <w:p w14:paraId="0036A7A3"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BC9D47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53F9AA61" w14:textId="77777777">
        <w:trPr>
          <w:cantSplit/>
          <w:trHeight w:val="23"/>
        </w:trPr>
        <w:tc>
          <w:tcPr>
            <w:tcW w:w="6911" w:type="dxa"/>
            <w:shd w:val="clear" w:color="auto" w:fill="auto"/>
          </w:tcPr>
          <w:p w14:paraId="26E49B71"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B2C0CF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01A1574" w14:textId="77777777" w:rsidTr="00025864">
        <w:trPr>
          <w:cantSplit/>
          <w:trHeight w:val="23"/>
        </w:trPr>
        <w:tc>
          <w:tcPr>
            <w:tcW w:w="10031" w:type="dxa"/>
            <w:gridSpan w:val="2"/>
            <w:shd w:val="clear" w:color="auto" w:fill="auto"/>
          </w:tcPr>
          <w:p w14:paraId="2C0A3EDB" w14:textId="77777777" w:rsidR="00A066F1" w:rsidRPr="00C324A8" w:rsidRDefault="00A066F1" w:rsidP="00A066F1">
            <w:pPr>
              <w:tabs>
                <w:tab w:val="left" w:pos="993"/>
              </w:tabs>
              <w:spacing w:before="0"/>
              <w:rPr>
                <w:rFonts w:ascii="Verdana" w:hAnsi="Verdana"/>
                <w:b/>
                <w:sz w:val="20"/>
              </w:rPr>
            </w:pPr>
          </w:p>
        </w:tc>
      </w:tr>
      <w:tr w:rsidR="00E55816" w:rsidRPr="00C324A8" w14:paraId="0D5F5ABF" w14:textId="77777777" w:rsidTr="00025864">
        <w:trPr>
          <w:cantSplit/>
          <w:trHeight w:val="23"/>
        </w:trPr>
        <w:tc>
          <w:tcPr>
            <w:tcW w:w="10031" w:type="dxa"/>
            <w:gridSpan w:val="2"/>
            <w:shd w:val="clear" w:color="auto" w:fill="auto"/>
          </w:tcPr>
          <w:p w14:paraId="23B5B7F8" w14:textId="77777777" w:rsidR="00E55816" w:rsidRDefault="00884D60" w:rsidP="00E55816">
            <w:pPr>
              <w:pStyle w:val="Source"/>
            </w:pPr>
            <w:r>
              <w:t>Asia-Pacific Telecommunity Common Proposals</w:t>
            </w:r>
          </w:p>
        </w:tc>
      </w:tr>
      <w:tr w:rsidR="00E55816" w:rsidRPr="00C324A8" w14:paraId="26FCE056" w14:textId="77777777" w:rsidTr="00025864">
        <w:trPr>
          <w:cantSplit/>
          <w:trHeight w:val="23"/>
        </w:trPr>
        <w:tc>
          <w:tcPr>
            <w:tcW w:w="10031" w:type="dxa"/>
            <w:gridSpan w:val="2"/>
            <w:shd w:val="clear" w:color="auto" w:fill="auto"/>
          </w:tcPr>
          <w:p w14:paraId="1E2906F6" w14:textId="77777777" w:rsidR="00E55816" w:rsidRDefault="007D5320" w:rsidP="00E55816">
            <w:pPr>
              <w:pStyle w:val="Title1"/>
            </w:pPr>
            <w:r>
              <w:t>Proposals for the work of the conference</w:t>
            </w:r>
          </w:p>
        </w:tc>
      </w:tr>
      <w:tr w:rsidR="00E55816" w:rsidRPr="00C324A8" w14:paraId="3346C198" w14:textId="77777777" w:rsidTr="00025864">
        <w:trPr>
          <w:cantSplit/>
          <w:trHeight w:val="23"/>
        </w:trPr>
        <w:tc>
          <w:tcPr>
            <w:tcW w:w="10031" w:type="dxa"/>
            <w:gridSpan w:val="2"/>
            <w:shd w:val="clear" w:color="auto" w:fill="auto"/>
          </w:tcPr>
          <w:p w14:paraId="4E371C55" w14:textId="77777777" w:rsidR="00E55816" w:rsidRDefault="00E55816" w:rsidP="00E55816">
            <w:pPr>
              <w:pStyle w:val="Title2"/>
            </w:pPr>
          </w:p>
        </w:tc>
      </w:tr>
      <w:tr w:rsidR="00A538A6" w:rsidRPr="00C324A8" w14:paraId="3F4D12FC" w14:textId="77777777" w:rsidTr="00025864">
        <w:trPr>
          <w:cantSplit/>
          <w:trHeight w:val="23"/>
        </w:trPr>
        <w:tc>
          <w:tcPr>
            <w:tcW w:w="10031" w:type="dxa"/>
            <w:gridSpan w:val="2"/>
            <w:shd w:val="clear" w:color="auto" w:fill="auto"/>
          </w:tcPr>
          <w:p w14:paraId="3C7DC075" w14:textId="77777777" w:rsidR="00A538A6" w:rsidRDefault="004B13CB" w:rsidP="004B13CB">
            <w:pPr>
              <w:pStyle w:val="Agendaitem"/>
            </w:pPr>
            <w:r>
              <w:t>Agenda item 9.1</w:t>
            </w:r>
          </w:p>
        </w:tc>
      </w:tr>
    </w:tbl>
    <w:bookmarkEnd w:id="6"/>
    <w:bookmarkEnd w:id="7"/>
    <w:p w14:paraId="0ADE1628" w14:textId="77777777" w:rsidR="005118F7" w:rsidRPr="00EC5386" w:rsidRDefault="00FF1001"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504B063" w14:textId="77777777" w:rsidR="005118F7" w:rsidRPr="00EC5386" w:rsidRDefault="00FF1001"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1DE0DD35" w14:textId="77777777" w:rsidR="007B175A" w:rsidRDefault="007B175A" w:rsidP="00F67C92"/>
    <w:p w14:paraId="3F5249E6" w14:textId="611FD951" w:rsidR="00FF1001" w:rsidRPr="00FF1001" w:rsidRDefault="00FF1001" w:rsidP="00F67C92">
      <w:r w:rsidRPr="00FF1001">
        <w:t>Asia-Pacific Telecommunity (APT) Common Proposals (ACPs) on various issues of agenda item</w:t>
      </w:r>
      <w:r w:rsidR="007A05B9">
        <w:t> </w:t>
      </w:r>
      <w:r w:rsidRPr="00FF1001">
        <w:t>9.1 are presented in this document in different addendum. The arrangement of the ACPs in the addenda is in accordance of the following table:</w:t>
      </w:r>
    </w:p>
    <w:p w14:paraId="52E9CCA7" w14:textId="77777777" w:rsidR="00FF1001" w:rsidRDefault="00FF1001" w:rsidP="00187BD9">
      <w:pPr>
        <w:tabs>
          <w:tab w:val="clear" w:pos="1134"/>
          <w:tab w:val="clear" w:pos="1871"/>
          <w:tab w:val="clear" w:pos="2268"/>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1345"/>
        <w:gridCol w:w="5539"/>
        <w:gridCol w:w="2745"/>
      </w:tblGrid>
      <w:tr w:rsidR="00FF1001" w:rsidRPr="00261DFE" w14:paraId="68BB9949" w14:textId="77777777" w:rsidTr="002A1079">
        <w:tc>
          <w:tcPr>
            <w:tcW w:w="6884" w:type="dxa"/>
            <w:gridSpan w:val="2"/>
            <w:shd w:val="clear" w:color="auto" w:fill="D9D9D9" w:themeFill="background1" w:themeFillShade="D9"/>
          </w:tcPr>
          <w:p w14:paraId="6E5D032C" w14:textId="77777777" w:rsidR="00FF1001" w:rsidRDefault="00FF1001" w:rsidP="00FF1001">
            <w:pPr>
              <w:pStyle w:val="Tablehead"/>
              <w:jc w:val="left"/>
            </w:pPr>
            <w:r>
              <w:t xml:space="preserve">9.1 </w:t>
            </w:r>
            <w:r w:rsidRPr="00261DFE">
              <w:t>Issues</w:t>
            </w:r>
          </w:p>
        </w:tc>
        <w:tc>
          <w:tcPr>
            <w:tcW w:w="2745" w:type="dxa"/>
            <w:shd w:val="clear" w:color="auto" w:fill="D9D9D9" w:themeFill="background1" w:themeFillShade="D9"/>
          </w:tcPr>
          <w:p w14:paraId="014FAD64" w14:textId="77777777" w:rsidR="00FF1001" w:rsidRPr="00261DFE" w:rsidRDefault="00FF1001" w:rsidP="00FF1001">
            <w:pPr>
              <w:pStyle w:val="Tablehead"/>
            </w:pPr>
            <w:r>
              <w:t>Addendum No.</w:t>
            </w:r>
          </w:p>
        </w:tc>
      </w:tr>
      <w:tr w:rsidR="00FF1001" w14:paraId="008DFF13" w14:textId="77777777" w:rsidTr="002A1079">
        <w:tc>
          <w:tcPr>
            <w:tcW w:w="1345" w:type="dxa"/>
          </w:tcPr>
          <w:p w14:paraId="7FF47C0E" w14:textId="77777777" w:rsidR="00FF1001" w:rsidRPr="006B01A1" w:rsidRDefault="00FF1001" w:rsidP="00FF1001">
            <w:pPr>
              <w:pStyle w:val="Tabletext"/>
            </w:pPr>
            <w:r w:rsidRPr="006B01A1">
              <w:t>9.1.1</w:t>
            </w:r>
          </w:p>
        </w:tc>
        <w:tc>
          <w:tcPr>
            <w:tcW w:w="5539" w:type="dxa"/>
          </w:tcPr>
          <w:p w14:paraId="61481806" w14:textId="599FBCDF" w:rsidR="00FF1001" w:rsidRPr="006B01A1" w:rsidRDefault="00FF1001" w:rsidP="00FF1001">
            <w:pPr>
              <w:pStyle w:val="Tabletext"/>
            </w:pPr>
            <w:r w:rsidRPr="006B01A1">
              <w:t xml:space="preserve">Resolution </w:t>
            </w:r>
            <w:r w:rsidRPr="00FF1001">
              <w:rPr>
                <w:b/>
                <w:bCs/>
              </w:rPr>
              <w:t>212</w:t>
            </w:r>
            <w:r w:rsidRPr="006B01A1">
              <w:t xml:space="preserve"> (</w:t>
            </w:r>
            <w:r w:rsidRPr="00FF1001">
              <w:rPr>
                <w:b/>
                <w:bCs/>
              </w:rPr>
              <w:t>Rev.WRC-15</w:t>
            </w:r>
            <w:r w:rsidRPr="006B01A1">
              <w:t xml:space="preserve">) </w:t>
            </w:r>
            <w:r w:rsidR="007A05B9">
              <w:t>–</w:t>
            </w:r>
            <w:r w:rsidRPr="006B01A1">
              <w:t xml:space="preserve"> Implementation of International Mobile Telecommunications in the frequency bands 1 885-2 025 MHz and 2 110</w:t>
            </w:r>
            <w:r w:rsidR="007A05B9">
              <w:t>-</w:t>
            </w:r>
            <w:r w:rsidRPr="006B01A1">
              <w:t xml:space="preserve">2 200 MHz; </w:t>
            </w:r>
          </w:p>
        </w:tc>
        <w:tc>
          <w:tcPr>
            <w:tcW w:w="2745" w:type="dxa"/>
          </w:tcPr>
          <w:p w14:paraId="25CE9099" w14:textId="77777777" w:rsidR="00FF1001" w:rsidRDefault="00FF1001" w:rsidP="00FF1001">
            <w:pPr>
              <w:pStyle w:val="Tabletext"/>
            </w:pPr>
            <w:r>
              <w:t>No ACP</w:t>
            </w:r>
          </w:p>
        </w:tc>
      </w:tr>
      <w:tr w:rsidR="00FF1001" w14:paraId="1AC84329" w14:textId="77777777" w:rsidTr="002A1079">
        <w:tc>
          <w:tcPr>
            <w:tcW w:w="1345" w:type="dxa"/>
          </w:tcPr>
          <w:p w14:paraId="627F25EF" w14:textId="77777777" w:rsidR="00FF1001" w:rsidRPr="006B01A1" w:rsidRDefault="00FF1001" w:rsidP="00FF1001">
            <w:pPr>
              <w:pStyle w:val="Tabletext"/>
            </w:pPr>
            <w:r w:rsidRPr="006B01A1">
              <w:t>9.1.2</w:t>
            </w:r>
          </w:p>
        </w:tc>
        <w:tc>
          <w:tcPr>
            <w:tcW w:w="5539" w:type="dxa"/>
          </w:tcPr>
          <w:p w14:paraId="42DF3E35" w14:textId="0268086A" w:rsidR="00FF1001" w:rsidRPr="00DF6C17" w:rsidRDefault="00FF1001" w:rsidP="00FF1001">
            <w:pPr>
              <w:pStyle w:val="Tabletext"/>
            </w:pPr>
            <w:r w:rsidRPr="006B01A1">
              <w:t>Resolution</w:t>
            </w:r>
            <w:r w:rsidRPr="00FF1001">
              <w:rPr>
                <w:b/>
                <w:bCs/>
              </w:rPr>
              <w:t xml:space="preserve"> 761</w:t>
            </w:r>
            <w:r w:rsidRPr="006B01A1">
              <w:t xml:space="preserve"> (</w:t>
            </w:r>
            <w:r w:rsidRPr="00FF1001">
              <w:rPr>
                <w:b/>
                <w:bCs/>
              </w:rPr>
              <w:t>WRC-15</w:t>
            </w:r>
            <w:r w:rsidRPr="006B01A1">
              <w:t xml:space="preserve">) </w:t>
            </w:r>
            <w:r w:rsidR="007A05B9">
              <w:t>–</w:t>
            </w:r>
            <w:r w:rsidRPr="006B01A1">
              <w:t xml:space="preserve"> Compatibility of International Mobile Telecommunications and broadcasting-satellite service (sound) in the frequency band 1 452</w:t>
            </w:r>
            <w:r>
              <w:t xml:space="preserve">-1 492 MHz in Regions 1 and 3; </w:t>
            </w:r>
          </w:p>
        </w:tc>
        <w:tc>
          <w:tcPr>
            <w:tcW w:w="2745" w:type="dxa"/>
          </w:tcPr>
          <w:p w14:paraId="09624A47" w14:textId="77777777" w:rsidR="00FF1001" w:rsidRDefault="00FF1001" w:rsidP="00FF1001">
            <w:pPr>
              <w:pStyle w:val="Tabletext"/>
            </w:pPr>
            <w:r>
              <w:t>No ACP</w:t>
            </w:r>
          </w:p>
        </w:tc>
      </w:tr>
      <w:tr w:rsidR="00FF1001" w14:paraId="3AE4DFBD" w14:textId="77777777" w:rsidTr="002A1079">
        <w:tc>
          <w:tcPr>
            <w:tcW w:w="1345" w:type="dxa"/>
          </w:tcPr>
          <w:p w14:paraId="0FC54CAC" w14:textId="77777777" w:rsidR="00FF1001" w:rsidRPr="006B01A1" w:rsidRDefault="00FF1001" w:rsidP="00FF1001">
            <w:pPr>
              <w:pStyle w:val="Tabletext"/>
            </w:pPr>
            <w:r w:rsidRPr="006B01A1">
              <w:t>9.1.3</w:t>
            </w:r>
          </w:p>
        </w:tc>
        <w:tc>
          <w:tcPr>
            <w:tcW w:w="5539" w:type="dxa"/>
          </w:tcPr>
          <w:p w14:paraId="1F1B0E9F" w14:textId="033BBB18" w:rsidR="00FF1001" w:rsidRPr="006B01A1" w:rsidRDefault="00FF1001" w:rsidP="00FF1001">
            <w:pPr>
              <w:pStyle w:val="Tabletext"/>
            </w:pPr>
            <w:r w:rsidRPr="006B01A1">
              <w:t xml:space="preserve">Resolution </w:t>
            </w:r>
            <w:r w:rsidRPr="00FF1001">
              <w:rPr>
                <w:b/>
                <w:bCs/>
              </w:rPr>
              <w:t>157</w:t>
            </w:r>
            <w:r w:rsidRPr="006B01A1">
              <w:t xml:space="preserve"> (</w:t>
            </w:r>
            <w:r w:rsidRPr="00FF1001">
              <w:rPr>
                <w:b/>
                <w:bCs/>
              </w:rPr>
              <w:t>Rev.WRC-15</w:t>
            </w:r>
            <w:r w:rsidRPr="006B01A1">
              <w:t xml:space="preserve">) </w:t>
            </w:r>
            <w:r w:rsidR="007A05B9">
              <w:t>–</w:t>
            </w:r>
            <w:r w:rsidRPr="006B01A1">
              <w:t xml:space="preserve"> Study of technical and operational issues and regulatory provisions for new non-geostationary-satellite orbit systems in the 3 700-4 200 MHz, 4</w:t>
            </w:r>
            <w:r w:rsidR="007A05B9">
              <w:t> </w:t>
            </w:r>
            <w:r w:rsidRPr="006B01A1">
              <w:t xml:space="preserve">500-4 800 MHz, 5 925-6 425 MHz and 6 725-7 025 MHz frequency bands allocated to the fixed-satellite service; </w:t>
            </w:r>
          </w:p>
        </w:tc>
        <w:tc>
          <w:tcPr>
            <w:tcW w:w="2745" w:type="dxa"/>
          </w:tcPr>
          <w:p w14:paraId="6C0C9CB6" w14:textId="77777777" w:rsidR="00FF1001" w:rsidRDefault="00FF1001" w:rsidP="00FF1001">
            <w:pPr>
              <w:pStyle w:val="Tabletext"/>
            </w:pPr>
            <w:r>
              <w:t>A3</w:t>
            </w:r>
          </w:p>
        </w:tc>
      </w:tr>
      <w:tr w:rsidR="00FF1001" w14:paraId="0D7E8E14" w14:textId="77777777" w:rsidTr="002A1079">
        <w:tc>
          <w:tcPr>
            <w:tcW w:w="1345" w:type="dxa"/>
          </w:tcPr>
          <w:p w14:paraId="7968259B" w14:textId="77777777" w:rsidR="00FF1001" w:rsidRPr="006B01A1" w:rsidRDefault="00FF1001" w:rsidP="00FF1001">
            <w:pPr>
              <w:pStyle w:val="Tabletext"/>
            </w:pPr>
            <w:r w:rsidRPr="006B01A1">
              <w:t>9.1.4</w:t>
            </w:r>
          </w:p>
        </w:tc>
        <w:tc>
          <w:tcPr>
            <w:tcW w:w="5539" w:type="dxa"/>
          </w:tcPr>
          <w:p w14:paraId="2B77A43F" w14:textId="3E754E68" w:rsidR="00FF1001" w:rsidRPr="006B01A1" w:rsidRDefault="00FF1001" w:rsidP="00FF1001">
            <w:pPr>
              <w:pStyle w:val="Tabletext"/>
            </w:pPr>
            <w:r w:rsidRPr="006B01A1">
              <w:t>Resolution</w:t>
            </w:r>
            <w:r w:rsidRPr="00FF1001">
              <w:rPr>
                <w:b/>
                <w:bCs/>
              </w:rPr>
              <w:t xml:space="preserve"> 763</w:t>
            </w:r>
            <w:r w:rsidRPr="006B01A1">
              <w:t xml:space="preserve"> (</w:t>
            </w:r>
            <w:r w:rsidRPr="00FF1001">
              <w:rPr>
                <w:b/>
                <w:bCs/>
              </w:rPr>
              <w:t>WRC-15</w:t>
            </w:r>
            <w:r w:rsidRPr="006B01A1">
              <w:t xml:space="preserve">) </w:t>
            </w:r>
            <w:r w:rsidR="007A05B9">
              <w:t>–</w:t>
            </w:r>
            <w:r w:rsidRPr="006B01A1">
              <w:t xml:space="preserve"> Stations on board sub-orbital vehicles; </w:t>
            </w:r>
          </w:p>
        </w:tc>
        <w:tc>
          <w:tcPr>
            <w:tcW w:w="2745" w:type="dxa"/>
          </w:tcPr>
          <w:p w14:paraId="27E4BEF5" w14:textId="77777777" w:rsidR="00FF1001" w:rsidRDefault="00FF1001" w:rsidP="00FF1001">
            <w:pPr>
              <w:pStyle w:val="Tabletext"/>
            </w:pPr>
            <w:r>
              <w:t>A4</w:t>
            </w:r>
          </w:p>
        </w:tc>
      </w:tr>
      <w:tr w:rsidR="00FF1001" w14:paraId="12DBEEDF" w14:textId="77777777" w:rsidTr="002A1079">
        <w:tc>
          <w:tcPr>
            <w:tcW w:w="1345" w:type="dxa"/>
          </w:tcPr>
          <w:p w14:paraId="4B1D5D45" w14:textId="77777777" w:rsidR="00FF1001" w:rsidRPr="006B01A1" w:rsidRDefault="00FF1001" w:rsidP="00FF1001">
            <w:pPr>
              <w:pStyle w:val="Tabletext"/>
            </w:pPr>
            <w:r w:rsidRPr="006B01A1">
              <w:t>9.1.5</w:t>
            </w:r>
          </w:p>
        </w:tc>
        <w:tc>
          <w:tcPr>
            <w:tcW w:w="5539" w:type="dxa"/>
          </w:tcPr>
          <w:p w14:paraId="40900F43" w14:textId="77777777" w:rsidR="00FF1001" w:rsidRPr="006B01A1" w:rsidRDefault="00FF1001" w:rsidP="00FF1001">
            <w:pPr>
              <w:pStyle w:val="Tabletext"/>
            </w:pPr>
            <w:r w:rsidRPr="006B01A1">
              <w:t xml:space="preserve">Resolution </w:t>
            </w:r>
            <w:r w:rsidRPr="00FF1001">
              <w:rPr>
                <w:b/>
                <w:bCs/>
              </w:rPr>
              <w:t xml:space="preserve">764 </w:t>
            </w:r>
            <w:r w:rsidRPr="006B01A1">
              <w:t>(</w:t>
            </w:r>
            <w:r w:rsidRPr="00FF1001">
              <w:rPr>
                <w:b/>
                <w:bCs/>
              </w:rPr>
              <w:t>WRC-15</w:t>
            </w:r>
            <w:r w:rsidRPr="006B01A1">
              <w:t xml:space="preserve">) – Consideration of the technical and regulatory impacts of referencing Recommendations ITU-R M.1638 1 and ITU-R M.1849 1 in Nos. 5.447F and 5.450A of the Radio Regulations; </w:t>
            </w:r>
          </w:p>
        </w:tc>
        <w:tc>
          <w:tcPr>
            <w:tcW w:w="2745" w:type="dxa"/>
          </w:tcPr>
          <w:p w14:paraId="71A64618" w14:textId="77777777" w:rsidR="00FF1001" w:rsidRDefault="00FF1001" w:rsidP="00FF1001">
            <w:pPr>
              <w:pStyle w:val="Tabletext"/>
            </w:pPr>
            <w:r>
              <w:t>A5</w:t>
            </w:r>
          </w:p>
        </w:tc>
      </w:tr>
      <w:tr w:rsidR="00FF1001" w14:paraId="37297C54" w14:textId="77777777" w:rsidTr="002A1079">
        <w:tc>
          <w:tcPr>
            <w:tcW w:w="1345" w:type="dxa"/>
          </w:tcPr>
          <w:p w14:paraId="1A67A713" w14:textId="77777777" w:rsidR="00FF1001" w:rsidRPr="006B01A1" w:rsidRDefault="00FF1001" w:rsidP="00FF1001">
            <w:pPr>
              <w:pStyle w:val="Tabletext"/>
            </w:pPr>
            <w:r w:rsidRPr="006B01A1">
              <w:t>9.1.6</w:t>
            </w:r>
          </w:p>
        </w:tc>
        <w:tc>
          <w:tcPr>
            <w:tcW w:w="5539" w:type="dxa"/>
          </w:tcPr>
          <w:p w14:paraId="15813103" w14:textId="77777777" w:rsidR="00FF1001" w:rsidRPr="006B01A1" w:rsidRDefault="00FF1001" w:rsidP="00FF1001">
            <w:pPr>
              <w:pStyle w:val="Tabletext"/>
            </w:pPr>
            <w:r w:rsidRPr="006B01A1">
              <w:t xml:space="preserve">Resolution </w:t>
            </w:r>
            <w:r w:rsidRPr="00FF1001">
              <w:rPr>
                <w:b/>
                <w:bCs/>
              </w:rPr>
              <w:t xml:space="preserve">958 </w:t>
            </w:r>
            <w:r w:rsidRPr="006B01A1">
              <w:t>(</w:t>
            </w:r>
            <w:r w:rsidRPr="00FF1001">
              <w:rPr>
                <w:b/>
                <w:bCs/>
              </w:rPr>
              <w:t>WRC-15</w:t>
            </w:r>
            <w:r w:rsidRPr="006B01A1">
              <w:t xml:space="preserve">) – Annex item 1) Studies concerning Wireless Power Transmission (WPT) for electric vehicles: a) to assess the impact of WPT for electric vehicles on </w:t>
            </w:r>
            <w:r w:rsidRPr="006B01A1">
              <w:lastRenderedPageBreak/>
              <w:t xml:space="preserve">radiocommunication services; 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 </w:t>
            </w:r>
          </w:p>
        </w:tc>
        <w:tc>
          <w:tcPr>
            <w:tcW w:w="2745" w:type="dxa"/>
          </w:tcPr>
          <w:p w14:paraId="184200E8" w14:textId="77777777" w:rsidR="00FF1001" w:rsidRDefault="00FF1001" w:rsidP="00FF1001">
            <w:pPr>
              <w:pStyle w:val="Tabletext"/>
            </w:pPr>
            <w:r>
              <w:lastRenderedPageBreak/>
              <w:t>A6</w:t>
            </w:r>
          </w:p>
        </w:tc>
      </w:tr>
      <w:tr w:rsidR="00FF1001" w14:paraId="75F17396" w14:textId="77777777" w:rsidTr="002A1079">
        <w:tc>
          <w:tcPr>
            <w:tcW w:w="1345" w:type="dxa"/>
          </w:tcPr>
          <w:p w14:paraId="4D937742" w14:textId="77777777" w:rsidR="00FF1001" w:rsidRPr="006B01A1" w:rsidRDefault="00FF1001" w:rsidP="00FF1001">
            <w:pPr>
              <w:pStyle w:val="Tabletext"/>
            </w:pPr>
            <w:r w:rsidRPr="006B01A1">
              <w:t>9.1.7</w:t>
            </w:r>
          </w:p>
        </w:tc>
        <w:tc>
          <w:tcPr>
            <w:tcW w:w="5539" w:type="dxa"/>
          </w:tcPr>
          <w:p w14:paraId="2D530987" w14:textId="212E4EED" w:rsidR="00FF1001" w:rsidRPr="006B01A1" w:rsidRDefault="00FF1001" w:rsidP="00FF1001">
            <w:pPr>
              <w:pStyle w:val="Tabletext"/>
            </w:pPr>
            <w:r w:rsidRPr="006B01A1">
              <w:t xml:space="preserve">Resolution </w:t>
            </w:r>
            <w:r w:rsidRPr="00FF1001">
              <w:rPr>
                <w:b/>
                <w:bCs/>
              </w:rPr>
              <w:t>958</w:t>
            </w:r>
            <w:r w:rsidRPr="006B01A1">
              <w:t xml:space="preserve"> (</w:t>
            </w:r>
            <w:r w:rsidRPr="00FF1001">
              <w:rPr>
                <w:b/>
                <w:bCs/>
              </w:rPr>
              <w:t>WRC-15</w:t>
            </w:r>
            <w:r w:rsidRPr="006B01A1">
              <w:t>) – Annex item 2) Studies to examine: a) whether there is a need for possible additional measures in order to limit uplink transmissions of terminals to those authorized terminals in accordance with No. 18.1; b) the possible methods that will assist administrations in managing the unauthorized operation of earth station terminals deployed within its territory, as a tool to guide their national spectrum management programme, in accordance with Resolution ITU</w:t>
            </w:r>
            <w:r w:rsidR="007B175A">
              <w:noBreakHyphen/>
            </w:r>
            <w:r w:rsidRPr="006B01A1">
              <w:t>R</w:t>
            </w:r>
            <w:r w:rsidR="007B175A">
              <w:t> </w:t>
            </w:r>
            <w:r w:rsidRPr="006B01A1">
              <w:t xml:space="preserve">64 (RA-15); </w:t>
            </w:r>
          </w:p>
        </w:tc>
        <w:tc>
          <w:tcPr>
            <w:tcW w:w="2745" w:type="dxa"/>
          </w:tcPr>
          <w:p w14:paraId="65A13EC2" w14:textId="77777777" w:rsidR="00FF1001" w:rsidRDefault="00FF1001" w:rsidP="00FF1001">
            <w:pPr>
              <w:pStyle w:val="Tabletext"/>
            </w:pPr>
            <w:r>
              <w:t>A7</w:t>
            </w:r>
          </w:p>
        </w:tc>
      </w:tr>
      <w:tr w:rsidR="00FF1001" w14:paraId="7905F0FD" w14:textId="77777777" w:rsidTr="002A1079">
        <w:tc>
          <w:tcPr>
            <w:tcW w:w="1345" w:type="dxa"/>
          </w:tcPr>
          <w:p w14:paraId="4AEC3CE6" w14:textId="77777777" w:rsidR="00FF1001" w:rsidRPr="006B01A1" w:rsidRDefault="00FF1001" w:rsidP="00FF1001">
            <w:pPr>
              <w:pStyle w:val="Tabletext"/>
            </w:pPr>
            <w:r w:rsidRPr="006B01A1">
              <w:t>9.1.8</w:t>
            </w:r>
          </w:p>
        </w:tc>
        <w:tc>
          <w:tcPr>
            <w:tcW w:w="5539" w:type="dxa"/>
          </w:tcPr>
          <w:p w14:paraId="63E923B0" w14:textId="77777777" w:rsidR="00FF1001" w:rsidRPr="006B01A1" w:rsidRDefault="00FF1001" w:rsidP="00FF1001">
            <w:pPr>
              <w:pStyle w:val="Tabletext"/>
            </w:pPr>
            <w:r w:rsidRPr="006B01A1">
              <w:t xml:space="preserve">Resolution </w:t>
            </w:r>
            <w:r w:rsidRPr="00FF1001">
              <w:rPr>
                <w:b/>
                <w:bCs/>
              </w:rPr>
              <w:t>958</w:t>
            </w:r>
            <w:r w:rsidRPr="006B01A1">
              <w:t xml:space="preserve"> (</w:t>
            </w:r>
            <w:r w:rsidRPr="00FF1001">
              <w:rPr>
                <w:b/>
                <w:bCs/>
              </w:rPr>
              <w:t>WRC-15</w:t>
            </w:r>
            <w:r w:rsidRPr="006B01A1">
              <w:t xml:space="preserve">)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 </w:t>
            </w:r>
          </w:p>
        </w:tc>
        <w:tc>
          <w:tcPr>
            <w:tcW w:w="2745" w:type="dxa"/>
          </w:tcPr>
          <w:p w14:paraId="020AF281" w14:textId="77777777" w:rsidR="00FF1001" w:rsidRDefault="00FF1001" w:rsidP="00FF1001">
            <w:pPr>
              <w:pStyle w:val="Tabletext"/>
            </w:pPr>
            <w:r>
              <w:t>A8</w:t>
            </w:r>
          </w:p>
        </w:tc>
      </w:tr>
      <w:tr w:rsidR="00FF1001" w14:paraId="267B4A48" w14:textId="77777777" w:rsidTr="002A1079">
        <w:tc>
          <w:tcPr>
            <w:tcW w:w="1345" w:type="dxa"/>
          </w:tcPr>
          <w:p w14:paraId="73FB079B" w14:textId="77777777" w:rsidR="00FF1001" w:rsidRPr="006B01A1" w:rsidRDefault="00FF1001" w:rsidP="00FF1001">
            <w:pPr>
              <w:pStyle w:val="Tabletext"/>
            </w:pPr>
            <w:r w:rsidRPr="006B01A1">
              <w:t>9.1.9</w:t>
            </w:r>
          </w:p>
        </w:tc>
        <w:tc>
          <w:tcPr>
            <w:tcW w:w="5539" w:type="dxa"/>
          </w:tcPr>
          <w:p w14:paraId="005FB33C" w14:textId="77777777" w:rsidR="00FF1001" w:rsidRPr="006B01A1" w:rsidRDefault="00FF1001" w:rsidP="00FF1001">
            <w:pPr>
              <w:pStyle w:val="Tabletext"/>
            </w:pPr>
            <w:r w:rsidRPr="006B01A1">
              <w:t xml:space="preserve">Resolution </w:t>
            </w:r>
            <w:r w:rsidRPr="00FF1001">
              <w:rPr>
                <w:b/>
                <w:bCs/>
              </w:rPr>
              <w:t>162</w:t>
            </w:r>
            <w:r w:rsidRPr="006B01A1">
              <w:t xml:space="preserve"> (</w:t>
            </w:r>
            <w:r w:rsidRPr="00FF1001">
              <w:rPr>
                <w:b/>
                <w:bCs/>
              </w:rPr>
              <w:t>WRC-15</w:t>
            </w:r>
            <w:r w:rsidRPr="006B01A1">
              <w:t xml:space="preserve">) – Studies relating to spectrum needs and possible allocation of the frequency band 51.4-52.4 GHz to the fixed-satellite service (Earth-to-space); </w:t>
            </w:r>
          </w:p>
        </w:tc>
        <w:tc>
          <w:tcPr>
            <w:tcW w:w="2745" w:type="dxa"/>
          </w:tcPr>
          <w:p w14:paraId="726BA3E4" w14:textId="77777777" w:rsidR="00FF1001" w:rsidRDefault="00FF1001" w:rsidP="00FF1001">
            <w:pPr>
              <w:pStyle w:val="Tabletext"/>
            </w:pPr>
            <w:r>
              <w:t>A9</w:t>
            </w:r>
          </w:p>
        </w:tc>
      </w:tr>
    </w:tbl>
    <w:p w14:paraId="62DD75F5" w14:textId="77777777" w:rsidR="00FF1001" w:rsidRPr="00FF1001" w:rsidRDefault="00FF1001" w:rsidP="00187BD9">
      <w:pPr>
        <w:tabs>
          <w:tab w:val="clear" w:pos="1134"/>
          <w:tab w:val="clear" w:pos="1871"/>
          <w:tab w:val="clear" w:pos="2268"/>
        </w:tabs>
        <w:overflowPunct/>
        <w:autoSpaceDE/>
        <w:autoSpaceDN/>
        <w:adjustRightInd/>
        <w:spacing w:before="0"/>
        <w:textAlignment w:val="auto"/>
      </w:pPr>
    </w:p>
    <w:p w14:paraId="15BBCFCE" w14:textId="77777777" w:rsidR="007B175A" w:rsidRDefault="007B175A">
      <w:pPr>
        <w:jc w:val="center"/>
      </w:pPr>
      <w:r>
        <w:t>______________</w:t>
      </w:r>
      <w:bookmarkStart w:id="8" w:name="_GoBack"/>
      <w:bookmarkEnd w:id="8"/>
    </w:p>
    <w:sectPr w:rsidR="007B175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113D2" w14:textId="77777777" w:rsidR="00FB6DB7" w:rsidRDefault="00FB6DB7">
      <w:r>
        <w:separator/>
      </w:r>
    </w:p>
  </w:endnote>
  <w:endnote w:type="continuationSeparator" w:id="0">
    <w:p w14:paraId="013C7478" w14:textId="77777777" w:rsidR="00FB6DB7" w:rsidRDefault="00FB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897A" w14:textId="77777777" w:rsidR="00E45D05" w:rsidRDefault="00E45D05">
    <w:pPr>
      <w:framePr w:wrap="around" w:vAnchor="text" w:hAnchor="margin" w:xAlign="right" w:y="1"/>
    </w:pPr>
    <w:r>
      <w:fldChar w:fldCharType="begin"/>
    </w:r>
    <w:r>
      <w:instrText xml:space="preserve">PAGE  </w:instrText>
    </w:r>
    <w:r>
      <w:fldChar w:fldCharType="end"/>
    </w:r>
  </w:p>
  <w:p w14:paraId="7627E8BB" w14:textId="0C74A08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3B7855">
      <w:rPr>
        <w:noProof/>
      </w:rPr>
      <w:t>26.09.19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00D8" w14:textId="5C7B9B3E" w:rsidR="00E45D05" w:rsidRDefault="00E45D05" w:rsidP="009B1EA1">
    <w:pPr>
      <w:pStyle w:val="Footer"/>
    </w:pPr>
    <w:r>
      <w:fldChar w:fldCharType="begin"/>
    </w:r>
    <w:r w:rsidRPr="0041348E">
      <w:rPr>
        <w:lang w:val="en-US"/>
      </w:rPr>
      <w:instrText xml:space="preserve"> FILENAME \p  \* MERGEFORMAT </w:instrText>
    </w:r>
    <w:r>
      <w:fldChar w:fldCharType="separate"/>
    </w:r>
    <w:r w:rsidR="007A05B9">
      <w:rPr>
        <w:lang w:val="en-US"/>
      </w:rPr>
      <w:t>P:\ENG\ITU-R\CONF-R\CMR19\000\024ADD21E.docx</w:t>
    </w:r>
    <w:r>
      <w:fldChar w:fldCharType="end"/>
    </w:r>
    <w:r w:rsidR="007A05B9">
      <w:t xml:space="preserve"> (461104)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7AAE" w14:textId="58FD853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A05B9">
      <w:rPr>
        <w:lang w:val="en-US"/>
      </w:rPr>
      <w:t>P:\ENG\ITU-R\CONF-R\CMR19\000\024ADD21E.docx</w:t>
    </w:r>
    <w:r>
      <w:fldChar w:fldCharType="end"/>
    </w:r>
    <w:r w:rsidR="007A05B9">
      <w:t xml:space="preserve"> (461104)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582D" w14:textId="77777777" w:rsidR="00FB6DB7" w:rsidRDefault="00FB6DB7">
      <w:r>
        <w:rPr>
          <w:b/>
        </w:rPr>
        <w:t>_______________</w:t>
      </w:r>
    </w:p>
  </w:footnote>
  <w:footnote w:type="continuationSeparator" w:id="0">
    <w:p w14:paraId="5821B8AB" w14:textId="77777777" w:rsidR="00FB6DB7" w:rsidRDefault="00FB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C5A7" w14:textId="77777777" w:rsidR="00E45D05" w:rsidRDefault="00A066F1" w:rsidP="00187BD9">
    <w:pPr>
      <w:pStyle w:val="Header"/>
    </w:pPr>
    <w:r>
      <w:fldChar w:fldCharType="begin"/>
    </w:r>
    <w:r>
      <w:instrText xml:space="preserve"> PAGE  \* MERGEFORMAT </w:instrText>
    </w:r>
    <w:r>
      <w:fldChar w:fldCharType="separate"/>
    </w:r>
    <w:r w:rsidR="00F07C4D">
      <w:rPr>
        <w:noProof/>
      </w:rPr>
      <w:t>2</w:t>
    </w:r>
    <w:r>
      <w:fldChar w:fldCharType="end"/>
    </w:r>
  </w:p>
  <w:p w14:paraId="233C64CF"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24(Add.21)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B7855"/>
    <w:rsid w:val="003D0F8B"/>
    <w:rsid w:val="003E0DB6"/>
    <w:rsid w:val="0041348E"/>
    <w:rsid w:val="00420873"/>
    <w:rsid w:val="00464A0C"/>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05B9"/>
    <w:rsid w:val="007A6F1F"/>
    <w:rsid w:val="007B175A"/>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0496"/>
    <w:rsid w:val="00A710E7"/>
    <w:rsid w:val="00A7372E"/>
    <w:rsid w:val="00A91B4C"/>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07C4D"/>
    <w:rsid w:val="00F6155B"/>
    <w:rsid w:val="00F65C19"/>
    <w:rsid w:val="00F67C92"/>
    <w:rsid w:val="00F86A76"/>
    <w:rsid w:val="00FB6DB7"/>
    <w:rsid w:val="00FD08E2"/>
    <w:rsid w:val="00FD18DA"/>
    <w:rsid w:val="00FD2546"/>
    <w:rsid w:val="00FD772E"/>
    <w:rsid w:val="00FE78C7"/>
    <w:rsid w:val="00FF100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1E3C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table" w:styleId="TableGrid">
    <w:name w:val="Table Grid"/>
    <w:basedOn w:val="TableNormal"/>
    <w:rsid w:val="00FF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00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3A66-6C28-4C9F-95D5-B7929FEBC88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10423-75A7-4361-8627-9EB5BC1A6093}">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2E1B3DD-C750-4D9C-B3BF-007BA7C6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R16-WRC19-C-0024!A21!MSW-E</vt:lpstr>
    </vt:vector>
  </TitlesOfParts>
  <Manager>General Secretariat - Pool</Manager>
  <Company>International Telecommunication Union (ITU)</Company>
  <LinksUpToDate>false</LinksUpToDate>
  <CharactersWithSpaces>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R16-WRC19-C-0024!A21!MSW-E</dc:title>
  <dc:subject>World Radiocommunication Conference - 2019</dc:subject>
  <dc:creator>Documents Proposals Manager (DPM)</dc:creator>
  <cp:keywords>DPM_v2019.9.20.1_prod</cp:keywords>
  <dc:description>Uploaded on 2015.07.06</dc:description>
  <cp:lastModifiedBy>Currie, Jane</cp:lastModifiedBy>
  <cp:revision>7</cp:revision>
  <cp:lastPrinted>2017-02-10T08:23:00Z</cp:lastPrinted>
  <dcterms:created xsi:type="dcterms:W3CDTF">2019-09-23T06:38:00Z</dcterms:created>
  <dcterms:modified xsi:type="dcterms:W3CDTF">2019-09-30T08:37:00Z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