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BE1F31" w14:paraId="10D02348" w14:textId="77777777" w:rsidTr="00E50930">
        <w:trPr>
          <w:cantSplit/>
        </w:trPr>
        <w:tc>
          <w:tcPr>
            <w:tcW w:w="6804" w:type="dxa"/>
          </w:tcPr>
          <w:p w14:paraId="4D5BB737" w14:textId="77777777" w:rsidR="0090121B" w:rsidRPr="00BE1F31" w:rsidRDefault="005D46FB" w:rsidP="00C44E9E">
            <w:pPr>
              <w:spacing w:before="400" w:after="48" w:line="240" w:lineRule="atLeast"/>
              <w:rPr>
                <w:rFonts w:ascii="Verdana" w:hAnsi="Verdana"/>
                <w:position w:val="6"/>
              </w:rPr>
            </w:pPr>
            <w:r w:rsidRPr="00BE1F31">
              <w:rPr>
                <w:rFonts w:ascii="Verdana" w:hAnsi="Verdana" w:cs="Times"/>
                <w:b/>
                <w:position w:val="6"/>
                <w:sz w:val="20"/>
              </w:rPr>
              <w:t>Conferencia Mundial de Radiocomunicaciones (CMR-1</w:t>
            </w:r>
            <w:r w:rsidR="00C44E9E" w:rsidRPr="00BE1F31">
              <w:rPr>
                <w:rFonts w:ascii="Verdana" w:hAnsi="Verdana" w:cs="Times"/>
                <w:b/>
                <w:position w:val="6"/>
                <w:sz w:val="20"/>
              </w:rPr>
              <w:t>9</w:t>
            </w:r>
            <w:r w:rsidRPr="00BE1F31">
              <w:rPr>
                <w:rFonts w:ascii="Verdana" w:hAnsi="Verdana" w:cs="Times"/>
                <w:b/>
                <w:position w:val="6"/>
                <w:sz w:val="20"/>
              </w:rPr>
              <w:t>)</w:t>
            </w:r>
            <w:r w:rsidRPr="00BE1F31">
              <w:rPr>
                <w:rFonts w:ascii="Verdana" w:hAnsi="Verdana" w:cs="Times"/>
                <w:b/>
                <w:position w:val="6"/>
                <w:sz w:val="20"/>
              </w:rPr>
              <w:br/>
            </w:r>
            <w:r w:rsidR="006124AD" w:rsidRPr="00BE1F31">
              <w:rPr>
                <w:rFonts w:ascii="Verdana" w:hAnsi="Verdana"/>
                <w:b/>
                <w:bCs/>
                <w:position w:val="6"/>
                <w:sz w:val="17"/>
                <w:szCs w:val="17"/>
              </w:rPr>
              <w:t>Sharm el-Sheikh (Egipto)</w:t>
            </w:r>
            <w:r w:rsidRPr="00BE1F31">
              <w:rPr>
                <w:rFonts w:ascii="Verdana" w:hAnsi="Verdana"/>
                <w:b/>
                <w:bCs/>
                <w:position w:val="6"/>
                <w:sz w:val="17"/>
                <w:szCs w:val="17"/>
              </w:rPr>
              <w:t>, 2</w:t>
            </w:r>
            <w:r w:rsidR="00C44E9E" w:rsidRPr="00BE1F31">
              <w:rPr>
                <w:rFonts w:ascii="Verdana" w:hAnsi="Verdana"/>
                <w:b/>
                <w:bCs/>
                <w:position w:val="6"/>
                <w:sz w:val="17"/>
                <w:szCs w:val="17"/>
              </w:rPr>
              <w:t xml:space="preserve">8 de octubre </w:t>
            </w:r>
            <w:r w:rsidR="00DE1C31" w:rsidRPr="00BE1F31">
              <w:rPr>
                <w:rFonts w:ascii="Verdana" w:hAnsi="Verdana"/>
                <w:b/>
                <w:bCs/>
                <w:position w:val="6"/>
                <w:sz w:val="17"/>
                <w:szCs w:val="17"/>
              </w:rPr>
              <w:t>–</w:t>
            </w:r>
            <w:r w:rsidR="00C44E9E" w:rsidRPr="00BE1F31">
              <w:rPr>
                <w:rFonts w:ascii="Verdana" w:hAnsi="Verdana"/>
                <w:b/>
                <w:bCs/>
                <w:position w:val="6"/>
                <w:sz w:val="17"/>
                <w:szCs w:val="17"/>
              </w:rPr>
              <w:t xml:space="preserve"> </w:t>
            </w:r>
            <w:r w:rsidRPr="00BE1F31">
              <w:rPr>
                <w:rFonts w:ascii="Verdana" w:hAnsi="Verdana"/>
                <w:b/>
                <w:bCs/>
                <w:position w:val="6"/>
                <w:sz w:val="17"/>
                <w:szCs w:val="17"/>
              </w:rPr>
              <w:t>2</w:t>
            </w:r>
            <w:r w:rsidR="00C44E9E" w:rsidRPr="00BE1F31">
              <w:rPr>
                <w:rFonts w:ascii="Verdana" w:hAnsi="Verdana"/>
                <w:b/>
                <w:bCs/>
                <w:position w:val="6"/>
                <w:sz w:val="17"/>
                <w:szCs w:val="17"/>
              </w:rPr>
              <w:t>2</w:t>
            </w:r>
            <w:r w:rsidRPr="00BE1F31">
              <w:rPr>
                <w:rFonts w:ascii="Verdana" w:hAnsi="Verdana"/>
                <w:b/>
                <w:bCs/>
                <w:position w:val="6"/>
                <w:sz w:val="17"/>
                <w:szCs w:val="17"/>
              </w:rPr>
              <w:t xml:space="preserve"> de noviembre de 201</w:t>
            </w:r>
            <w:r w:rsidR="00C44E9E" w:rsidRPr="00BE1F31">
              <w:rPr>
                <w:rFonts w:ascii="Verdana" w:hAnsi="Verdana"/>
                <w:b/>
                <w:bCs/>
                <w:position w:val="6"/>
                <w:sz w:val="17"/>
                <w:szCs w:val="17"/>
              </w:rPr>
              <w:t>9</w:t>
            </w:r>
          </w:p>
        </w:tc>
        <w:tc>
          <w:tcPr>
            <w:tcW w:w="3227" w:type="dxa"/>
          </w:tcPr>
          <w:p w14:paraId="52909C7C" w14:textId="77777777" w:rsidR="0090121B" w:rsidRPr="00BE1F31" w:rsidRDefault="00DA71A3" w:rsidP="00CE7431">
            <w:pPr>
              <w:spacing w:before="0" w:line="240" w:lineRule="atLeast"/>
              <w:jc w:val="right"/>
            </w:pPr>
            <w:bookmarkStart w:id="0" w:name="ditulogo"/>
            <w:bookmarkEnd w:id="0"/>
            <w:r w:rsidRPr="00BE1F31">
              <w:rPr>
                <w:rFonts w:ascii="Verdana" w:hAnsi="Verdana"/>
                <w:b/>
                <w:bCs/>
                <w:noProof/>
                <w:szCs w:val="24"/>
                <w:lang w:eastAsia="zh-CN"/>
              </w:rPr>
              <w:drawing>
                <wp:inline distT="0" distB="0" distL="0" distR="0" wp14:anchorId="3F5A0DCE" wp14:editId="7CD06F93">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BE1F31" w14:paraId="7DBB30BD" w14:textId="77777777" w:rsidTr="00E50930">
        <w:trPr>
          <w:cantSplit/>
        </w:trPr>
        <w:tc>
          <w:tcPr>
            <w:tcW w:w="6804" w:type="dxa"/>
            <w:tcBorders>
              <w:bottom w:val="single" w:sz="12" w:space="0" w:color="auto"/>
            </w:tcBorders>
          </w:tcPr>
          <w:p w14:paraId="1BE639A8" w14:textId="77777777" w:rsidR="0090121B" w:rsidRPr="00BE1F31" w:rsidRDefault="0090121B" w:rsidP="0090121B">
            <w:pPr>
              <w:spacing w:before="0" w:after="48" w:line="240" w:lineRule="atLeast"/>
              <w:rPr>
                <w:b/>
                <w:smallCaps/>
                <w:szCs w:val="24"/>
              </w:rPr>
            </w:pPr>
            <w:bookmarkStart w:id="1" w:name="dhead"/>
          </w:p>
        </w:tc>
        <w:tc>
          <w:tcPr>
            <w:tcW w:w="3227" w:type="dxa"/>
            <w:tcBorders>
              <w:bottom w:val="single" w:sz="12" w:space="0" w:color="auto"/>
            </w:tcBorders>
          </w:tcPr>
          <w:p w14:paraId="6A3E93DB" w14:textId="77777777" w:rsidR="0090121B" w:rsidRPr="00BE1F31" w:rsidRDefault="0090121B" w:rsidP="0090121B">
            <w:pPr>
              <w:spacing w:before="0" w:line="240" w:lineRule="atLeast"/>
              <w:rPr>
                <w:rFonts w:ascii="Verdana" w:hAnsi="Verdana"/>
                <w:szCs w:val="24"/>
              </w:rPr>
            </w:pPr>
          </w:p>
        </w:tc>
      </w:tr>
      <w:tr w:rsidR="0090121B" w:rsidRPr="00BE1F31" w14:paraId="1B040996" w14:textId="77777777" w:rsidTr="00E50930">
        <w:trPr>
          <w:cantSplit/>
        </w:trPr>
        <w:tc>
          <w:tcPr>
            <w:tcW w:w="6804" w:type="dxa"/>
            <w:tcBorders>
              <w:top w:val="single" w:sz="12" w:space="0" w:color="auto"/>
            </w:tcBorders>
          </w:tcPr>
          <w:p w14:paraId="1149D05A" w14:textId="77777777" w:rsidR="0090121B" w:rsidRPr="00BE1F31" w:rsidRDefault="0090121B" w:rsidP="0090121B">
            <w:pPr>
              <w:spacing w:before="0" w:after="48" w:line="240" w:lineRule="atLeast"/>
              <w:rPr>
                <w:rFonts w:ascii="Verdana" w:hAnsi="Verdana"/>
                <w:b/>
                <w:smallCaps/>
                <w:sz w:val="20"/>
              </w:rPr>
            </w:pPr>
          </w:p>
        </w:tc>
        <w:tc>
          <w:tcPr>
            <w:tcW w:w="3227" w:type="dxa"/>
            <w:tcBorders>
              <w:top w:val="single" w:sz="12" w:space="0" w:color="auto"/>
            </w:tcBorders>
          </w:tcPr>
          <w:p w14:paraId="57CAD2C1" w14:textId="77777777" w:rsidR="0090121B" w:rsidRPr="00BE1F31" w:rsidRDefault="0090121B" w:rsidP="0090121B">
            <w:pPr>
              <w:spacing w:before="0" w:line="240" w:lineRule="atLeast"/>
              <w:rPr>
                <w:rFonts w:ascii="Verdana" w:hAnsi="Verdana"/>
                <w:sz w:val="20"/>
              </w:rPr>
            </w:pPr>
          </w:p>
        </w:tc>
      </w:tr>
      <w:tr w:rsidR="0090121B" w:rsidRPr="00BE1F31" w14:paraId="077D8A22" w14:textId="77777777" w:rsidTr="00E50930">
        <w:trPr>
          <w:cantSplit/>
        </w:trPr>
        <w:tc>
          <w:tcPr>
            <w:tcW w:w="6804" w:type="dxa"/>
          </w:tcPr>
          <w:p w14:paraId="04F0804F" w14:textId="77777777" w:rsidR="0090121B" w:rsidRPr="00BE1F31" w:rsidRDefault="001E7D42" w:rsidP="00EA77F0">
            <w:pPr>
              <w:pStyle w:val="Committee"/>
              <w:framePr w:hSpace="0" w:wrap="auto" w:hAnchor="text" w:yAlign="inline"/>
              <w:rPr>
                <w:lang w:val="es-ES_tradnl"/>
              </w:rPr>
            </w:pPr>
            <w:r w:rsidRPr="00BE1F31">
              <w:rPr>
                <w:lang w:val="es-ES_tradnl"/>
              </w:rPr>
              <w:t>SESIÓN PLENARIA</w:t>
            </w:r>
          </w:p>
        </w:tc>
        <w:tc>
          <w:tcPr>
            <w:tcW w:w="3227" w:type="dxa"/>
          </w:tcPr>
          <w:p w14:paraId="19770EC0" w14:textId="77777777" w:rsidR="0090121B" w:rsidRPr="00BE1F31" w:rsidRDefault="00AE658F" w:rsidP="0045384C">
            <w:pPr>
              <w:spacing w:before="0"/>
              <w:rPr>
                <w:rFonts w:ascii="Verdana" w:hAnsi="Verdana"/>
                <w:sz w:val="20"/>
              </w:rPr>
            </w:pPr>
            <w:r w:rsidRPr="00BE1F31">
              <w:rPr>
                <w:rFonts w:ascii="Verdana" w:hAnsi="Verdana"/>
                <w:b/>
                <w:sz w:val="20"/>
              </w:rPr>
              <w:t>Addéndum 1 al</w:t>
            </w:r>
            <w:r w:rsidRPr="00BE1F31">
              <w:rPr>
                <w:rFonts w:ascii="Verdana" w:hAnsi="Verdana"/>
                <w:b/>
                <w:sz w:val="20"/>
              </w:rPr>
              <w:br/>
              <w:t>Documento 24(Add.19)</w:t>
            </w:r>
            <w:r w:rsidR="0090121B" w:rsidRPr="00BE1F31">
              <w:rPr>
                <w:rFonts w:ascii="Verdana" w:hAnsi="Verdana"/>
                <w:b/>
                <w:sz w:val="20"/>
              </w:rPr>
              <w:t>-</w:t>
            </w:r>
            <w:r w:rsidRPr="00BE1F31">
              <w:rPr>
                <w:rFonts w:ascii="Verdana" w:hAnsi="Verdana"/>
                <w:b/>
                <w:sz w:val="20"/>
              </w:rPr>
              <w:t>S</w:t>
            </w:r>
          </w:p>
        </w:tc>
      </w:tr>
      <w:bookmarkEnd w:id="1"/>
      <w:tr w:rsidR="000A5B9A" w:rsidRPr="00BE1F31" w14:paraId="780F0A04" w14:textId="77777777" w:rsidTr="00E50930">
        <w:trPr>
          <w:cantSplit/>
        </w:trPr>
        <w:tc>
          <w:tcPr>
            <w:tcW w:w="6804" w:type="dxa"/>
          </w:tcPr>
          <w:p w14:paraId="7628FE89" w14:textId="77777777" w:rsidR="000A5B9A" w:rsidRPr="00BE1F31" w:rsidRDefault="000A5B9A" w:rsidP="0045384C">
            <w:pPr>
              <w:spacing w:before="0" w:after="48"/>
              <w:rPr>
                <w:rFonts w:ascii="Verdana" w:hAnsi="Verdana"/>
                <w:b/>
                <w:smallCaps/>
                <w:sz w:val="20"/>
              </w:rPr>
            </w:pPr>
          </w:p>
        </w:tc>
        <w:tc>
          <w:tcPr>
            <w:tcW w:w="3227" w:type="dxa"/>
          </w:tcPr>
          <w:p w14:paraId="1DB9B2DA" w14:textId="77777777" w:rsidR="000A5B9A" w:rsidRPr="00BE1F31" w:rsidRDefault="000A5B9A" w:rsidP="0045384C">
            <w:pPr>
              <w:spacing w:before="0"/>
              <w:rPr>
                <w:rFonts w:ascii="Verdana" w:hAnsi="Verdana"/>
                <w:b/>
                <w:sz w:val="20"/>
              </w:rPr>
            </w:pPr>
            <w:r w:rsidRPr="00BE1F31">
              <w:rPr>
                <w:rFonts w:ascii="Verdana" w:hAnsi="Verdana"/>
                <w:b/>
                <w:sz w:val="20"/>
              </w:rPr>
              <w:t>20 de septiembre de 2019</w:t>
            </w:r>
          </w:p>
        </w:tc>
      </w:tr>
      <w:tr w:rsidR="000A5B9A" w:rsidRPr="00BE1F31" w14:paraId="5E606AAF" w14:textId="77777777" w:rsidTr="00E50930">
        <w:trPr>
          <w:cantSplit/>
        </w:trPr>
        <w:tc>
          <w:tcPr>
            <w:tcW w:w="6804" w:type="dxa"/>
          </w:tcPr>
          <w:p w14:paraId="74003DD3" w14:textId="77777777" w:rsidR="000A5B9A" w:rsidRPr="00BE1F31" w:rsidRDefault="000A5B9A" w:rsidP="0045384C">
            <w:pPr>
              <w:spacing w:before="0" w:after="48"/>
              <w:rPr>
                <w:rFonts w:ascii="Verdana" w:hAnsi="Verdana"/>
                <w:b/>
                <w:smallCaps/>
                <w:sz w:val="20"/>
              </w:rPr>
            </w:pPr>
          </w:p>
        </w:tc>
        <w:tc>
          <w:tcPr>
            <w:tcW w:w="3227" w:type="dxa"/>
          </w:tcPr>
          <w:p w14:paraId="4850C9F4" w14:textId="77777777" w:rsidR="000A5B9A" w:rsidRPr="00BE1F31" w:rsidRDefault="000A5B9A" w:rsidP="0045384C">
            <w:pPr>
              <w:spacing w:before="0"/>
              <w:rPr>
                <w:rFonts w:ascii="Verdana" w:hAnsi="Verdana"/>
                <w:b/>
                <w:sz w:val="20"/>
              </w:rPr>
            </w:pPr>
            <w:r w:rsidRPr="00BE1F31">
              <w:rPr>
                <w:rFonts w:ascii="Verdana" w:hAnsi="Verdana"/>
                <w:b/>
                <w:sz w:val="20"/>
              </w:rPr>
              <w:t>Original: inglés</w:t>
            </w:r>
          </w:p>
        </w:tc>
      </w:tr>
      <w:tr w:rsidR="000A5B9A" w:rsidRPr="00BE1F31" w14:paraId="24046A73" w14:textId="77777777" w:rsidTr="006744FC">
        <w:trPr>
          <w:cantSplit/>
        </w:trPr>
        <w:tc>
          <w:tcPr>
            <w:tcW w:w="10031" w:type="dxa"/>
            <w:gridSpan w:val="2"/>
          </w:tcPr>
          <w:p w14:paraId="33E99BA2" w14:textId="77777777" w:rsidR="000A5B9A" w:rsidRPr="00BE1F31" w:rsidRDefault="000A5B9A" w:rsidP="0045384C">
            <w:pPr>
              <w:spacing w:before="0"/>
              <w:rPr>
                <w:rFonts w:ascii="Verdana" w:hAnsi="Verdana"/>
                <w:b/>
                <w:sz w:val="20"/>
              </w:rPr>
            </w:pPr>
          </w:p>
        </w:tc>
      </w:tr>
      <w:tr w:rsidR="000A5B9A" w:rsidRPr="00BE1F31" w14:paraId="0693F781" w14:textId="77777777" w:rsidTr="0050008E">
        <w:trPr>
          <w:cantSplit/>
        </w:trPr>
        <w:tc>
          <w:tcPr>
            <w:tcW w:w="10031" w:type="dxa"/>
            <w:gridSpan w:val="2"/>
          </w:tcPr>
          <w:p w14:paraId="58747406" w14:textId="77777777" w:rsidR="000A5B9A" w:rsidRPr="00BE1F31" w:rsidRDefault="000A5B9A" w:rsidP="000A5B9A">
            <w:pPr>
              <w:pStyle w:val="Source"/>
            </w:pPr>
            <w:bookmarkStart w:id="2" w:name="dsource" w:colFirst="0" w:colLast="0"/>
            <w:r w:rsidRPr="00BE1F31">
              <w:t>Propuestas Comunes de la Telecomunidad Asia-Pacífico</w:t>
            </w:r>
          </w:p>
        </w:tc>
      </w:tr>
      <w:tr w:rsidR="000A5B9A" w:rsidRPr="00BE1F31" w14:paraId="6788D15F" w14:textId="77777777" w:rsidTr="0050008E">
        <w:trPr>
          <w:cantSplit/>
        </w:trPr>
        <w:tc>
          <w:tcPr>
            <w:tcW w:w="10031" w:type="dxa"/>
            <w:gridSpan w:val="2"/>
          </w:tcPr>
          <w:p w14:paraId="758AC3DC" w14:textId="26C4F151" w:rsidR="000A5B9A" w:rsidRPr="00BE1F31" w:rsidRDefault="00E50930" w:rsidP="000A5B9A">
            <w:pPr>
              <w:pStyle w:val="Title1"/>
            </w:pPr>
            <w:bookmarkStart w:id="3" w:name="dtitle1" w:colFirst="0" w:colLast="0"/>
            <w:bookmarkEnd w:id="2"/>
            <w:r w:rsidRPr="00BE1F31">
              <w:t>PROPUESTAS PARA LOS TRABAJOS DE LA CONFERENCIA</w:t>
            </w:r>
          </w:p>
        </w:tc>
      </w:tr>
      <w:tr w:rsidR="000A5B9A" w:rsidRPr="00BE1F31" w14:paraId="364D1597" w14:textId="77777777" w:rsidTr="0050008E">
        <w:trPr>
          <w:cantSplit/>
        </w:trPr>
        <w:tc>
          <w:tcPr>
            <w:tcW w:w="10031" w:type="dxa"/>
            <w:gridSpan w:val="2"/>
          </w:tcPr>
          <w:p w14:paraId="06D50C7F" w14:textId="77777777" w:rsidR="000A5B9A" w:rsidRPr="00BE1F31" w:rsidRDefault="000A5B9A" w:rsidP="000A5B9A">
            <w:pPr>
              <w:pStyle w:val="Title2"/>
            </w:pPr>
            <w:bookmarkStart w:id="4" w:name="dtitle2" w:colFirst="0" w:colLast="0"/>
            <w:bookmarkEnd w:id="3"/>
          </w:p>
        </w:tc>
      </w:tr>
      <w:tr w:rsidR="000A5B9A" w:rsidRPr="00BE1F31" w14:paraId="7080D518" w14:textId="77777777" w:rsidTr="0050008E">
        <w:trPr>
          <w:cantSplit/>
        </w:trPr>
        <w:tc>
          <w:tcPr>
            <w:tcW w:w="10031" w:type="dxa"/>
            <w:gridSpan w:val="2"/>
          </w:tcPr>
          <w:p w14:paraId="46421733" w14:textId="77777777" w:rsidR="000A5B9A" w:rsidRPr="00BE1F31" w:rsidRDefault="000A5B9A" w:rsidP="000A5B9A">
            <w:pPr>
              <w:pStyle w:val="Agendaitem"/>
            </w:pPr>
            <w:bookmarkStart w:id="5" w:name="dtitle3" w:colFirst="0" w:colLast="0"/>
            <w:bookmarkEnd w:id="4"/>
            <w:r w:rsidRPr="00BE1F31">
              <w:t>Punto 7(A) del orden del día</w:t>
            </w:r>
          </w:p>
        </w:tc>
      </w:tr>
    </w:tbl>
    <w:bookmarkEnd w:id="5"/>
    <w:p w14:paraId="197BE432" w14:textId="6093E9CE" w:rsidR="001C0E40" w:rsidRPr="00BE1F31" w:rsidRDefault="008F2AF4" w:rsidP="003A37B0">
      <w:r w:rsidRPr="00BE1F31">
        <w:t>7</w:t>
      </w:r>
      <w:r w:rsidRPr="00BE1F31">
        <w:tab/>
        <w:t xml:space="preserve">considerar posibles modificaciones y otras opciones para responder a lo dispuesto en la Resolución 86 (Rev. Marrakech, 2002) de la Conferencia de Plenipotenciarios: </w:t>
      </w:r>
      <w:r w:rsidR="00E50930" w:rsidRPr="00BE1F31">
        <w:t>«</w:t>
      </w:r>
      <w:r w:rsidRPr="00BE1F31">
        <w:t>Procedimientos de publicación anticipada, de coordinación, de notificación y de inscripción de asignaciones de frecuencias de redes de satélite</w:t>
      </w:r>
      <w:r w:rsidR="00E50930" w:rsidRPr="00BE1F31">
        <w:t>»</w:t>
      </w:r>
      <w:r w:rsidRPr="00BE1F31">
        <w:t xml:space="preserve"> de conformidad con la Resolución </w:t>
      </w:r>
      <w:r w:rsidRPr="00BE1F31">
        <w:rPr>
          <w:b/>
          <w:bCs/>
        </w:rPr>
        <w:t>86 (Rev.CMR-07</w:t>
      </w:r>
      <w:r w:rsidRPr="00BE1F31">
        <w:rPr>
          <w:b/>
        </w:rPr>
        <w:t xml:space="preserve">) </w:t>
      </w:r>
      <w:r w:rsidRPr="00BE1F31">
        <w:rPr>
          <w:bCs/>
        </w:rPr>
        <w:t>para facilitar el uso racional, eficiente y económico de las radiofrecuencias y órbitas asociadas, incluida la órbita de los satélites geoestacionarios</w:t>
      </w:r>
      <w:r w:rsidRPr="00BE1F31">
        <w:t>;</w:t>
      </w:r>
    </w:p>
    <w:p w14:paraId="40EE09FC" w14:textId="73BA3F7A" w:rsidR="001C0E40" w:rsidRPr="00BE1F31" w:rsidRDefault="008F2AF4" w:rsidP="002252D1">
      <w:r w:rsidRPr="00BE1F31">
        <w:t>7(A)</w:t>
      </w:r>
      <w:r w:rsidRPr="00BE1F31">
        <w:tab/>
        <w:t>Tema A – Puesta en servicio de asignaciones de frecuencias a todos los sistemas no OSG, y examen de un enfoque basado en objetivos intermedios para el despliegue de los sistemas no OSG en ciertas bandas de frecuencias y servicios</w:t>
      </w:r>
      <w:r w:rsidR="007F3CCC">
        <w:t>;</w:t>
      </w:r>
      <w:bookmarkStart w:id="6" w:name="_GoBack"/>
      <w:bookmarkEnd w:id="6"/>
    </w:p>
    <w:p w14:paraId="0EABDBF0" w14:textId="77777777" w:rsidR="00E50930" w:rsidRPr="00BE1F31" w:rsidRDefault="00E50930" w:rsidP="00E50930">
      <w:pPr>
        <w:pStyle w:val="Headingb"/>
      </w:pPr>
      <w:r w:rsidRPr="00BE1F31">
        <w:t>Introducción</w:t>
      </w:r>
    </w:p>
    <w:p w14:paraId="722136BD" w14:textId="77777777" w:rsidR="00E50930" w:rsidRPr="00BE1F31" w:rsidRDefault="00E50930" w:rsidP="00E50930">
      <w:r w:rsidRPr="00BE1F31">
        <w:t>Los Miembros de la APT tienen la siguiente opinión sobre los aspectos fundamentales de este tema:</w:t>
      </w:r>
    </w:p>
    <w:p w14:paraId="7F3DE578" w14:textId="77777777" w:rsidR="00E50930" w:rsidRPr="00BE1F31" w:rsidRDefault="00E50930" w:rsidP="00E50930">
      <w:pPr>
        <w:pStyle w:val="Headingb"/>
      </w:pPr>
      <w:r w:rsidRPr="00BE1F31">
        <w:t>Definición de puesta en servicio (BIU)</w:t>
      </w:r>
    </w:p>
    <w:p w14:paraId="049933B2" w14:textId="77777777" w:rsidR="00E50930" w:rsidRPr="00BE1F31" w:rsidRDefault="00E50930" w:rsidP="00E50930">
      <w:r w:rsidRPr="00BE1F31">
        <w:t>Los Miembros de la APT opinan que la definición de la BIU de asignaciones de frecuencia a sistemas no OSG debe estar en consonancia con la práctica actual que figura en las Reglas de Procedimiento, es decir, mantenerlas en funcionamiento durante un período continuo de 90 días para las asignaciones de frecuencia del SFS/SMS/SRS, y ningún período fijo para las asignaciones de frecuencia que no sean el SFS/SMS/SRS.</w:t>
      </w:r>
    </w:p>
    <w:p w14:paraId="0701EEC1" w14:textId="4CA395B1" w:rsidR="00363A65" w:rsidRPr="00BE1F31" w:rsidRDefault="00E50930" w:rsidP="00E50930">
      <w:r w:rsidRPr="00BE1F31">
        <w:t>Con respecto a la disposición reglamentaria relativa a la BIU, a saber el número</w:t>
      </w:r>
      <w:r w:rsidRPr="00BE1F31">
        <w:rPr>
          <w:b/>
          <w:bCs/>
        </w:rPr>
        <w:t xml:space="preserve"> 11.44C</w:t>
      </w:r>
      <w:r w:rsidRPr="00BE1F31">
        <w:t>, los planes orbitales notificados, los Miembros de la APT podrían apoyar la Opción 2, tal y como se describe en el Informe de la RPC 19-2.</w:t>
      </w:r>
    </w:p>
    <w:p w14:paraId="70310C4C" w14:textId="3F049B30" w:rsidR="008750A8" w:rsidRPr="00BE1F31" w:rsidRDefault="008750A8" w:rsidP="008750A8">
      <w:pPr>
        <w:tabs>
          <w:tab w:val="clear" w:pos="1134"/>
          <w:tab w:val="clear" w:pos="1871"/>
          <w:tab w:val="clear" w:pos="2268"/>
        </w:tabs>
        <w:overflowPunct/>
        <w:autoSpaceDE/>
        <w:autoSpaceDN/>
        <w:adjustRightInd/>
        <w:spacing w:before="0"/>
        <w:textAlignment w:val="auto"/>
      </w:pPr>
      <w:r w:rsidRPr="00BE1F31">
        <w:br w:type="page"/>
      </w:r>
    </w:p>
    <w:p w14:paraId="730530D4" w14:textId="77777777" w:rsidR="00E50930" w:rsidRPr="00BE1F31" w:rsidRDefault="00E50930" w:rsidP="00E50930">
      <w:pPr>
        <w:pStyle w:val="Headingb"/>
      </w:pPr>
      <w:r w:rsidRPr="00BE1F31">
        <w:lastRenderedPageBreak/>
        <w:t>Enfoque por etapas</w:t>
      </w:r>
    </w:p>
    <w:p w14:paraId="292F3C7D" w14:textId="77777777" w:rsidR="00E50930" w:rsidRPr="00BE1F31" w:rsidRDefault="00E50930" w:rsidP="00E50930">
      <w:pPr>
        <w:jc w:val="both"/>
        <w:rPr>
          <w:rFonts w:eastAsia="MS Mincho"/>
          <w:lang w:eastAsia="ja-JP"/>
        </w:rPr>
      </w:pPr>
    </w:p>
    <w:tbl>
      <w:tblPr>
        <w:tblStyle w:val="ECCTable-redheader"/>
        <w:tblW w:w="78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3686"/>
        <w:gridCol w:w="2470"/>
      </w:tblGrid>
      <w:tr w:rsidR="00E50930" w:rsidRPr="00BE1F31" w14:paraId="7BF4B3C5" w14:textId="77777777" w:rsidTr="00072579">
        <w:trPr>
          <w:cnfStyle w:val="100000000000" w:firstRow="1" w:lastRow="0" w:firstColumn="0" w:lastColumn="0" w:oddVBand="0" w:evenVBand="0" w:oddHBand="0" w:evenHBand="0" w:firstRowFirstColumn="0" w:firstRowLastColumn="0" w:lastRowFirstColumn="0" w:lastRowLastColumn="0"/>
        </w:trPr>
        <w:tc>
          <w:tcPr>
            <w:tcW w:w="166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pct5" w:color="auto" w:fill="auto"/>
          </w:tcPr>
          <w:p w14:paraId="14304A79" w14:textId="77777777" w:rsidR="00E50930" w:rsidRPr="00BE1F31" w:rsidRDefault="00E50930" w:rsidP="00072579">
            <w:pPr>
              <w:pStyle w:val="ECCTableHeaderwhitefont"/>
              <w:rPr>
                <w:rFonts w:ascii="Times New Roman" w:hAnsi="Times New Roman"/>
                <w:color w:val="auto"/>
                <w:lang w:val="es-ES_tradnl"/>
              </w:rPr>
            </w:pPr>
            <w:r w:rsidRPr="00BE1F31">
              <w:rPr>
                <w:rFonts w:ascii="Times New Roman" w:hAnsi="Times New Roman"/>
                <w:color w:val="auto"/>
                <w:lang w:val="es-ES_tradnl"/>
              </w:rPr>
              <w:t>Etapa</w:t>
            </w:r>
          </w:p>
        </w:tc>
        <w:tc>
          <w:tcPr>
            <w:tcW w:w="368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pct5" w:color="auto" w:fill="auto"/>
          </w:tcPr>
          <w:p w14:paraId="1BA5CD3D" w14:textId="77777777" w:rsidR="00E50930" w:rsidRPr="00BE1F31" w:rsidRDefault="00E50930" w:rsidP="00072579">
            <w:pPr>
              <w:pStyle w:val="ECCTableHeaderwhitefont"/>
              <w:rPr>
                <w:rFonts w:ascii="Times New Roman" w:hAnsi="Times New Roman"/>
                <w:color w:val="auto"/>
                <w:lang w:val="es-ES_tradnl"/>
              </w:rPr>
            </w:pPr>
            <w:r w:rsidRPr="00BE1F31">
              <w:rPr>
                <w:rFonts w:ascii="Times New Roman" w:hAnsi="Times New Roman"/>
                <w:color w:val="auto"/>
                <w:lang w:val="es-ES_tradnl"/>
              </w:rPr>
              <w:t>Plazo de cada etapa</w:t>
            </w:r>
          </w:p>
          <w:p w14:paraId="42BF695D" w14:textId="77777777" w:rsidR="00E50930" w:rsidRPr="00BE1F31" w:rsidRDefault="00E50930" w:rsidP="00072579">
            <w:pPr>
              <w:pStyle w:val="ECCTableHeaderwhitefont"/>
              <w:rPr>
                <w:rFonts w:ascii="Times New Roman" w:hAnsi="Times New Roman"/>
                <w:color w:val="auto"/>
                <w:lang w:val="es-ES_tradnl"/>
              </w:rPr>
            </w:pPr>
            <w:r w:rsidRPr="00BE1F31">
              <w:rPr>
                <w:rFonts w:ascii="Times New Roman" w:hAnsi="Times New Roman"/>
                <w:color w:val="auto"/>
                <w:lang w:val="es-ES_tradnl"/>
              </w:rPr>
              <w:t>(Número de años después de expirar el plazo reglamentario de siete años o después del 1 de enero de 2021, la que sea más reciente)</w:t>
            </w:r>
          </w:p>
        </w:tc>
        <w:tc>
          <w:tcPr>
            <w:tcW w:w="24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pct5" w:color="auto" w:fill="auto"/>
          </w:tcPr>
          <w:p w14:paraId="4439E436" w14:textId="77777777" w:rsidR="00E50930" w:rsidRPr="00BE1F31" w:rsidRDefault="00E50930" w:rsidP="00072579">
            <w:pPr>
              <w:pStyle w:val="ECCTableHeaderwhitefont"/>
              <w:rPr>
                <w:rFonts w:ascii="Times New Roman" w:hAnsi="Times New Roman"/>
                <w:color w:val="auto"/>
                <w:lang w:val="es-ES_tradnl"/>
              </w:rPr>
            </w:pPr>
            <w:r w:rsidRPr="00BE1F31">
              <w:rPr>
                <w:rFonts w:ascii="Times New Roman" w:hAnsi="Times New Roman"/>
                <w:color w:val="auto"/>
                <w:lang w:val="es-ES_tradnl"/>
              </w:rPr>
              <w:t xml:space="preserve">Mínimo % de satélites desplegados para cumplir el plazo </w:t>
            </w:r>
          </w:p>
        </w:tc>
      </w:tr>
      <w:tr w:rsidR="00E50930" w:rsidRPr="00BE1F31" w14:paraId="7004BEC9" w14:textId="77777777" w:rsidTr="00072579">
        <w:trPr>
          <w:trHeight w:val="75"/>
        </w:trPr>
        <w:tc>
          <w:tcPr>
            <w:tcW w:w="1669" w:type="dxa"/>
          </w:tcPr>
          <w:p w14:paraId="75A189B2" w14:textId="20D5956A" w:rsidR="00E50930" w:rsidRPr="00BE1F31" w:rsidRDefault="00E50930" w:rsidP="00072579">
            <w:pPr>
              <w:pStyle w:val="ECCTabletext"/>
              <w:rPr>
                <w:rFonts w:ascii="Times New Roman" w:hAnsi="Times New Roman"/>
                <w:lang w:val="es-ES_tradnl"/>
              </w:rPr>
            </w:pPr>
            <w:r w:rsidRPr="00BE1F31">
              <w:rPr>
                <w:rFonts w:ascii="Times New Roman" w:hAnsi="Times New Roman"/>
                <w:lang w:val="es-ES_tradnl"/>
              </w:rPr>
              <w:t>1</w:t>
            </w:r>
            <w:r w:rsidR="007F3CCC">
              <w:rPr>
                <w:rFonts w:ascii="Times New Roman" w:hAnsi="Times New Roman"/>
                <w:lang w:val="es-ES_tradnl"/>
              </w:rPr>
              <w:t>ª</w:t>
            </w:r>
          </w:p>
        </w:tc>
        <w:tc>
          <w:tcPr>
            <w:tcW w:w="3686" w:type="dxa"/>
          </w:tcPr>
          <w:p w14:paraId="512C58B1" w14:textId="77777777" w:rsidR="00E50930" w:rsidRPr="00BE1F31" w:rsidRDefault="00E50930" w:rsidP="00072579">
            <w:pPr>
              <w:pStyle w:val="ECCTabletext"/>
              <w:rPr>
                <w:rFonts w:ascii="Times New Roman" w:hAnsi="Times New Roman"/>
                <w:lang w:val="es-ES_tradnl"/>
              </w:rPr>
            </w:pPr>
            <w:r w:rsidRPr="00BE1F31">
              <w:rPr>
                <w:rFonts w:ascii="Times New Roman" w:hAnsi="Times New Roman"/>
                <w:lang w:val="es-ES_tradnl"/>
              </w:rPr>
              <w:t>2 a 3 años</w:t>
            </w:r>
          </w:p>
        </w:tc>
        <w:tc>
          <w:tcPr>
            <w:tcW w:w="2470" w:type="dxa"/>
          </w:tcPr>
          <w:p w14:paraId="2D534EDA" w14:textId="77777777" w:rsidR="00E50930" w:rsidRPr="00BE1F31" w:rsidRDefault="00E50930" w:rsidP="00072579">
            <w:pPr>
              <w:pStyle w:val="ECCTabletext"/>
              <w:rPr>
                <w:rFonts w:ascii="Times New Roman" w:hAnsi="Times New Roman"/>
                <w:lang w:val="es-ES_tradnl"/>
              </w:rPr>
            </w:pPr>
            <w:r w:rsidRPr="00BE1F31">
              <w:rPr>
                <w:rFonts w:ascii="Times New Roman" w:hAnsi="Times New Roman"/>
                <w:lang w:val="es-ES_tradnl"/>
              </w:rPr>
              <w:t>10%</w:t>
            </w:r>
          </w:p>
        </w:tc>
      </w:tr>
      <w:tr w:rsidR="00E50930" w:rsidRPr="00BE1F31" w14:paraId="71750B53" w14:textId="77777777" w:rsidTr="00072579">
        <w:trPr>
          <w:trHeight w:val="75"/>
        </w:trPr>
        <w:tc>
          <w:tcPr>
            <w:tcW w:w="1669" w:type="dxa"/>
          </w:tcPr>
          <w:p w14:paraId="01180AB4" w14:textId="596A9969" w:rsidR="00E50930" w:rsidRPr="00BE1F31" w:rsidRDefault="00E50930" w:rsidP="00072579">
            <w:pPr>
              <w:pStyle w:val="ECCTabletext"/>
              <w:rPr>
                <w:rFonts w:ascii="Times New Roman" w:hAnsi="Times New Roman"/>
                <w:lang w:val="es-ES_tradnl"/>
              </w:rPr>
            </w:pPr>
            <w:r w:rsidRPr="00BE1F31">
              <w:rPr>
                <w:rFonts w:ascii="Times New Roman" w:hAnsi="Times New Roman"/>
                <w:lang w:val="es-ES_tradnl"/>
              </w:rPr>
              <w:t>2</w:t>
            </w:r>
            <w:r w:rsidR="007F3CCC">
              <w:rPr>
                <w:rFonts w:ascii="Times New Roman" w:hAnsi="Times New Roman"/>
                <w:lang w:val="es-ES_tradnl"/>
              </w:rPr>
              <w:t>ª</w:t>
            </w:r>
          </w:p>
        </w:tc>
        <w:tc>
          <w:tcPr>
            <w:tcW w:w="3686" w:type="dxa"/>
          </w:tcPr>
          <w:p w14:paraId="125F3B3D" w14:textId="77777777" w:rsidR="00E50930" w:rsidRPr="00BE1F31" w:rsidRDefault="00E50930" w:rsidP="00072579">
            <w:pPr>
              <w:pStyle w:val="ECCTabletext"/>
              <w:rPr>
                <w:rFonts w:ascii="Times New Roman" w:hAnsi="Times New Roman"/>
                <w:lang w:val="es-ES_tradnl"/>
              </w:rPr>
            </w:pPr>
            <w:r w:rsidRPr="00BE1F31">
              <w:rPr>
                <w:rFonts w:ascii="Times New Roman" w:hAnsi="Times New Roman"/>
                <w:lang w:val="es-ES_tradnl"/>
              </w:rPr>
              <w:t>4 a 5 años</w:t>
            </w:r>
          </w:p>
        </w:tc>
        <w:tc>
          <w:tcPr>
            <w:tcW w:w="2470" w:type="dxa"/>
          </w:tcPr>
          <w:p w14:paraId="6A704E34" w14:textId="77777777" w:rsidR="00E50930" w:rsidRPr="00BE1F31" w:rsidRDefault="00E50930" w:rsidP="00072579">
            <w:pPr>
              <w:pStyle w:val="ECCTabletext"/>
              <w:rPr>
                <w:rFonts w:ascii="Times New Roman" w:hAnsi="Times New Roman"/>
                <w:lang w:val="es-ES_tradnl"/>
              </w:rPr>
            </w:pPr>
            <w:r w:rsidRPr="00BE1F31">
              <w:rPr>
                <w:rFonts w:ascii="Times New Roman" w:hAnsi="Times New Roman"/>
                <w:lang w:val="es-ES_tradnl"/>
              </w:rPr>
              <w:t>30-50%</w:t>
            </w:r>
          </w:p>
        </w:tc>
      </w:tr>
      <w:tr w:rsidR="00E50930" w:rsidRPr="00BE1F31" w14:paraId="68F3927B" w14:textId="77777777" w:rsidTr="00072579">
        <w:trPr>
          <w:trHeight w:val="75"/>
        </w:trPr>
        <w:tc>
          <w:tcPr>
            <w:tcW w:w="1669" w:type="dxa"/>
          </w:tcPr>
          <w:p w14:paraId="32405D00" w14:textId="412EB929" w:rsidR="00E50930" w:rsidRPr="00BE1F31" w:rsidRDefault="00E50930" w:rsidP="00072579">
            <w:pPr>
              <w:pStyle w:val="ECCTabletext"/>
              <w:rPr>
                <w:rFonts w:ascii="Times New Roman" w:hAnsi="Times New Roman"/>
                <w:lang w:val="es-ES_tradnl"/>
              </w:rPr>
            </w:pPr>
            <w:r w:rsidRPr="00BE1F31">
              <w:rPr>
                <w:rFonts w:ascii="Times New Roman" w:hAnsi="Times New Roman"/>
                <w:lang w:val="es-ES_tradnl"/>
              </w:rPr>
              <w:t>3</w:t>
            </w:r>
            <w:r w:rsidR="007F3CCC">
              <w:rPr>
                <w:rFonts w:ascii="Times New Roman" w:hAnsi="Times New Roman"/>
                <w:lang w:val="es-ES_tradnl"/>
              </w:rPr>
              <w:t>ª</w:t>
            </w:r>
          </w:p>
        </w:tc>
        <w:tc>
          <w:tcPr>
            <w:tcW w:w="3686" w:type="dxa"/>
          </w:tcPr>
          <w:p w14:paraId="6A3C8790" w14:textId="77777777" w:rsidR="00E50930" w:rsidRPr="00BE1F31" w:rsidRDefault="00E50930" w:rsidP="00072579">
            <w:pPr>
              <w:pStyle w:val="ECCTabletext"/>
              <w:rPr>
                <w:rFonts w:ascii="Times New Roman" w:hAnsi="Times New Roman"/>
                <w:lang w:val="es-ES_tradnl"/>
              </w:rPr>
            </w:pPr>
            <w:r w:rsidRPr="00BE1F31">
              <w:rPr>
                <w:rFonts w:ascii="Times New Roman" w:hAnsi="Times New Roman"/>
                <w:lang w:val="es-ES_tradnl"/>
              </w:rPr>
              <w:t>7 años</w:t>
            </w:r>
          </w:p>
        </w:tc>
        <w:tc>
          <w:tcPr>
            <w:tcW w:w="2470" w:type="dxa"/>
          </w:tcPr>
          <w:p w14:paraId="2F2992DA" w14:textId="38822460" w:rsidR="00E50930" w:rsidRPr="00BE1F31" w:rsidRDefault="00E50930" w:rsidP="00072579">
            <w:pPr>
              <w:pStyle w:val="ECCTabletext"/>
              <w:rPr>
                <w:rFonts w:ascii="Times New Roman" w:hAnsi="Times New Roman"/>
                <w:lang w:val="es-ES_tradnl"/>
              </w:rPr>
            </w:pPr>
            <w:r w:rsidRPr="00BE1F31">
              <w:rPr>
                <w:rFonts w:ascii="Times New Roman" w:hAnsi="Times New Roman"/>
                <w:lang w:val="es-ES_tradnl"/>
              </w:rPr>
              <w:t>90-95%/100%</w:t>
            </w:r>
          </w:p>
        </w:tc>
      </w:tr>
    </w:tbl>
    <w:p w14:paraId="430786E9" w14:textId="77777777" w:rsidR="00E50930" w:rsidRPr="00BE1F31" w:rsidRDefault="00E50930" w:rsidP="00E50930">
      <w:pPr>
        <w:rPr>
          <w:i/>
          <w:iCs/>
        </w:rPr>
      </w:pPr>
      <w:r w:rsidRPr="00BE1F31">
        <w:rPr>
          <w:i/>
          <w:iCs/>
        </w:rPr>
        <w:t>Nota:</w:t>
      </w:r>
    </w:p>
    <w:p w14:paraId="12CF781B" w14:textId="77777777" w:rsidR="00E50930" w:rsidRPr="00BE1F31" w:rsidRDefault="00E50930" w:rsidP="00E50930">
      <w:r w:rsidRPr="00BE1F31">
        <w:t>La Conferencia de la CMR-19, al considerar los plazos de cada etapa y los correspondientes factores de despliegue indicados en el cuadro anterior, podría considerar la posibilidad de conceder cierto grado de flexibilidad a los operadores de satélites no OSG de modo que si no cumplieron el criterio de porcentaje en la 1ª ó 2ª etapa, deberán cumplirlo en el plazo siguiente.</w:t>
      </w:r>
    </w:p>
    <w:p w14:paraId="3C3F6705" w14:textId="77777777" w:rsidR="00E50930" w:rsidRPr="00BE1F31" w:rsidRDefault="00E50930" w:rsidP="00995311">
      <w:pPr>
        <w:pStyle w:val="Headingb"/>
      </w:pPr>
      <w:r w:rsidRPr="00BE1F31">
        <w:t>Medidas transitorias</w:t>
      </w:r>
    </w:p>
    <w:p w14:paraId="67600208" w14:textId="77777777" w:rsidR="00E50930" w:rsidRPr="00BE1F31" w:rsidRDefault="00E50930" w:rsidP="00E50930">
      <w:r w:rsidRPr="00BE1F31">
        <w:t>Los miembros de la APT podrían apoyar, en este momento, la Opción 1, a saber que la fecha de inicio del proceso por etapas sea el 1 de enero de 2021.</w:t>
      </w:r>
    </w:p>
    <w:p w14:paraId="693AD73A" w14:textId="77777777" w:rsidR="00E50930" w:rsidRPr="00BE1F31" w:rsidRDefault="00E50930" w:rsidP="00E50930">
      <w:pPr>
        <w:pStyle w:val="Headingb"/>
      </w:pPr>
      <w:r w:rsidRPr="00BE1F31">
        <w:t>Bandas de frecuencias y servicios para la aplicación del enfoque por etapas</w:t>
      </w:r>
    </w:p>
    <w:p w14:paraId="115FC29C" w14:textId="77777777" w:rsidR="00E50930" w:rsidRPr="00BE1F31" w:rsidRDefault="00E50930" w:rsidP="00E50930">
      <w:r w:rsidRPr="00BE1F31">
        <w:t>Los miembros de la APT son partidarios de la aplicación del enfoque por etapas a los sistemas no OSG que funcionan en el SFS, el SRS y el SMS, pero no a los que funcionan en el SRNS.</w:t>
      </w:r>
    </w:p>
    <w:p w14:paraId="21B99BC9" w14:textId="18C6D896" w:rsidR="00E50930" w:rsidRPr="00BE1F31" w:rsidRDefault="00E50930" w:rsidP="00E50930">
      <w:pPr>
        <w:rPr>
          <w:lang w:eastAsia="ja-JP"/>
        </w:rPr>
      </w:pPr>
      <w:r w:rsidRPr="00BE1F31">
        <w:t>Los miembros de la APT no se oponen, en este momento, a la aplicación de este a las siguientes bandas de frecuencias del SMS sobre las que no se llegó a un consenso y que se enumeran en el Informe de la RPC: 137-137,025 MHz, 137,025-137,175 MHz, 137,175-137,825 MHz, 137,825</w:t>
      </w:r>
      <w:r w:rsidR="00995311" w:rsidRPr="00BE1F31">
        <w:noBreakHyphen/>
      </w:r>
      <w:r w:rsidRPr="00BE1F31">
        <w:t>138 MHz, 148-149,9 MHz, 149,9-150,05 MHz (esta banda 149,9-150,05 MHz aparece clasificada por error en el Informe de la RPC como 137-138 MHz), 399,9-400,05 MHz y 400,15</w:t>
      </w:r>
      <w:r w:rsidR="00FC3ECB" w:rsidRPr="00BE1F31">
        <w:noBreakHyphen/>
      </w:r>
      <w:r w:rsidRPr="00BE1F31">
        <w:t>401 MHz.</w:t>
      </w:r>
    </w:p>
    <w:p w14:paraId="689A41F0" w14:textId="1BA8F0F7" w:rsidR="00E50930" w:rsidRPr="00BE1F31" w:rsidRDefault="00E50930" w:rsidP="00FC3ECB">
      <w:pPr>
        <w:pStyle w:val="Headingb"/>
        <w:rPr>
          <w:lang w:eastAsia="ja-JP"/>
        </w:rPr>
      </w:pPr>
      <w:r w:rsidRPr="00BE1F31">
        <w:rPr>
          <w:lang w:eastAsia="ja-JP"/>
        </w:rPr>
        <w:t xml:space="preserve">Enfoque por etapas </w:t>
      </w:r>
      <w:r w:rsidR="00FC3ECB" w:rsidRPr="00BE1F31">
        <w:rPr>
          <w:lang w:eastAsia="ja-JP"/>
        </w:rPr>
        <w:t>–</w:t>
      </w:r>
      <w:r w:rsidRPr="00BE1F31">
        <w:rPr>
          <w:lang w:eastAsia="ja-JP"/>
        </w:rPr>
        <w:t xml:space="preserve"> consecuencias de no presentar la información exigida en cada etapa (</w:t>
      </w:r>
      <w:r w:rsidRPr="00BE1F31">
        <w:rPr>
          <w:i/>
          <w:iCs/>
          <w:lang w:eastAsia="ja-JP"/>
        </w:rPr>
        <w:t>resuelve</w:t>
      </w:r>
      <w:r w:rsidRPr="00BE1F31">
        <w:rPr>
          <w:lang w:eastAsia="ja-JP"/>
        </w:rPr>
        <w:t xml:space="preserve"> 11 a 11ter)</w:t>
      </w:r>
    </w:p>
    <w:p w14:paraId="00E07ED1" w14:textId="77777777" w:rsidR="00E50930" w:rsidRPr="00BE1F31" w:rsidRDefault="00E50930" w:rsidP="00E50930">
      <w:pPr>
        <w:rPr>
          <w:lang w:eastAsia="ja-JP"/>
        </w:rPr>
      </w:pPr>
      <w:r w:rsidRPr="00BE1F31">
        <w:rPr>
          <w:lang w:eastAsia="ja-JP"/>
        </w:rPr>
        <w:t>Los miembros de la APT manifestaron su preferencia por la Opción 1.</w:t>
      </w:r>
    </w:p>
    <w:p w14:paraId="3F6DB73F" w14:textId="5D84950A" w:rsidR="00E50930" w:rsidRPr="00BE1F31" w:rsidRDefault="00E50930" w:rsidP="00FC3ECB">
      <w:pPr>
        <w:pStyle w:val="Headingb"/>
        <w:rPr>
          <w:lang w:eastAsia="ja-JP"/>
        </w:rPr>
      </w:pPr>
      <w:r w:rsidRPr="00BE1F31">
        <w:rPr>
          <w:lang w:eastAsia="ja-JP"/>
        </w:rPr>
        <w:t xml:space="preserve">Enfoque por etapas </w:t>
      </w:r>
      <w:r w:rsidR="00FC3ECB" w:rsidRPr="00BE1F31">
        <w:rPr>
          <w:lang w:eastAsia="ja-JP"/>
        </w:rPr>
        <w:t>–</w:t>
      </w:r>
      <w:r w:rsidRPr="00BE1F31">
        <w:rPr>
          <w:lang w:eastAsia="ja-JP"/>
        </w:rPr>
        <w:t xml:space="preserve"> reutilización de vehículos espaciales para BIU o cómputo de otros sistemas para cumplir las etapas (</w:t>
      </w:r>
      <w:r w:rsidRPr="00BE1F31">
        <w:rPr>
          <w:i/>
          <w:iCs/>
          <w:lang w:eastAsia="ja-JP"/>
        </w:rPr>
        <w:t>resuelve</w:t>
      </w:r>
      <w:r w:rsidRPr="00BE1F31">
        <w:rPr>
          <w:lang w:eastAsia="ja-JP"/>
        </w:rPr>
        <w:t xml:space="preserve"> 12)</w:t>
      </w:r>
    </w:p>
    <w:p w14:paraId="6F1BC2E1" w14:textId="77777777" w:rsidR="00E50930" w:rsidRPr="00BE1F31" w:rsidRDefault="00E50930" w:rsidP="00E50930">
      <w:pPr>
        <w:rPr>
          <w:lang w:eastAsia="ja-JP"/>
        </w:rPr>
      </w:pPr>
      <w:r w:rsidRPr="00BE1F31">
        <w:rPr>
          <w:lang w:eastAsia="ja-JP"/>
        </w:rPr>
        <w:t>Los miembros de la APT manifestaron cierta preferencia por la Alternativa 2 (NOC), en este momento</w:t>
      </w:r>
    </w:p>
    <w:p w14:paraId="171012A0" w14:textId="77777777" w:rsidR="00E50930" w:rsidRPr="00BE1F31" w:rsidRDefault="00E50930" w:rsidP="00FC3ECB">
      <w:pPr>
        <w:pStyle w:val="Headingb"/>
        <w:rPr>
          <w:lang w:eastAsia="ja-JP"/>
        </w:rPr>
      </w:pPr>
      <w:r w:rsidRPr="00BE1F31">
        <w:rPr>
          <w:lang w:eastAsia="ja-JP"/>
        </w:rPr>
        <w:t xml:space="preserve">Puesta en servicio – tolerancias en los valores de las características orbitales </w:t>
      </w:r>
    </w:p>
    <w:p w14:paraId="5EA7325B" w14:textId="77777777" w:rsidR="00E50930" w:rsidRPr="00BE1F31" w:rsidRDefault="00E50930" w:rsidP="00E50930">
      <w:pPr>
        <w:rPr>
          <w:lang w:eastAsia="ja-JP"/>
        </w:rPr>
      </w:pPr>
      <w:r w:rsidRPr="00BE1F31">
        <w:rPr>
          <w:lang w:eastAsia="ja-JP"/>
        </w:rPr>
        <w:t>Los Miembros de la PT no están a favor de la aplicación de los valores de tolerancia en esta etapa, dado que durante el presente ciclo de estudios, el UIT-R no ha elaborado fundamentos técnicos para determinar el grado de desviación que podrían tolerar las características de los planos orbitales notificados y las características de los planos orbitales asociados a cualquier estación espacial desplegada.</w:t>
      </w:r>
    </w:p>
    <w:p w14:paraId="324DC4F1" w14:textId="363442BB" w:rsidR="008F2AF4" w:rsidRPr="00BE1F31" w:rsidRDefault="008F2AF4" w:rsidP="008F2AF4">
      <w:pPr>
        <w:pStyle w:val="Headingb"/>
        <w:rPr>
          <w:b w:val="0"/>
        </w:rPr>
      </w:pPr>
      <w:r w:rsidRPr="00BE1F31">
        <w:br w:type="page"/>
      </w:r>
    </w:p>
    <w:p w14:paraId="6771CE96" w14:textId="77777777" w:rsidR="00BE1F31" w:rsidRDefault="00BE1F31" w:rsidP="00BE1F31">
      <w:pPr>
        <w:pStyle w:val="Headingb"/>
      </w:pPr>
      <w:r w:rsidRPr="00BE1F31">
        <w:lastRenderedPageBreak/>
        <w:t>Propuestas</w:t>
      </w:r>
    </w:p>
    <w:p w14:paraId="4DDCB124" w14:textId="6CC54841" w:rsidR="002B5219" w:rsidRPr="00BE1F31" w:rsidRDefault="008F2AF4">
      <w:pPr>
        <w:pStyle w:val="Proposal"/>
      </w:pPr>
      <w:r w:rsidRPr="00BE1F31">
        <w:tab/>
        <w:t>ACP/24A19A1/1</w:t>
      </w:r>
    </w:p>
    <w:p w14:paraId="3E2D9967" w14:textId="77777777" w:rsidR="00E50930" w:rsidRPr="00BE1F31" w:rsidRDefault="00E50930" w:rsidP="00E50930">
      <w:r w:rsidRPr="00BE1F31">
        <w:t>Esta cuestión es una de las más complejas y esenciales que la CMR-19 tendrá que abordar y decidir.</w:t>
      </w:r>
    </w:p>
    <w:p w14:paraId="7662E90B" w14:textId="77777777" w:rsidR="00E50930" w:rsidRPr="00BE1F31" w:rsidRDefault="00E50930" w:rsidP="00E50930">
      <w:r w:rsidRPr="00BE1F31">
        <w:t>Debido a la naturaleza provisional de varios puntos asociados con el enfoque por etapas y a la fuerte interrelación de algunos de estos factores entre sí, la decisión sobre un elemento sin el acuerdo de los otros parece inadecuado y contraproducente, por cuanto menoscaba la flexibilidad que debería tener la CMR-19 para realizar una evaluación global de todos los elementos del enfoque por etapas, teniendo en cuenta su interdependencia, y un análisis minucioso de las posibles alternativas.</w:t>
      </w:r>
    </w:p>
    <w:p w14:paraId="4B934906" w14:textId="77777777" w:rsidR="00E50930" w:rsidRPr="00BE1F31" w:rsidRDefault="00E50930" w:rsidP="00E50930">
      <w:r w:rsidRPr="00BE1F31">
        <w:t>Los miembros de la APT decidieron presentar una serie de opciones más probables para permitir que la CMR-19 analice libre y claramente la situación, sin estar sesgada por ninguna opción específica, realice un análisis exhaustivo de la situación y decida en consecuencia, teniendo en cuenta los resultados de la negociación que tendrá lugar entre los usuarios/operadores actuales y los posibles usuarios/operadores inmediatos del enfoque por etapas para sistemas no OSG.</w:t>
      </w:r>
    </w:p>
    <w:p w14:paraId="6C655919" w14:textId="77777777" w:rsidR="00E50930" w:rsidRPr="00BE1F31" w:rsidRDefault="00E50930" w:rsidP="00E50930">
      <w:proofErr w:type="gramStart"/>
      <w:r w:rsidRPr="00BE1F31">
        <w:t>Las serie</w:t>
      </w:r>
      <w:proofErr w:type="gramEnd"/>
      <w:r w:rsidRPr="00BE1F31">
        <w:t xml:space="preserve"> de opciones más probables figura en el siguiente cuadro:</w:t>
      </w:r>
    </w:p>
    <w:p w14:paraId="0717FFD5" w14:textId="77777777" w:rsidR="00E50930" w:rsidRPr="00BE1F31" w:rsidRDefault="00E50930" w:rsidP="00E50930"/>
    <w:tbl>
      <w:tblPr>
        <w:tblStyle w:val="ECCTable-redheader1"/>
        <w:tblW w:w="746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3686"/>
        <w:gridCol w:w="2106"/>
      </w:tblGrid>
      <w:tr w:rsidR="00E50930" w:rsidRPr="00BE1F31" w14:paraId="485EADDE" w14:textId="77777777" w:rsidTr="00072579">
        <w:trPr>
          <w:cnfStyle w:val="100000000000" w:firstRow="1" w:lastRow="0" w:firstColumn="0" w:lastColumn="0" w:oddVBand="0" w:evenVBand="0" w:oddHBand="0" w:evenHBand="0" w:firstRowFirstColumn="0" w:firstRowLastColumn="0" w:lastRowFirstColumn="0" w:lastRowLastColumn="0"/>
        </w:trPr>
        <w:tc>
          <w:tcPr>
            <w:tcW w:w="166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pct5" w:color="auto" w:fill="auto"/>
          </w:tcPr>
          <w:p w14:paraId="3EBE49A6" w14:textId="77777777" w:rsidR="00E50930" w:rsidRPr="00BE1F31" w:rsidRDefault="00E50930" w:rsidP="00072579">
            <w:pPr>
              <w:tabs>
                <w:tab w:val="clear" w:pos="1134"/>
                <w:tab w:val="clear" w:pos="1871"/>
                <w:tab w:val="clear" w:pos="2268"/>
              </w:tabs>
              <w:overflowPunct/>
              <w:autoSpaceDE/>
              <w:autoSpaceDN/>
              <w:adjustRightInd/>
              <w:spacing w:before="240" w:after="60"/>
              <w:textAlignment w:val="auto"/>
              <w:rPr>
                <w:bCs/>
                <w:color w:val="auto"/>
                <w:sz w:val="20"/>
                <w:lang w:eastAsia="de-DE"/>
              </w:rPr>
            </w:pPr>
            <w:r w:rsidRPr="00BE1F31">
              <w:rPr>
                <w:color w:val="auto"/>
                <w:sz w:val="20"/>
              </w:rPr>
              <w:t>Etapa</w:t>
            </w:r>
          </w:p>
        </w:tc>
        <w:tc>
          <w:tcPr>
            <w:tcW w:w="368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pct5" w:color="auto" w:fill="auto"/>
          </w:tcPr>
          <w:p w14:paraId="251C32C8" w14:textId="77777777" w:rsidR="00E50930" w:rsidRPr="00BE1F31" w:rsidRDefault="00E50930" w:rsidP="00072579">
            <w:pPr>
              <w:pStyle w:val="ECCTableHeaderwhitefont"/>
              <w:rPr>
                <w:rFonts w:ascii="Times New Roman" w:hAnsi="Times New Roman"/>
                <w:color w:val="auto"/>
                <w:lang w:val="es-ES_tradnl"/>
              </w:rPr>
            </w:pPr>
            <w:r w:rsidRPr="00BE1F31">
              <w:rPr>
                <w:rFonts w:ascii="Times New Roman" w:hAnsi="Times New Roman"/>
                <w:color w:val="auto"/>
                <w:lang w:val="es-ES_tradnl"/>
              </w:rPr>
              <w:t>Plazo de cada etapa</w:t>
            </w:r>
          </w:p>
          <w:p w14:paraId="45D4F574" w14:textId="77777777" w:rsidR="00E50930" w:rsidRPr="00BE1F31" w:rsidRDefault="00E50930" w:rsidP="00072579">
            <w:pPr>
              <w:tabs>
                <w:tab w:val="clear" w:pos="1134"/>
                <w:tab w:val="clear" w:pos="1871"/>
                <w:tab w:val="clear" w:pos="2268"/>
              </w:tabs>
              <w:overflowPunct/>
              <w:autoSpaceDE/>
              <w:autoSpaceDN/>
              <w:adjustRightInd/>
              <w:spacing w:before="240" w:after="60"/>
              <w:textAlignment w:val="auto"/>
              <w:rPr>
                <w:bCs/>
                <w:color w:val="auto"/>
                <w:sz w:val="20"/>
                <w:lang w:eastAsia="de-DE"/>
              </w:rPr>
            </w:pPr>
            <w:r w:rsidRPr="00BE1F31">
              <w:rPr>
                <w:color w:val="auto"/>
                <w:sz w:val="20"/>
              </w:rPr>
              <w:t>(Número de años después de expirar el plazo reglamentario de siete años o después del 1 de enero de 2021, la que sea más reciente)</w:t>
            </w:r>
          </w:p>
        </w:tc>
        <w:tc>
          <w:tcPr>
            <w:tcW w:w="210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pct5" w:color="auto" w:fill="auto"/>
          </w:tcPr>
          <w:p w14:paraId="15D931F8" w14:textId="77777777" w:rsidR="00E50930" w:rsidRPr="00BE1F31" w:rsidRDefault="00E50930" w:rsidP="00072579">
            <w:pPr>
              <w:tabs>
                <w:tab w:val="clear" w:pos="1134"/>
                <w:tab w:val="clear" w:pos="1871"/>
                <w:tab w:val="clear" w:pos="2268"/>
              </w:tabs>
              <w:overflowPunct/>
              <w:autoSpaceDE/>
              <w:autoSpaceDN/>
              <w:adjustRightInd/>
              <w:spacing w:before="240" w:after="60"/>
              <w:textAlignment w:val="auto"/>
              <w:rPr>
                <w:bCs/>
                <w:color w:val="auto"/>
                <w:sz w:val="20"/>
                <w:lang w:eastAsia="de-DE"/>
              </w:rPr>
            </w:pPr>
            <w:r w:rsidRPr="00BE1F31">
              <w:rPr>
                <w:color w:val="auto"/>
                <w:sz w:val="20"/>
              </w:rPr>
              <w:t>Mínimo % de satélites desplegados para cumplir la etapa</w:t>
            </w:r>
          </w:p>
        </w:tc>
      </w:tr>
      <w:tr w:rsidR="00E50930" w:rsidRPr="00BE1F31" w14:paraId="3B263200" w14:textId="77777777" w:rsidTr="00072579">
        <w:trPr>
          <w:trHeight w:val="75"/>
        </w:trPr>
        <w:tc>
          <w:tcPr>
            <w:tcW w:w="1669" w:type="dxa"/>
          </w:tcPr>
          <w:p w14:paraId="7340EF05" w14:textId="54A3E748" w:rsidR="00E50930" w:rsidRPr="00BE1F31" w:rsidRDefault="00E50930" w:rsidP="00072579">
            <w:pPr>
              <w:tabs>
                <w:tab w:val="clear" w:pos="1134"/>
                <w:tab w:val="clear" w:pos="1871"/>
                <w:tab w:val="clear" w:pos="2268"/>
              </w:tabs>
              <w:overflowPunct/>
              <w:autoSpaceDE/>
              <w:autoSpaceDN/>
              <w:adjustRightInd/>
              <w:spacing w:before="0"/>
              <w:textAlignment w:val="auto"/>
              <w:rPr>
                <w:sz w:val="20"/>
              </w:rPr>
            </w:pPr>
            <w:r w:rsidRPr="00BE1F31">
              <w:rPr>
                <w:sz w:val="20"/>
              </w:rPr>
              <w:t>1</w:t>
            </w:r>
            <w:r w:rsidR="006C7F8B">
              <w:rPr>
                <w:sz w:val="20"/>
              </w:rPr>
              <w:t>ª</w:t>
            </w:r>
          </w:p>
        </w:tc>
        <w:tc>
          <w:tcPr>
            <w:tcW w:w="3686" w:type="dxa"/>
          </w:tcPr>
          <w:p w14:paraId="1D1E76B3" w14:textId="77777777" w:rsidR="00E50930" w:rsidRPr="00BE1F31" w:rsidRDefault="00E50930" w:rsidP="00072579">
            <w:pPr>
              <w:tabs>
                <w:tab w:val="clear" w:pos="1134"/>
                <w:tab w:val="clear" w:pos="1871"/>
                <w:tab w:val="clear" w:pos="2268"/>
              </w:tabs>
              <w:overflowPunct/>
              <w:autoSpaceDE/>
              <w:autoSpaceDN/>
              <w:adjustRightInd/>
              <w:spacing w:before="0"/>
              <w:textAlignment w:val="auto"/>
              <w:rPr>
                <w:sz w:val="20"/>
              </w:rPr>
            </w:pPr>
            <w:r w:rsidRPr="00BE1F31">
              <w:rPr>
                <w:sz w:val="20"/>
              </w:rPr>
              <w:t>2 a 3 años</w:t>
            </w:r>
          </w:p>
        </w:tc>
        <w:tc>
          <w:tcPr>
            <w:tcW w:w="2106" w:type="dxa"/>
          </w:tcPr>
          <w:p w14:paraId="34BC6973" w14:textId="77777777" w:rsidR="00E50930" w:rsidRPr="00BE1F31" w:rsidRDefault="00E50930" w:rsidP="00072579">
            <w:pPr>
              <w:tabs>
                <w:tab w:val="clear" w:pos="1134"/>
                <w:tab w:val="clear" w:pos="1871"/>
                <w:tab w:val="clear" w:pos="2268"/>
              </w:tabs>
              <w:overflowPunct/>
              <w:autoSpaceDE/>
              <w:autoSpaceDN/>
              <w:adjustRightInd/>
              <w:spacing w:before="0"/>
              <w:textAlignment w:val="auto"/>
              <w:rPr>
                <w:sz w:val="20"/>
              </w:rPr>
            </w:pPr>
            <w:r w:rsidRPr="00BE1F31">
              <w:rPr>
                <w:sz w:val="20"/>
              </w:rPr>
              <w:t>10%</w:t>
            </w:r>
          </w:p>
        </w:tc>
      </w:tr>
      <w:tr w:rsidR="00E50930" w:rsidRPr="00BE1F31" w14:paraId="449EFC41" w14:textId="77777777" w:rsidTr="00072579">
        <w:trPr>
          <w:trHeight w:val="75"/>
        </w:trPr>
        <w:tc>
          <w:tcPr>
            <w:tcW w:w="1669" w:type="dxa"/>
          </w:tcPr>
          <w:p w14:paraId="4358FFF1" w14:textId="44CC1795" w:rsidR="00E50930" w:rsidRPr="00BE1F31" w:rsidRDefault="00E50930" w:rsidP="00072579">
            <w:pPr>
              <w:tabs>
                <w:tab w:val="clear" w:pos="1134"/>
                <w:tab w:val="clear" w:pos="1871"/>
                <w:tab w:val="clear" w:pos="2268"/>
              </w:tabs>
              <w:overflowPunct/>
              <w:autoSpaceDE/>
              <w:autoSpaceDN/>
              <w:adjustRightInd/>
              <w:spacing w:before="0"/>
              <w:textAlignment w:val="auto"/>
              <w:rPr>
                <w:sz w:val="20"/>
              </w:rPr>
            </w:pPr>
            <w:r w:rsidRPr="00BE1F31">
              <w:rPr>
                <w:sz w:val="20"/>
              </w:rPr>
              <w:t>2</w:t>
            </w:r>
            <w:r w:rsidR="006C7F8B">
              <w:rPr>
                <w:sz w:val="20"/>
              </w:rPr>
              <w:t>ª</w:t>
            </w:r>
          </w:p>
        </w:tc>
        <w:tc>
          <w:tcPr>
            <w:tcW w:w="3686" w:type="dxa"/>
          </w:tcPr>
          <w:p w14:paraId="485FA781" w14:textId="77777777" w:rsidR="00E50930" w:rsidRPr="00BE1F31" w:rsidRDefault="00E50930" w:rsidP="00072579">
            <w:pPr>
              <w:tabs>
                <w:tab w:val="clear" w:pos="1134"/>
                <w:tab w:val="clear" w:pos="1871"/>
                <w:tab w:val="clear" w:pos="2268"/>
              </w:tabs>
              <w:overflowPunct/>
              <w:autoSpaceDE/>
              <w:autoSpaceDN/>
              <w:adjustRightInd/>
              <w:spacing w:before="0"/>
              <w:textAlignment w:val="auto"/>
              <w:rPr>
                <w:sz w:val="20"/>
              </w:rPr>
            </w:pPr>
            <w:r w:rsidRPr="00BE1F31">
              <w:rPr>
                <w:sz w:val="20"/>
              </w:rPr>
              <w:t>4 a 5 años</w:t>
            </w:r>
          </w:p>
        </w:tc>
        <w:tc>
          <w:tcPr>
            <w:tcW w:w="2106" w:type="dxa"/>
          </w:tcPr>
          <w:p w14:paraId="18A9C95F" w14:textId="77777777" w:rsidR="00E50930" w:rsidRPr="00BE1F31" w:rsidRDefault="00E50930" w:rsidP="00072579">
            <w:pPr>
              <w:tabs>
                <w:tab w:val="clear" w:pos="1134"/>
                <w:tab w:val="clear" w:pos="1871"/>
                <w:tab w:val="clear" w:pos="2268"/>
              </w:tabs>
              <w:overflowPunct/>
              <w:autoSpaceDE/>
              <w:autoSpaceDN/>
              <w:adjustRightInd/>
              <w:spacing w:before="0"/>
              <w:textAlignment w:val="auto"/>
              <w:rPr>
                <w:sz w:val="20"/>
              </w:rPr>
            </w:pPr>
            <w:r w:rsidRPr="00BE1F31">
              <w:rPr>
                <w:sz w:val="20"/>
              </w:rPr>
              <w:t>30-50%</w:t>
            </w:r>
          </w:p>
        </w:tc>
      </w:tr>
      <w:tr w:rsidR="00E50930" w:rsidRPr="00BE1F31" w14:paraId="73BDB70A" w14:textId="77777777" w:rsidTr="00072579">
        <w:trPr>
          <w:trHeight w:val="75"/>
        </w:trPr>
        <w:tc>
          <w:tcPr>
            <w:tcW w:w="1669" w:type="dxa"/>
          </w:tcPr>
          <w:p w14:paraId="2240330A" w14:textId="0C308921" w:rsidR="00E50930" w:rsidRPr="00BE1F31" w:rsidRDefault="00E50930" w:rsidP="00072579">
            <w:pPr>
              <w:tabs>
                <w:tab w:val="clear" w:pos="1134"/>
                <w:tab w:val="clear" w:pos="1871"/>
                <w:tab w:val="clear" w:pos="2268"/>
              </w:tabs>
              <w:overflowPunct/>
              <w:autoSpaceDE/>
              <w:autoSpaceDN/>
              <w:adjustRightInd/>
              <w:spacing w:before="0"/>
              <w:textAlignment w:val="auto"/>
              <w:rPr>
                <w:sz w:val="20"/>
              </w:rPr>
            </w:pPr>
            <w:r w:rsidRPr="00BE1F31">
              <w:rPr>
                <w:sz w:val="20"/>
              </w:rPr>
              <w:t>3</w:t>
            </w:r>
            <w:r w:rsidR="006C7F8B">
              <w:rPr>
                <w:sz w:val="20"/>
              </w:rPr>
              <w:t>ª</w:t>
            </w:r>
          </w:p>
        </w:tc>
        <w:tc>
          <w:tcPr>
            <w:tcW w:w="3686" w:type="dxa"/>
          </w:tcPr>
          <w:p w14:paraId="13F2CFEA" w14:textId="77777777" w:rsidR="00E50930" w:rsidRPr="00BE1F31" w:rsidRDefault="00E50930" w:rsidP="00072579">
            <w:pPr>
              <w:tabs>
                <w:tab w:val="clear" w:pos="1134"/>
                <w:tab w:val="clear" w:pos="1871"/>
                <w:tab w:val="clear" w:pos="2268"/>
              </w:tabs>
              <w:overflowPunct/>
              <w:autoSpaceDE/>
              <w:autoSpaceDN/>
              <w:adjustRightInd/>
              <w:spacing w:before="0"/>
              <w:textAlignment w:val="auto"/>
              <w:rPr>
                <w:sz w:val="20"/>
              </w:rPr>
            </w:pPr>
            <w:r w:rsidRPr="00BE1F31">
              <w:rPr>
                <w:sz w:val="20"/>
              </w:rPr>
              <w:t>7 años</w:t>
            </w:r>
          </w:p>
        </w:tc>
        <w:tc>
          <w:tcPr>
            <w:tcW w:w="2106" w:type="dxa"/>
          </w:tcPr>
          <w:p w14:paraId="651F1035" w14:textId="1E5FFCCC" w:rsidR="00E50930" w:rsidRPr="00BE1F31" w:rsidRDefault="00E50930" w:rsidP="00072579">
            <w:pPr>
              <w:tabs>
                <w:tab w:val="clear" w:pos="1134"/>
                <w:tab w:val="clear" w:pos="1871"/>
                <w:tab w:val="clear" w:pos="2268"/>
              </w:tabs>
              <w:overflowPunct/>
              <w:autoSpaceDE/>
              <w:autoSpaceDN/>
              <w:adjustRightInd/>
              <w:spacing w:before="0"/>
              <w:textAlignment w:val="auto"/>
              <w:rPr>
                <w:sz w:val="20"/>
              </w:rPr>
            </w:pPr>
            <w:r w:rsidRPr="00BE1F31">
              <w:rPr>
                <w:sz w:val="20"/>
              </w:rPr>
              <w:t>90-95%/100%</w:t>
            </w:r>
          </w:p>
        </w:tc>
      </w:tr>
    </w:tbl>
    <w:p w14:paraId="5023E927" w14:textId="77777777" w:rsidR="00E50930" w:rsidRPr="00BE1F31" w:rsidRDefault="00E50930" w:rsidP="00E50930">
      <w:pPr>
        <w:rPr>
          <w:i/>
          <w:iCs/>
        </w:rPr>
      </w:pPr>
      <w:r w:rsidRPr="00BE1F31">
        <w:rPr>
          <w:i/>
          <w:iCs/>
        </w:rPr>
        <w:t>Nota:</w:t>
      </w:r>
    </w:p>
    <w:p w14:paraId="0CB45403" w14:textId="77777777" w:rsidR="00E50930" w:rsidRPr="00BE1F31" w:rsidRDefault="00E50930" w:rsidP="00E50930">
      <w:r w:rsidRPr="00BE1F31">
        <w:t>La Conferencia de la CMR-19, al considerar los plazos de cada etapa y los correspondientes factores de despliegue indicados en el cuadro anterior, podría considerar la posibilidad de conceder cierto grado de flexibilidad a los operadores de satélites no OSG de modo que si no cumplieron el criterio de porcentaje en la 1ª ó 2ª etapa, deberán cumplirlo en la etapa siguiente.</w:t>
      </w:r>
    </w:p>
    <w:p w14:paraId="2FABFED3" w14:textId="140F3CC4" w:rsidR="00E50930" w:rsidRPr="00BE1F31" w:rsidRDefault="008F2AF4" w:rsidP="00411C49">
      <w:pPr>
        <w:pStyle w:val="Reasons"/>
      </w:pPr>
      <w:r w:rsidRPr="00BE1F31">
        <w:rPr>
          <w:b/>
        </w:rPr>
        <w:t>Motivos:</w:t>
      </w:r>
      <w:r w:rsidRPr="00BE1F31">
        <w:tab/>
      </w:r>
      <w:r w:rsidR="00E50930" w:rsidRPr="00BE1F31">
        <w:t>Satisfacer el Tema A del punto 7 del orden del día de la CMR-19.</w:t>
      </w:r>
    </w:p>
    <w:p w14:paraId="4F1D3CA2" w14:textId="279AF0BD" w:rsidR="00E50930" w:rsidRPr="00BE1F31" w:rsidRDefault="00E50930" w:rsidP="00BE1F31">
      <w:pPr>
        <w:jc w:val="center"/>
      </w:pPr>
      <w:r w:rsidRPr="00BE1F31">
        <w:t>______________</w:t>
      </w:r>
    </w:p>
    <w:sectPr w:rsidR="00E50930" w:rsidRPr="00BE1F31">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85C8E" w14:textId="77777777" w:rsidR="00FD03C4" w:rsidRDefault="00FD03C4">
      <w:r>
        <w:separator/>
      </w:r>
    </w:p>
  </w:endnote>
  <w:endnote w:type="continuationSeparator" w:id="0">
    <w:p w14:paraId="11319833" w14:textId="77777777" w:rsidR="00FD03C4" w:rsidRDefault="00FD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C4B0E"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08475B" w14:textId="61816D0E" w:rsidR="0077084A" w:rsidRDefault="0077084A">
    <w:pPr>
      <w:ind w:right="360"/>
      <w:rPr>
        <w:lang w:val="en-US"/>
      </w:rPr>
    </w:pPr>
    <w:r>
      <w:fldChar w:fldCharType="begin"/>
    </w:r>
    <w:r>
      <w:rPr>
        <w:lang w:val="en-US"/>
      </w:rPr>
      <w:instrText xml:space="preserve"> FILENAME \p  \* MERGEFORMAT </w:instrText>
    </w:r>
    <w:r>
      <w:fldChar w:fldCharType="separate"/>
    </w:r>
    <w:r w:rsidR="006C7F8B">
      <w:rPr>
        <w:noProof/>
        <w:lang w:val="en-US"/>
      </w:rPr>
      <w:t>P:\ESP\ITU-R\CONF-R\CMR19\000\024ADD19ADD01S.docx</w:t>
    </w:r>
    <w:r>
      <w:fldChar w:fldCharType="end"/>
    </w:r>
    <w:r>
      <w:rPr>
        <w:lang w:val="en-US"/>
      </w:rPr>
      <w:tab/>
    </w:r>
    <w:r>
      <w:fldChar w:fldCharType="begin"/>
    </w:r>
    <w:r>
      <w:instrText xml:space="preserve"> SAVEDATE \@ DD.MM.YY </w:instrText>
    </w:r>
    <w:r>
      <w:fldChar w:fldCharType="separate"/>
    </w:r>
    <w:r w:rsidR="006C7F8B">
      <w:rPr>
        <w:noProof/>
      </w:rPr>
      <w:t>04.10.19</w:t>
    </w:r>
    <w:r>
      <w:fldChar w:fldCharType="end"/>
    </w:r>
    <w:r>
      <w:rPr>
        <w:lang w:val="en-US"/>
      </w:rPr>
      <w:tab/>
    </w:r>
    <w:r>
      <w:fldChar w:fldCharType="begin"/>
    </w:r>
    <w:r>
      <w:instrText xml:space="preserve"> PRINTDATE \@ DD.MM.YY </w:instrText>
    </w:r>
    <w:r>
      <w:fldChar w:fldCharType="separate"/>
    </w:r>
    <w:r w:rsidR="006C7F8B">
      <w:rPr>
        <w:noProof/>
      </w:rPr>
      <w:t>04.10.19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D05B0" w14:textId="1B845385" w:rsidR="0077084A" w:rsidRPr="00995311" w:rsidRDefault="0077084A" w:rsidP="00B86034">
    <w:pPr>
      <w:pStyle w:val="Footer"/>
      <w:ind w:right="360"/>
      <w:rPr>
        <w:lang w:val="en-GB"/>
      </w:rPr>
    </w:pPr>
    <w:r>
      <w:fldChar w:fldCharType="begin"/>
    </w:r>
    <w:r>
      <w:rPr>
        <w:lang w:val="en-US"/>
      </w:rPr>
      <w:instrText xml:space="preserve"> FILENAME \p  \* MERGEFORMAT </w:instrText>
    </w:r>
    <w:r>
      <w:fldChar w:fldCharType="separate"/>
    </w:r>
    <w:r w:rsidR="006C7F8B">
      <w:rPr>
        <w:lang w:val="en-US"/>
      </w:rPr>
      <w:t>P:\ESP\ITU-R\CONF-R\CMR19\000\024ADD19ADD01S.docx</w:t>
    </w:r>
    <w:r>
      <w:fldChar w:fldCharType="end"/>
    </w:r>
    <w:r w:rsidR="00995311" w:rsidRPr="00995311">
      <w:rPr>
        <w:lang w:val="en-GB"/>
      </w:rPr>
      <w:t xml:space="preserve"> </w:t>
    </w:r>
    <w:r w:rsidR="00995311">
      <w:rPr>
        <w:lang w:val="en-GB"/>
      </w:rPr>
      <w:t>(461132)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EE796" w14:textId="073A63DF" w:rsidR="0077084A" w:rsidRPr="00995311" w:rsidRDefault="0077084A" w:rsidP="00B47331">
    <w:pPr>
      <w:pStyle w:val="Footer"/>
      <w:rPr>
        <w:lang w:val="en-GB"/>
      </w:rPr>
    </w:pPr>
    <w:r>
      <w:fldChar w:fldCharType="begin"/>
    </w:r>
    <w:r>
      <w:rPr>
        <w:lang w:val="en-US"/>
      </w:rPr>
      <w:instrText xml:space="preserve"> FILENAME \p  \* MERGEFORMAT </w:instrText>
    </w:r>
    <w:r>
      <w:fldChar w:fldCharType="separate"/>
    </w:r>
    <w:r w:rsidR="006C7F8B">
      <w:rPr>
        <w:lang w:val="en-US"/>
      </w:rPr>
      <w:t>P:\ESP\ITU-R\CONF-R\CMR19\000\024ADD19ADD01S.docx</w:t>
    </w:r>
    <w:r>
      <w:fldChar w:fldCharType="end"/>
    </w:r>
    <w:r w:rsidR="00995311" w:rsidRPr="00995311">
      <w:rPr>
        <w:lang w:val="en-GB"/>
      </w:rPr>
      <w:t xml:space="preserve"> </w:t>
    </w:r>
    <w:r w:rsidR="00995311">
      <w:rPr>
        <w:lang w:val="en-GB"/>
      </w:rPr>
      <w:t>(461132)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9F1EA" w14:textId="77777777" w:rsidR="00FD03C4" w:rsidRDefault="00FD03C4">
      <w:r>
        <w:rPr>
          <w:b/>
        </w:rPr>
        <w:t>_______________</w:t>
      </w:r>
    </w:p>
  </w:footnote>
  <w:footnote w:type="continuationSeparator" w:id="0">
    <w:p w14:paraId="4B52FD63" w14:textId="77777777" w:rsidR="00FD03C4" w:rsidRDefault="00FD0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D3137"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12B5FC6D" w14:textId="77777777" w:rsidR="0077084A" w:rsidRDefault="008750A8" w:rsidP="00C44E9E">
    <w:pPr>
      <w:pStyle w:val="Header"/>
      <w:rPr>
        <w:lang w:val="en-US"/>
      </w:rPr>
    </w:pPr>
    <w:r>
      <w:rPr>
        <w:lang w:val="en-US"/>
      </w:rPr>
      <w:t>CMR1</w:t>
    </w:r>
    <w:r w:rsidR="00C44E9E">
      <w:rPr>
        <w:lang w:val="en-US"/>
      </w:rPr>
      <w:t>9</w:t>
    </w:r>
    <w:r>
      <w:rPr>
        <w:lang w:val="en-US"/>
      </w:rPr>
      <w:t>/</w:t>
    </w:r>
    <w:r w:rsidR="00702F3D">
      <w:t>24(Add.19)(Add.1)-</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A5B9A"/>
    <w:rsid w:val="000E5BF9"/>
    <w:rsid w:val="000F0E6D"/>
    <w:rsid w:val="00121170"/>
    <w:rsid w:val="00123CC5"/>
    <w:rsid w:val="0015142D"/>
    <w:rsid w:val="001616DC"/>
    <w:rsid w:val="00163962"/>
    <w:rsid w:val="00191A97"/>
    <w:rsid w:val="0019729C"/>
    <w:rsid w:val="001A083F"/>
    <w:rsid w:val="001C41FA"/>
    <w:rsid w:val="001E2B52"/>
    <w:rsid w:val="001E3F27"/>
    <w:rsid w:val="001E7D42"/>
    <w:rsid w:val="00236D2A"/>
    <w:rsid w:val="0024569E"/>
    <w:rsid w:val="00255F12"/>
    <w:rsid w:val="00262C09"/>
    <w:rsid w:val="002A791F"/>
    <w:rsid w:val="002B5219"/>
    <w:rsid w:val="002C1A52"/>
    <w:rsid w:val="002C1B26"/>
    <w:rsid w:val="002C5D6C"/>
    <w:rsid w:val="002E701F"/>
    <w:rsid w:val="003248A9"/>
    <w:rsid w:val="00324FFA"/>
    <w:rsid w:val="0032680B"/>
    <w:rsid w:val="00363A65"/>
    <w:rsid w:val="003B1E8C"/>
    <w:rsid w:val="003C2508"/>
    <w:rsid w:val="003D0AA3"/>
    <w:rsid w:val="003E2086"/>
    <w:rsid w:val="003F7F66"/>
    <w:rsid w:val="00440B3A"/>
    <w:rsid w:val="0044375A"/>
    <w:rsid w:val="0045384C"/>
    <w:rsid w:val="00454553"/>
    <w:rsid w:val="00472A86"/>
    <w:rsid w:val="004B124A"/>
    <w:rsid w:val="004B3095"/>
    <w:rsid w:val="004D2C7C"/>
    <w:rsid w:val="005133B5"/>
    <w:rsid w:val="00524392"/>
    <w:rsid w:val="00532097"/>
    <w:rsid w:val="0058350F"/>
    <w:rsid w:val="00583C7E"/>
    <w:rsid w:val="0059098E"/>
    <w:rsid w:val="005D46FB"/>
    <w:rsid w:val="005F2605"/>
    <w:rsid w:val="005F3B0E"/>
    <w:rsid w:val="005F559C"/>
    <w:rsid w:val="00602857"/>
    <w:rsid w:val="006124AD"/>
    <w:rsid w:val="00624009"/>
    <w:rsid w:val="00662BA0"/>
    <w:rsid w:val="0067344B"/>
    <w:rsid w:val="00684A94"/>
    <w:rsid w:val="00692AAE"/>
    <w:rsid w:val="006C0E38"/>
    <w:rsid w:val="006C7F8B"/>
    <w:rsid w:val="006D6E67"/>
    <w:rsid w:val="006E1A13"/>
    <w:rsid w:val="00701C20"/>
    <w:rsid w:val="00702F3D"/>
    <w:rsid w:val="0070518E"/>
    <w:rsid w:val="007354E9"/>
    <w:rsid w:val="0074579D"/>
    <w:rsid w:val="00765578"/>
    <w:rsid w:val="00766333"/>
    <w:rsid w:val="0077084A"/>
    <w:rsid w:val="007952C7"/>
    <w:rsid w:val="007C0B95"/>
    <w:rsid w:val="007C2317"/>
    <w:rsid w:val="007D330A"/>
    <w:rsid w:val="007F3CCC"/>
    <w:rsid w:val="00866AE6"/>
    <w:rsid w:val="008750A8"/>
    <w:rsid w:val="008E5AF2"/>
    <w:rsid w:val="008F2AF4"/>
    <w:rsid w:val="0090121B"/>
    <w:rsid w:val="009144C9"/>
    <w:rsid w:val="0094091F"/>
    <w:rsid w:val="00962171"/>
    <w:rsid w:val="00973754"/>
    <w:rsid w:val="00995311"/>
    <w:rsid w:val="009C0BED"/>
    <w:rsid w:val="009E11EC"/>
    <w:rsid w:val="00A021CC"/>
    <w:rsid w:val="00A118DB"/>
    <w:rsid w:val="00A4450C"/>
    <w:rsid w:val="00AA5E6C"/>
    <w:rsid w:val="00AE5677"/>
    <w:rsid w:val="00AE658F"/>
    <w:rsid w:val="00AF2F78"/>
    <w:rsid w:val="00B239FA"/>
    <w:rsid w:val="00B47331"/>
    <w:rsid w:val="00B52D55"/>
    <w:rsid w:val="00B8288C"/>
    <w:rsid w:val="00B86034"/>
    <w:rsid w:val="00B92D35"/>
    <w:rsid w:val="00BE1F31"/>
    <w:rsid w:val="00BE2E80"/>
    <w:rsid w:val="00BE5EDD"/>
    <w:rsid w:val="00BE6A1F"/>
    <w:rsid w:val="00C126C4"/>
    <w:rsid w:val="00C44E9E"/>
    <w:rsid w:val="00C63EB5"/>
    <w:rsid w:val="00C87DA7"/>
    <w:rsid w:val="00CC01E0"/>
    <w:rsid w:val="00CD5FEE"/>
    <w:rsid w:val="00CE60D2"/>
    <w:rsid w:val="00CE7431"/>
    <w:rsid w:val="00D0288A"/>
    <w:rsid w:val="00D72A5D"/>
    <w:rsid w:val="00DA71A3"/>
    <w:rsid w:val="00DC629B"/>
    <w:rsid w:val="00DE1C31"/>
    <w:rsid w:val="00E05BFF"/>
    <w:rsid w:val="00E262F1"/>
    <w:rsid w:val="00E3176A"/>
    <w:rsid w:val="00E50930"/>
    <w:rsid w:val="00E54754"/>
    <w:rsid w:val="00E56BD3"/>
    <w:rsid w:val="00E71D14"/>
    <w:rsid w:val="00EA77F0"/>
    <w:rsid w:val="00F32316"/>
    <w:rsid w:val="00F66597"/>
    <w:rsid w:val="00F675D0"/>
    <w:rsid w:val="00F8150C"/>
    <w:rsid w:val="00FC3ECB"/>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E61F8F"/>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paragraph" w:customStyle="1" w:styleId="VolumeTitle0">
    <w:name w:val="VolumeTitle"/>
    <w:basedOn w:val="Normal"/>
    <w:next w:val="Normal"/>
    <w:rsid w:val="002A2086"/>
    <w:pPr>
      <w:tabs>
        <w:tab w:val="clear" w:pos="1134"/>
        <w:tab w:val="clear" w:pos="1871"/>
        <w:tab w:val="clear" w:pos="2268"/>
      </w:tabs>
      <w:overflowPunct/>
      <w:autoSpaceDE/>
      <w:autoSpaceDN/>
      <w:adjustRightInd/>
      <w:spacing w:before="0" w:after="200" w:line="276" w:lineRule="auto"/>
      <w:jc w:val="center"/>
      <w:textAlignment w:val="auto"/>
    </w:pPr>
    <w:rPr>
      <w:rFonts w:asciiTheme="minorHAnsi" w:eastAsiaTheme="minorEastAsia" w:hAnsiTheme="minorHAnsi" w:cstheme="minorBidi"/>
      <w:b/>
      <w:bCs/>
      <w:sz w:val="32"/>
      <w:szCs w:val="32"/>
      <w:lang w:val="en-US" w:eastAsia="zh-CN"/>
    </w:rPr>
  </w:style>
  <w:style w:type="character" w:styleId="Strong">
    <w:name w:val="Strong"/>
    <w:basedOn w:val="DefaultParagraphFont"/>
    <w:uiPriority w:val="22"/>
    <w:qFormat/>
    <w:rsid w:val="00E50930"/>
    <w:rPr>
      <w:b/>
      <w:bCs/>
    </w:rPr>
  </w:style>
  <w:style w:type="table" w:customStyle="1" w:styleId="ECCTable-redheader">
    <w:name w:val="ECC Table - red header"/>
    <w:basedOn w:val="TableNormal"/>
    <w:uiPriority w:val="99"/>
    <w:rsid w:val="00E50930"/>
    <w:pPr>
      <w:spacing w:before="60" w:after="60"/>
      <w:jc w:val="both"/>
    </w:pPr>
    <w:rPr>
      <w:rFonts w:ascii="Arial" w:eastAsia="Calibri" w:hAnsi="Arial"/>
      <w:lang w:val="de-DE" w:eastAsia="de-DE" w:bidi="fa-IR"/>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paragraph" w:customStyle="1" w:styleId="ECCTabletext">
    <w:name w:val="ECC Table text"/>
    <w:basedOn w:val="Normal"/>
    <w:qFormat/>
    <w:rsid w:val="00E50930"/>
    <w:pPr>
      <w:tabs>
        <w:tab w:val="clear" w:pos="1134"/>
        <w:tab w:val="clear" w:pos="1871"/>
        <w:tab w:val="clear" w:pos="2268"/>
      </w:tabs>
      <w:overflowPunct/>
      <w:autoSpaceDE/>
      <w:autoSpaceDN/>
      <w:adjustRightInd/>
      <w:spacing w:before="0" w:after="60"/>
      <w:jc w:val="both"/>
      <w:textAlignment w:val="auto"/>
    </w:pPr>
    <w:rPr>
      <w:rFonts w:ascii="Arial" w:eastAsia="Calibri" w:hAnsi="Arial"/>
      <w:sz w:val="20"/>
      <w:szCs w:val="22"/>
      <w:lang w:val="en-GB"/>
    </w:rPr>
  </w:style>
  <w:style w:type="paragraph" w:customStyle="1" w:styleId="ECCTableHeaderwhitefont">
    <w:name w:val="ECC Table Header white font"/>
    <w:qFormat/>
    <w:rsid w:val="00E50930"/>
    <w:pPr>
      <w:spacing w:before="240" w:after="60"/>
      <w:jc w:val="center"/>
    </w:pPr>
    <w:rPr>
      <w:rFonts w:ascii="Arial" w:eastAsia="Calibri" w:hAnsi="Arial"/>
      <w:bCs/>
      <w:color w:val="FFFFFF" w:themeColor="background1"/>
      <w:lang w:val="en-GB" w:eastAsia="de-DE"/>
    </w:rPr>
  </w:style>
  <w:style w:type="paragraph" w:styleId="BalloonText">
    <w:name w:val="Balloon Text"/>
    <w:basedOn w:val="Normal"/>
    <w:link w:val="BalloonTextChar"/>
    <w:semiHidden/>
    <w:unhideWhenUsed/>
    <w:rsid w:val="00E5093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50930"/>
    <w:rPr>
      <w:rFonts w:ascii="Segoe UI" w:hAnsi="Segoe UI" w:cs="Segoe UI"/>
      <w:sz w:val="18"/>
      <w:szCs w:val="18"/>
      <w:lang w:val="es-ES_tradnl" w:eastAsia="en-US"/>
    </w:rPr>
  </w:style>
  <w:style w:type="table" w:customStyle="1" w:styleId="ECCTable-redheader1">
    <w:name w:val="ECC Table - red header1"/>
    <w:basedOn w:val="TableNormal"/>
    <w:uiPriority w:val="99"/>
    <w:rsid w:val="00E50930"/>
    <w:pPr>
      <w:spacing w:before="60" w:after="60"/>
      <w:jc w:val="both"/>
    </w:pPr>
    <w:rPr>
      <w:rFonts w:ascii="Arial" w:eastAsia="Calibri" w:hAnsi="Arial"/>
      <w:lang w:val="de-DE" w:eastAsia="de-DE" w:bidi="fa-IR"/>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R16-WRC19-C-0024!A19-A1!MSW-S</DPM_x0020_File_x0020_name>
    <DPM_x0020_Author xmlns="32a1a8c5-2265-4ebc-b7a0-2071e2c5c9bb" xsi:nil="false">DPM</DPM_x0020_Author>
    <DPM_x0020_Version xmlns="32a1a8c5-2265-4ebc-b7a0-2071e2c5c9bb" xsi:nil="false">DPM_2019.08.19.01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C05E18-F495-40D6-854D-48EAF2C44A25}">
  <ds:schemaRefs>
    <ds:schemaRef ds:uri="http://schemas.microsoft.com/sharepoint/events"/>
  </ds:schemaRefs>
</ds:datastoreItem>
</file>

<file path=customXml/itemProps3.xml><?xml version="1.0" encoding="utf-8"?>
<ds:datastoreItem xmlns:ds="http://schemas.openxmlformats.org/officeDocument/2006/customXml" ds:itemID="{3E20699D-8C68-4D7E-A946-9D3F8736174E}">
  <ds:schemaRefs>
    <ds:schemaRef ds:uri="http://schemas.microsoft.com/sharepoint/v3/contenttype/forms"/>
  </ds:schemaRefs>
</ds:datastoreItem>
</file>

<file path=customXml/itemProps4.xml><?xml version="1.0" encoding="utf-8"?>
<ds:datastoreItem xmlns:ds="http://schemas.openxmlformats.org/officeDocument/2006/customXml" ds:itemID="{F02AD4B9-7F3C-4692-ACA1-DBBE183D857E}">
  <ds:schemaRefs>
    <ds:schemaRef ds:uri="http://schemas.microsoft.com/office/2006/documentManagement/types"/>
    <ds:schemaRef ds:uri="32a1a8c5-2265-4ebc-b7a0-2071e2c5c9bb"/>
    <ds:schemaRef ds:uri="996b2e75-67fd-4955-a3b0-5ab9934cb50b"/>
    <ds:schemaRef ds:uri="http://purl.org/dc/terms/"/>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AEC4AF0A-E053-4337-A157-8A63E4346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1025</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R16-WRC19-C-0024!A19-A1!MSW-S</vt:lpstr>
    </vt:vector>
  </TitlesOfParts>
  <Manager>Secretaría General - Pool</Manager>
  <Company>Unión Internacional de Telecomunicaciones (UIT)</Company>
  <LinksUpToDate>false</LinksUpToDate>
  <CharactersWithSpaces>6266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R16-WRC19-C-0024!A19-A1!MSW-S</dc:title>
  <dc:subject>Conferencia Mundial de Radiocomunicaciones - 2019</dc:subject>
  <dc:creator>Documents Proposals Manager (DPM)</dc:creator>
  <cp:keywords>DPM_v2019.9.25.1_prod</cp:keywords>
  <dc:description/>
  <cp:lastModifiedBy>Spanish</cp:lastModifiedBy>
  <cp:revision>6</cp:revision>
  <cp:lastPrinted>2019-10-04T14:58:00Z</cp:lastPrinted>
  <dcterms:created xsi:type="dcterms:W3CDTF">2019-09-30T08:38:00Z</dcterms:created>
  <dcterms:modified xsi:type="dcterms:W3CDTF">2019-10-04T15:05:00Z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