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10F4708A" w14:textId="77777777" w:rsidTr="0050008E">
        <w:trPr>
          <w:cantSplit/>
        </w:trPr>
        <w:tc>
          <w:tcPr>
            <w:tcW w:w="6911" w:type="dxa"/>
          </w:tcPr>
          <w:p w14:paraId="0DF15EB1" w14:textId="77777777" w:rsidR="00BB1D82" w:rsidRPr="00930FFD" w:rsidRDefault="00851625" w:rsidP="007523CE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proofErr w:type="spellStart"/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Charm</w:t>
            </w:r>
            <w:proofErr w:type="spellEnd"/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7FCA5A3A" w14:textId="77777777" w:rsidR="00BB1D82" w:rsidRPr="002A6F8F" w:rsidRDefault="000A55AE" w:rsidP="007523CE">
            <w:pPr>
              <w:spacing w:before="0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541A5A47" wp14:editId="120631F5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7AF74FDB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0C8E0F37" w14:textId="77777777" w:rsidR="00BB1D82" w:rsidRPr="002A6F8F" w:rsidRDefault="00BB1D82" w:rsidP="007523CE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40EA637B" w14:textId="77777777" w:rsidR="00BB1D82" w:rsidRPr="002A6F8F" w:rsidRDefault="00BB1D82" w:rsidP="007523CE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5910757E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7CBF6D28" w14:textId="77777777" w:rsidR="00BB1D82" w:rsidRPr="002A6F8F" w:rsidRDefault="00BB1D82" w:rsidP="007523CE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56CB8740" w14:textId="77777777" w:rsidR="00BB1D82" w:rsidRPr="002A6F8F" w:rsidRDefault="00BB1D82" w:rsidP="007523CE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2D2B0E35" w14:textId="77777777" w:rsidTr="00BB1D82">
        <w:trPr>
          <w:cantSplit/>
        </w:trPr>
        <w:tc>
          <w:tcPr>
            <w:tcW w:w="6911" w:type="dxa"/>
          </w:tcPr>
          <w:p w14:paraId="67785B68" w14:textId="77777777" w:rsidR="00BB1D82" w:rsidRPr="00930FFD" w:rsidRDefault="006D4724" w:rsidP="007523CE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0F578F8F" w14:textId="77777777" w:rsidR="00BB1D82" w:rsidRPr="00DA2A2C" w:rsidRDefault="006D4724" w:rsidP="007523CE">
            <w:pPr>
              <w:spacing w:before="0"/>
              <w:rPr>
                <w:rFonts w:ascii="Verdana" w:hAnsi="Verdana"/>
                <w:sz w:val="20"/>
              </w:rPr>
            </w:pPr>
            <w:r w:rsidRPr="00DA2A2C">
              <w:rPr>
                <w:rFonts w:ascii="Verdana" w:hAnsi="Verdana"/>
                <w:b/>
                <w:sz w:val="20"/>
              </w:rPr>
              <w:t>Addendum 1 au</w:t>
            </w:r>
            <w:r w:rsidRPr="00DA2A2C">
              <w:rPr>
                <w:rFonts w:ascii="Verdana" w:hAnsi="Verdana"/>
                <w:b/>
                <w:sz w:val="20"/>
              </w:rPr>
              <w:br/>
              <w:t>Document 24(Add.19)</w:t>
            </w:r>
            <w:r w:rsidR="00BB1D82" w:rsidRPr="00DA2A2C">
              <w:rPr>
                <w:rFonts w:ascii="Verdana" w:hAnsi="Verdana"/>
                <w:b/>
                <w:sz w:val="20"/>
              </w:rPr>
              <w:t>-</w:t>
            </w:r>
            <w:r w:rsidRPr="00DA2A2C">
              <w:rPr>
                <w:rFonts w:ascii="Verdana" w:hAnsi="Verdana"/>
                <w:b/>
                <w:sz w:val="20"/>
              </w:rPr>
              <w:t>F</w:t>
            </w:r>
          </w:p>
        </w:tc>
      </w:tr>
      <w:bookmarkEnd w:id="0"/>
      <w:tr w:rsidR="00690C7B" w:rsidRPr="002A6F8F" w14:paraId="4012C8E6" w14:textId="77777777" w:rsidTr="00BB1D82">
        <w:trPr>
          <w:cantSplit/>
        </w:trPr>
        <w:tc>
          <w:tcPr>
            <w:tcW w:w="6911" w:type="dxa"/>
          </w:tcPr>
          <w:p w14:paraId="67CCD600" w14:textId="77777777" w:rsidR="00690C7B" w:rsidRPr="00DA2A2C" w:rsidRDefault="00690C7B" w:rsidP="007523CE">
            <w:pPr>
              <w:spacing w:before="0"/>
              <w:rPr>
                <w:rFonts w:ascii="Verdana" w:hAnsi="Verdana"/>
                <w:b/>
                <w:sz w:val="20"/>
              </w:rPr>
            </w:pPr>
          </w:p>
        </w:tc>
        <w:tc>
          <w:tcPr>
            <w:tcW w:w="3120" w:type="dxa"/>
          </w:tcPr>
          <w:p w14:paraId="383ABA88" w14:textId="77777777" w:rsidR="00690C7B" w:rsidRPr="002A6F8F" w:rsidRDefault="00690C7B" w:rsidP="007523CE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20 septembre 2019</w:t>
            </w:r>
          </w:p>
        </w:tc>
      </w:tr>
      <w:tr w:rsidR="00690C7B" w:rsidRPr="002A6F8F" w14:paraId="26874A12" w14:textId="77777777" w:rsidTr="00BB1D82">
        <w:trPr>
          <w:cantSplit/>
        </w:trPr>
        <w:tc>
          <w:tcPr>
            <w:tcW w:w="6911" w:type="dxa"/>
          </w:tcPr>
          <w:p w14:paraId="2BB20310" w14:textId="77777777" w:rsidR="00690C7B" w:rsidRPr="002A6F8F" w:rsidRDefault="00690C7B" w:rsidP="007523CE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672C38AE" w14:textId="77777777" w:rsidR="00690C7B" w:rsidRPr="002A6F8F" w:rsidRDefault="00690C7B" w:rsidP="007523CE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162513C2" w14:textId="77777777" w:rsidTr="00C11970">
        <w:trPr>
          <w:cantSplit/>
        </w:trPr>
        <w:tc>
          <w:tcPr>
            <w:tcW w:w="10031" w:type="dxa"/>
            <w:gridSpan w:val="2"/>
          </w:tcPr>
          <w:p w14:paraId="2F316CBB" w14:textId="77777777" w:rsidR="00690C7B" w:rsidRPr="002A6F8F" w:rsidRDefault="00690C7B" w:rsidP="007523CE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1DC44709" w14:textId="77777777" w:rsidTr="0050008E">
        <w:trPr>
          <w:cantSplit/>
        </w:trPr>
        <w:tc>
          <w:tcPr>
            <w:tcW w:w="10031" w:type="dxa"/>
            <w:gridSpan w:val="2"/>
          </w:tcPr>
          <w:p w14:paraId="2773BA71" w14:textId="77777777" w:rsidR="00690C7B" w:rsidRPr="00DA2A2C" w:rsidRDefault="00690C7B" w:rsidP="007523CE">
            <w:pPr>
              <w:pStyle w:val="Source"/>
            </w:pPr>
            <w:bookmarkStart w:id="1" w:name="dsource" w:colFirst="0" w:colLast="0"/>
            <w:r w:rsidRPr="00DA2A2C">
              <w:t>Propositions communes de la Télécommunauté Asie-Pacifique</w:t>
            </w:r>
          </w:p>
        </w:tc>
      </w:tr>
      <w:tr w:rsidR="00690C7B" w:rsidRPr="002A6F8F" w14:paraId="4952A0DD" w14:textId="77777777" w:rsidTr="0050008E">
        <w:trPr>
          <w:cantSplit/>
        </w:trPr>
        <w:tc>
          <w:tcPr>
            <w:tcW w:w="10031" w:type="dxa"/>
            <w:gridSpan w:val="2"/>
          </w:tcPr>
          <w:p w14:paraId="0DE5F0C6" w14:textId="3DEF342D" w:rsidR="00690C7B" w:rsidRPr="00DA2A2C" w:rsidRDefault="00DA2A2C" w:rsidP="007523CE">
            <w:pPr>
              <w:pStyle w:val="Title1"/>
            </w:pPr>
            <w:bookmarkStart w:id="2" w:name="dtitle1" w:colFirst="0" w:colLast="0"/>
            <w:bookmarkEnd w:id="1"/>
            <w:r w:rsidRPr="00DA2A2C">
              <w:t>propositions pour les travaux de la confÉrence</w:t>
            </w:r>
          </w:p>
        </w:tc>
      </w:tr>
      <w:tr w:rsidR="00690C7B" w:rsidRPr="002A6F8F" w14:paraId="40354E0E" w14:textId="77777777" w:rsidTr="0050008E">
        <w:trPr>
          <w:cantSplit/>
        </w:trPr>
        <w:tc>
          <w:tcPr>
            <w:tcW w:w="10031" w:type="dxa"/>
            <w:gridSpan w:val="2"/>
          </w:tcPr>
          <w:p w14:paraId="01F21C53" w14:textId="77777777" w:rsidR="00690C7B" w:rsidRPr="00DA2A2C" w:rsidRDefault="00690C7B" w:rsidP="007523CE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14:paraId="1DD25696" w14:textId="77777777" w:rsidTr="0050008E">
        <w:trPr>
          <w:cantSplit/>
        </w:trPr>
        <w:tc>
          <w:tcPr>
            <w:tcW w:w="10031" w:type="dxa"/>
            <w:gridSpan w:val="2"/>
          </w:tcPr>
          <w:p w14:paraId="580047E1" w14:textId="77777777" w:rsidR="00690C7B" w:rsidRDefault="00690C7B" w:rsidP="007523CE">
            <w:pPr>
              <w:pStyle w:val="Agendaitem"/>
            </w:pPr>
            <w:bookmarkStart w:id="4" w:name="dtitle3" w:colFirst="0" w:colLast="0"/>
            <w:bookmarkEnd w:id="3"/>
            <w:r w:rsidRPr="006D4724">
              <w:t>Point 7(A) de l'ordre du jour</w:t>
            </w:r>
          </w:p>
        </w:tc>
      </w:tr>
    </w:tbl>
    <w:bookmarkEnd w:id="4"/>
    <w:p w14:paraId="295075C9" w14:textId="3CDBC093" w:rsidR="001C0E40" w:rsidRPr="00404314" w:rsidRDefault="00FE1CA0" w:rsidP="007523CE">
      <w:r w:rsidRPr="009B46DD">
        <w:t>7</w:t>
      </w:r>
      <w:r w:rsidRPr="009B46DD">
        <w:tab/>
        <w:t xml:space="preserve">examiner d'éventuels changements à apporter, et d'autres options à mettre en </w:t>
      </w:r>
      <w:r w:rsidR="00006CB6" w:rsidRPr="009B46DD">
        <w:t>œuvre</w:t>
      </w:r>
      <w:r w:rsidRPr="009B46DD">
        <w:t>, en</w:t>
      </w:r>
      <w:r w:rsidR="00006CB6">
        <w:t> </w:t>
      </w:r>
      <w:r w:rsidRPr="009B46DD">
        <w:t xml:space="preserve">application de la Résolution 86 (Rév. Marrakech, 2002) de la Conférence de plénipotentiaires, intitulée </w:t>
      </w:r>
      <w:r w:rsidR="00DA2A2C">
        <w:t>«</w:t>
      </w:r>
      <w:r w:rsidRPr="009B46DD">
        <w:t>Procédures de publication anticipée, de coordination, de notification et d'inscription des assignations de fréquence relatives aux réseaux à satellite</w:t>
      </w:r>
      <w:r w:rsidR="00DA2A2C">
        <w:t>»</w:t>
      </w:r>
      <w:r w:rsidRPr="009B46DD">
        <w:t>, conformément à la</w:t>
      </w:r>
      <w:r w:rsidR="0084304B">
        <w:t> </w:t>
      </w:r>
      <w:r w:rsidRPr="009B46DD">
        <w:t>Résolution </w:t>
      </w:r>
      <w:r w:rsidRPr="009B46DD">
        <w:rPr>
          <w:b/>
          <w:bCs/>
        </w:rPr>
        <w:t>86</w:t>
      </w:r>
      <w:r w:rsidR="00006CB6">
        <w:rPr>
          <w:b/>
          <w:bCs/>
        </w:rPr>
        <w:t> </w:t>
      </w:r>
      <w:r w:rsidRPr="009B46DD">
        <w:rPr>
          <w:b/>
          <w:bCs/>
        </w:rPr>
        <w:t>(Rév.CMR-07)</w:t>
      </w:r>
      <w:r w:rsidRPr="009B46DD">
        <w:t>, afin de faciliter l'utilisation rationnelle, efficace et économique des fréquences</w:t>
      </w:r>
      <w:bookmarkStart w:id="5" w:name="_GoBack"/>
      <w:bookmarkEnd w:id="5"/>
      <w:r w:rsidRPr="009B46DD">
        <w:t xml:space="preserve"> radioélectriques et des orbites associées, y compris de l'orbite des satellites géostationnaires;</w:t>
      </w:r>
    </w:p>
    <w:p w14:paraId="0EC369D4" w14:textId="69F184BB" w:rsidR="001C0E40" w:rsidRPr="00404314" w:rsidRDefault="00FE1CA0" w:rsidP="007523CE">
      <w:r w:rsidRPr="009B46DD">
        <w:t>7</w:t>
      </w:r>
      <w:r>
        <w:t>(A)</w:t>
      </w:r>
      <w:r w:rsidRPr="009B46DD">
        <w:tab/>
      </w:r>
      <w:r w:rsidRPr="00666716">
        <w:t>Question A – Mise en service des assignations de fréquence à tous les systèmes non</w:t>
      </w:r>
      <w:r w:rsidR="00006CB6">
        <w:t> </w:t>
      </w:r>
      <w:r w:rsidRPr="00666716">
        <w:t>OSG et examen d'une méthode par étape pour le déploiement des systèmes non OSG de certains services dans certaines bandes de fréquences</w:t>
      </w:r>
      <w:r w:rsidR="0023654C">
        <w:t>.</w:t>
      </w:r>
    </w:p>
    <w:p w14:paraId="2098DD6C" w14:textId="77777777" w:rsidR="00DA2A2C" w:rsidRPr="00DD6164" w:rsidRDefault="00DA2A2C" w:rsidP="007523CE">
      <w:pPr>
        <w:pStyle w:val="Headingb"/>
        <w:rPr>
          <w:lang w:val="en-GB"/>
        </w:rPr>
      </w:pPr>
      <w:r w:rsidRPr="00DD6164">
        <w:rPr>
          <w:lang w:val="en-GB"/>
        </w:rPr>
        <w:t>Introduction</w:t>
      </w:r>
    </w:p>
    <w:p w14:paraId="237342CA" w14:textId="26A56D8C" w:rsidR="00DA2A2C" w:rsidRPr="00F17409" w:rsidRDefault="00F17409" w:rsidP="007523CE">
      <w:pPr>
        <w:rPr>
          <w:rStyle w:val="Strong"/>
          <w:b w:val="0"/>
          <w:bCs w:val="0"/>
          <w:lang w:val="fr-CH"/>
        </w:rPr>
      </w:pPr>
      <w:r w:rsidRPr="00F17409">
        <w:rPr>
          <w:lang w:val="fr-CH"/>
        </w:rPr>
        <w:t>Les Membres de l</w:t>
      </w:r>
      <w:r w:rsidR="00006CB6">
        <w:rPr>
          <w:lang w:val="fr-CH"/>
        </w:rPr>
        <w:t>'</w:t>
      </w:r>
      <w:r w:rsidR="00DA2A2C" w:rsidRPr="00F17409">
        <w:rPr>
          <w:lang w:val="fr-CH"/>
        </w:rPr>
        <w:t xml:space="preserve">APT </w:t>
      </w:r>
      <w:r w:rsidRPr="00F17409">
        <w:rPr>
          <w:lang w:val="fr-CH"/>
        </w:rPr>
        <w:t>souhaitent formuler les points de vue ci-après sur les principaux aspects de cette question:</w:t>
      </w:r>
    </w:p>
    <w:p w14:paraId="17D60EF6" w14:textId="649EAAF9" w:rsidR="00DA2A2C" w:rsidRPr="00F17409" w:rsidRDefault="00F17409" w:rsidP="007523CE">
      <w:pPr>
        <w:pStyle w:val="Headingb"/>
        <w:rPr>
          <w:lang w:val="fr-CH"/>
        </w:rPr>
      </w:pPr>
      <w:r w:rsidRPr="00F17409">
        <w:rPr>
          <w:lang w:val="fr-CH"/>
        </w:rPr>
        <w:t>Définition de la mise en service</w:t>
      </w:r>
      <w:r w:rsidR="00006CB6">
        <w:rPr>
          <w:lang w:val="fr-CH"/>
        </w:rPr>
        <w:t xml:space="preserve"> </w:t>
      </w:r>
    </w:p>
    <w:p w14:paraId="0A08A31A" w14:textId="1EC2E0F0" w:rsidR="00DA2A2C" w:rsidRPr="00F17409" w:rsidRDefault="00F17409" w:rsidP="007523CE">
      <w:pPr>
        <w:rPr>
          <w:lang w:val="fr-CH"/>
        </w:rPr>
      </w:pPr>
      <w:r w:rsidRPr="00F17409">
        <w:rPr>
          <w:lang w:val="fr-CH"/>
        </w:rPr>
        <w:t>Les Membres de l</w:t>
      </w:r>
      <w:r w:rsidR="00006CB6">
        <w:rPr>
          <w:lang w:val="fr-CH"/>
        </w:rPr>
        <w:t>'</w:t>
      </w:r>
      <w:r w:rsidRPr="00F17409">
        <w:rPr>
          <w:lang w:val="fr-CH"/>
        </w:rPr>
        <w:t>APT considèrent que la définition de la mise en service des assignations de fréquence</w:t>
      </w:r>
      <w:r w:rsidR="00006CB6">
        <w:rPr>
          <w:lang w:val="fr-CH"/>
        </w:rPr>
        <w:t xml:space="preserve"> </w:t>
      </w:r>
      <w:r w:rsidRPr="00F17409">
        <w:rPr>
          <w:lang w:val="fr-CH"/>
        </w:rPr>
        <w:t xml:space="preserve">des systèmes non OSG devrait être conforme </w:t>
      </w:r>
      <w:r>
        <w:rPr>
          <w:lang w:val="fr-CH"/>
        </w:rPr>
        <w:t>à la</w:t>
      </w:r>
      <w:r w:rsidRPr="00F17409">
        <w:rPr>
          <w:lang w:val="fr-CH"/>
        </w:rPr>
        <w:t xml:space="preserve"> pratique</w:t>
      </w:r>
      <w:r w:rsidR="00006CB6">
        <w:rPr>
          <w:lang w:val="fr-CH"/>
        </w:rPr>
        <w:t xml:space="preserve"> </w:t>
      </w:r>
      <w:r w:rsidRPr="00F17409">
        <w:rPr>
          <w:lang w:val="fr-CH"/>
        </w:rPr>
        <w:t>actuelle</w:t>
      </w:r>
      <w:r>
        <w:rPr>
          <w:lang w:val="fr-CH"/>
        </w:rPr>
        <w:t>, telle qu</w:t>
      </w:r>
      <w:r w:rsidR="00006CB6">
        <w:rPr>
          <w:lang w:val="fr-CH"/>
        </w:rPr>
        <w:t>'</w:t>
      </w:r>
      <w:r>
        <w:rPr>
          <w:lang w:val="fr-CH"/>
        </w:rPr>
        <w:t>elle est décrite dans les Règles de procédure, à savoir qu</w:t>
      </w:r>
      <w:r w:rsidR="00006CB6">
        <w:rPr>
          <w:lang w:val="fr-CH"/>
        </w:rPr>
        <w:t>'</w:t>
      </w:r>
      <w:r>
        <w:rPr>
          <w:lang w:val="fr-CH"/>
        </w:rPr>
        <w:t xml:space="preserve">il convient de maintenir une période continue </w:t>
      </w:r>
      <w:r w:rsidRPr="00006CB6">
        <w:t>de</w:t>
      </w:r>
      <w:r w:rsidR="00006CB6">
        <w:t> </w:t>
      </w:r>
      <w:r w:rsidRPr="00006CB6">
        <w:t>90</w:t>
      </w:r>
      <w:r>
        <w:rPr>
          <w:lang w:val="fr-CH"/>
        </w:rPr>
        <w:t xml:space="preserve"> jours pour les assignations de fréquence</w:t>
      </w:r>
      <w:r w:rsidR="00006CB6">
        <w:rPr>
          <w:lang w:val="fr-CH"/>
        </w:rPr>
        <w:t xml:space="preserve"> </w:t>
      </w:r>
      <w:r>
        <w:rPr>
          <w:lang w:val="fr-CH"/>
        </w:rPr>
        <w:t>du</w:t>
      </w:r>
      <w:r w:rsidRPr="00F17409">
        <w:rPr>
          <w:lang w:val="fr-CH"/>
        </w:rPr>
        <w:t xml:space="preserve"> </w:t>
      </w:r>
      <w:r>
        <w:rPr>
          <w:lang w:val="fr-CH"/>
        </w:rPr>
        <w:t>SFS</w:t>
      </w:r>
      <w:r w:rsidR="00DA2A2C" w:rsidRPr="00F17409">
        <w:rPr>
          <w:lang w:val="fr-CH"/>
        </w:rPr>
        <w:t>/</w:t>
      </w:r>
      <w:r>
        <w:rPr>
          <w:lang w:val="fr-CH"/>
        </w:rPr>
        <w:t>SMS</w:t>
      </w:r>
      <w:r w:rsidR="00DA2A2C" w:rsidRPr="00F17409">
        <w:rPr>
          <w:lang w:val="fr-CH"/>
        </w:rPr>
        <w:t>/</w:t>
      </w:r>
      <w:r>
        <w:rPr>
          <w:lang w:val="fr-CH"/>
        </w:rPr>
        <w:t>SRS</w:t>
      </w:r>
      <w:r w:rsidR="00093300">
        <w:rPr>
          <w:lang w:val="fr-CH"/>
        </w:rPr>
        <w:t xml:space="preserve"> et de ne prévoir aucune </w:t>
      </w:r>
      <w:r>
        <w:rPr>
          <w:lang w:val="fr-CH"/>
        </w:rPr>
        <w:t>période fixe pour les assignations de fréquence des services autres que le SFS</w:t>
      </w:r>
      <w:r w:rsidR="00DA2A2C" w:rsidRPr="00F17409">
        <w:rPr>
          <w:lang w:val="fr-CH"/>
        </w:rPr>
        <w:t>/</w:t>
      </w:r>
      <w:r>
        <w:rPr>
          <w:lang w:val="fr-CH"/>
        </w:rPr>
        <w:t>SMS</w:t>
      </w:r>
      <w:r w:rsidR="00DA2A2C" w:rsidRPr="00F17409">
        <w:rPr>
          <w:lang w:val="fr-CH"/>
        </w:rPr>
        <w:t>/</w:t>
      </w:r>
      <w:r>
        <w:rPr>
          <w:lang w:val="fr-CH"/>
        </w:rPr>
        <w:t>SRS</w:t>
      </w:r>
      <w:r w:rsidR="00DA2A2C" w:rsidRPr="00F17409">
        <w:rPr>
          <w:lang w:val="fr-CH"/>
        </w:rPr>
        <w:t>.</w:t>
      </w:r>
    </w:p>
    <w:p w14:paraId="79BF9A44" w14:textId="4C7BE31D" w:rsidR="003A583E" w:rsidRPr="00F17409" w:rsidRDefault="00F17409" w:rsidP="007523CE">
      <w:pPr>
        <w:rPr>
          <w:lang w:val="fr-CH"/>
        </w:rPr>
      </w:pPr>
      <w:r w:rsidRPr="00F17409">
        <w:rPr>
          <w:rFonts w:eastAsia="MS Mincho"/>
          <w:lang w:val="fr-CH" w:eastAsia="ja-JP"/>
        </w:rPr>
        <w:t>S</w:t>
      </w:r>
      <w:r w:rsidR="00006CB6">
        <w:rPr>
          <w:rFonts w:eastAsia="MS Mincho"/>
          <w:lang w:val="fr-CH" w:eastAsia="ja-JP"/>
        </w:rPr>
        <w:t>'</w:t>
      </w:r>
      <w:r w:rsidRPr="00F17409">
        <w:rPr>
          <w:rFonts w:eastAsia="MS Mincho"/>
          <w:lang w:val="fr-CH" w:eastAsia="ja-JP"/>
        </w:rPr>
        <w:t xml:space="preserve">agissant de la disposition réglementaire relative à la mise en service, </w:t>
      </w:r>
      <w:r w:rsidR="00093300">
        <w:rPr>
          <w:rFonts w:eastAsia="MS Mincho"/>
          <w:lang w:val="fr-CH" w:eastAsia="ja-JP"/>
        </w:rPr>
        <w:t xml:space="preserve">qui fait l'objet </w:t>
      </w:r>
      <w:r w:rsidR="00093300" w:rsidRPr="00006CB6">
        <w:rPr>
          <w:rFonts w:eastAsia="MS Mincho"/>
        </w:rPr>
        <w:t>du</w:t>
      </w:r>
      <w:r w:rsidR="00006CB6">
        <w:rPr>
          <w:rFonts w:eastAsia="MS Mincho"/>
        </w:rPr>
        <w:t> </w:t>
      </w:r>
      <w:r w:rsidRPr="00006CB6">
        <w:rPr>
          <w:rFonts w:eastAsia="MS Mincho"/>
        </w:rPr>
        <w:t>numéro</w:t>
      </w:r>
      <w:r w:rsidR="00006CB6">
        <w:rPr>
          <w:rFonts w:eastAsia="MS Mincho"/>
          <w:lang w:val="fr-CH" w:eastAsia="ja-JP"/>
        </w:rPr>
        <w:t> </w:t>
      </w:r>
      <w:r w:rsidRPr="00F17409">
        <w:rPr>
          <w:rFonts w:eastAsia="MS Mincho"/>
          <w:b/>
          <w:bCs/>
          <w:lang w:val="fr-CH" w:eastAsia="ja-JP"/>
          <w:rPrChange w:id="6" w:author="BR" w:date="2019-09-25T14:02:00Z">
            <w:rPr>
              <w:rFonts w:eastAsia="MS Mincho"/>
              <w:b/>
              <w:bCs/>
              <w:highlight w:val="cyan"/>
              <w:lang w:eastAsia="ja-JP"/>
            </w:rPr>
          </w:rPrChange>
        </w:rPr>
        <w:t>11.44C</w:t>
      </w:r>
      <w:r w:rsidR="00006CB6">
        <w:rPr>
          <w:rFonts w:eastAsia="MS Mincho"/>
          <w:lang w:val="fr-CH" w:eastAsia="ja-JP"/>
        </w:rPr>
        <w:t xml:space="preserve"> </w:t>
      </w:r>
      <w:r>
        <w:rPr>
          <w:rFonts w:eastAsia="MS Mincho"/>
          <w:lang w:val="fr-CH" w:eastAsia="ja-JP"/>
        </w:rPr>
        <w:t xml:space="preserve">du RR (plans orbitaux notifiés), </w:t>
      </w:r>
      <w:r w:rsidRPr="00F17409">
        <w:rPr>
          <w:rFonts w:eastAsia="MS Mincho"/>
          <w:lang w:val="fr-CH" w:eastAsia="ja-JP"/>
        </w:rPr>
        <w:t>les Membres de l</w:t>
      </w:r>
      <w:r w:rsidR="00006CB6">
        <w:rPr>
          <w:rFonts w:eastAsia="MS Mincho"/>
          <w:lang w:val="fr-CH" w:eastAsia="ja-JP"/>
        </w:rPr>
        <w:t>'</w:t>
      </w:r>
      <w:r w:rsidRPr="00F17409">
        <w:rPr>
          <w:rFonts w:eastAsia="MS Mincho"/>
          <w:lang w:val="fr-CH" w:eastAsia="ja-JP"/>
        </w:rPr>
        <w:t>APT</w:t>
      </w:r>
      <w:r>
        <w:rPr>
          <w:rFonts w:eastAsia="MS Mincho"/>
          <w:lang w:val="fr-CH" w:eastAsia="ja-JP"/>
        </w:rPr>
        <w:t xml:space="preserve"> pourraient appuyer l</w:t>
      </w:r>
      <w:r w:rsidR="00006CB6">
        <w:rPr>
          <w:rFonts w:eastAsia="MS Mincho"/>
          <w:lang w:val="fr-CH" w:eastAsia="ja-JP"/>
        </w:rPr>
        <w:t>'</w:t>
      </w:r>
      <w:r w:rsidR="00DA2A2C" w:rsidRPr="00F17409">
        <w:rPr>
          <w:rFonts w:eastAsia="MS Mincho"/>
          <w:lang w:val="fr-CH" w:eastAsia="ja-JP"/>
        </w:rPr>
        <w:t xml:space="preserve">Option 2, </w:t>
      </w:r>
      <w:r>
        <w:rPr>
          <w:rFonts w:eastAsia="MS Mincho"/>
          <w:lang w:val="fr-CH" w:eastAsia="ja-JP"/>
        </w:rPr>
        <w:t>telle que décrite</w:t>
      </w:r>
      <w:r w:rsidR="00006CB6">
        <w:rPr>
          <w:rFonts w:eastAsia="MS Mincho"/>
          <w:lang w:val="fr-CH" w:eastAsia="ja-JP"/>
        </w:rPr>
        <w:t xml:space="preserve"> </w:t>
      </w:r>
      <w:r>
        <w:rPr>
          <w:rFonts w:eastAsia="MS Mincho"/>
          <w:lang w:val="fr-CH" w:eastAsia="ja-JP"/>
        </w:rPr>
        <w:t xml:space="preserve">dans le rapport de la </w:t>
      </w:r>
      <w:r w:rsidRPr="00F17409">
        <w:rPr>
          <w:rFonts w:eastAsia="MS Mincho"/>
          <w:lang w:val="fr-CH" w:eastAsia="ja-JP"/>
        </w:rPr>
        <w:t>RPC</w:t>
      </w:r>
      <w:r w:rsidR="00DA2A2C" w:rsidRPr="00F17409">
        <w:rPr>
          <w:rFonts w:eastAsia="MS Mincho"/>
          <w:lang w:val="fr-CH" w:eastAsia="ja-JP"/>
        </w:rPr>
        <w:t>19-2</w:t>
      </w:r>
      <w:r>
        <w:rPr>
          <w:rFonts w:eastAsia="MS Mincho"/>
          <w:lang w:val="fr-CH" w:eastAsia="ja-JP"/>
        </w:rPr>
        <w:t>.</w:t>
      </w:r>
    </w:p>
    <w:p w14:paraId="468E2202" w14:textId="77777777" w:rsidR="0015203F" w:rsidRPr="00F17409" w:rsidRDefault="0015203F" w:rsidP="007523CE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  <w:rPr>
          <w:lang w:val="fr-CH"/>
        </w:rPr>
      </w:pPr>
      <w:r w:rsidRPr="00F17409">
        <w:rPr>
          <w:lang w:val="fr-CH"/>
        </w:rPr>
        <w:br w:type="page"/>
      </w:r>
    </w:p>
    <w:p w14:paraId="4BA203EB" w14:textId="44882D15" w:rsidR="00DA2A2C" w:rsidRDefault="00FE1CA0" w:rsidP="007523CE">
      <w:pPr>
        <w:pStyle w:val="Headingb"/>
        <w:spacing w:after="120"/>
        <w:rPr>
          <w:lang w:val="fr-CH" w:eastAsia="fr-CH"/>
        </w:rPr>
      </w:pPr>
      <w:r>
        <w:rPr>
          <w:lang w:val="fr-CH" w:eastAsia="fr-CH"/>
        </w:rPr>
        <w:lastRenderedPageBreak/>
        <w:t>M</w:t>
      </w:r>
      <w:r w:rsidRPr="00FE1CA0">
        <w:rPr>
          <w:lang w:val="fr-CH" w:eastAsia="fr-CH"/>
        </w:rPr>
        <w:t>éthode par étape</w:t>
      </w:r>
    </w:p>
    <w:p w14:paraId="37364B48" w14:textId="77777777" w:rsidR="00A15CFF" w:rsidRPr="00A15CFF" w:rsidRDefault="00A15CFF" w:rsidP="00A15CFF">
      <w:pPr>
        <w:rPr>
          <w:lang w:val="fr-CH" w:eastAsia="fr-CH"/>
        </w:rPr>
      </w:pPr>
    </w:p>
    <w:tbl>
      <w:tblPr>
        <w:tblW w:w="7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686"/>
        <w:gridCol w:w="2106"/>
      </w:tblGrid>
      <w:tr w:rsidR="00FE1CA0" w:rsidRPr="002A6E56" w14:paraId="6A801290" w14:textId="77777777" w:rsidTr="0084304B">
        <w:trPr>
          <w:jc w:val="center"/>
        </w:trPr>
        <w:tc>
          <w:tcPr>
            <w:tcW w:w="1669" w:type="dxa"/>
            <w:shd w:val="pct5" w:color="auto" w:fill="auto"/>
            <w:vAlign w:val="center"/>
          </w:tcPr>
          <w:p w14:paraId="3D3CAA54" w14:textId="6D1C6782" w:rsidR="00FE1CA0" w:rsidRPr="00FE1CA0" w:rsidRDefault="00A56321" w:rsidP="0084304B">
            <w:pPr>
              <w:pStyle w:val="Tablehead"/>
              <w:spacing w:before="240" w:after="60"/>
              <w:rPr>
                <w:lang w:val="en-GB" w:eastAsia="fr-CH"/>
              </w:rPr>
            </w:pPr>
            <w:proofErr w:type="spellStart"/>
            <w:r>
              <w:rPr>
                <w:lang w:val="en-GB" w:eastAsia="fr-CH"/>
              </w:rPr>
              <w:t>É</w:t>
            </w:r>
            <w:r w:rsidR="00FC092A">
              <w:rPr>
                <w:lang w:val="en-GB" w:eastAsia="fr-CH"/>
              </w:rPr>
              <w:t>tapes</w:t>
            </w:r>
            <w:proofErr w:type="spellEnd"/>
          </w:p>
        </w:tc>
        <w:tc>
          <w:tcPr>
            <w:tcW w:w="3686" w:type="dxa"/>
            <w:shd w:val="pct5" w:color="auto" w:fill="auto"/>
            <w:vAlign w:val="center"/>
          </w:tcPr>
          <w:p w14:paraId="561BD4BA" w14:textId="4486BB81" w:rsidR="00A56321" w:rsidRDefault="00A56321" w:rsidP="0084304B">
            <w:pPr>
              <w:pStyle w:val="Tablehead"/>
              <w:spacing w:before="240" w:after="60"/>
              <w:rPr>
                <w:lang w:val="fr-CH" w:eastAsia="fr-CH"/>
              </w:rPr>
            </w:pPr>
            <w:r>
              <w:rPr>
                <w:lang w:val="fr-CH" w:eastAsia="fr-CH"/>
              </w:rPr>
              <w:t>Échéances de l'étape</w:t>
            </w:r>
          </w:p>
          <w:p w14:paraId="6BA05B4F" w14:textId="78B11D7C" w:rsidR="00FE1CA0" w:rsidRPr="00FC092A" w:rsidRDefault="00FE1CA0" w:rsidP="0084304B">
            <w:pPr>
              <w:pStyle w:val="Tablehead"/>
              <w:spacing w:before="240" w:after="60"/>
              <w:rPr>
                <w:lang w:val="fr-CH" w:eastAsia="fr-CH"/>
              </w:rPr>
            </w:pPr>
            <w:r w:rsidRPr="00FC092A">
              <w:rPr>
                <w:lang w:val="fr-CH" w:eastAsia="fr-CH"/>
              </w:rPr>
              <w:t>(</w:t>
            </w:r>
            <w:r w:rsidR="002A6E56" w:rsidRPr="00FC092A">
              <w:rPr>
                <w:lang w:val="fr-CH" w:eastAsia="fr-CH"/>
              </w:rPr>
              <w:t>Nombre d'années écoulées après la fin du délai réglementaire de sept ans</w:t>
            </w:r>
            <w:r w:rsidR="00FC092A" w:rsidRPr="00FC092A">
              <w:rPr>
                <w:lang w:val="fr-CH" w:eastAsia="fr-CH"/>
              </w:rPr>
              <w:t xml:space="preserve"> ou après le 1er janvier 2021</w:t>
            </w:r>
            <w:r w:rsidR="00FC092A">
              <w:rPr>
                <w:lang w:val="fr-CH" w:eastAsia="fr-CH"/>
              </w:rPr>
              <w:t>,</w:t>
            </w:r>
            <w:r w:rsidRPr="00FC092A">
              <w:rPr>
                <w:lang w:val="fr-CH" w:eastAsia="fr-CH"/>
              </w:rPr>
              <w:t xml:space="preserve"> </w:t>
            </w:r>
            <w:r w:rsidR="002A6E56" w:rsidRPr="00FC092A">
              <w:rPr>
                <w:color w:val="000000"/>
                <w:lang w:val="fr-CH"/>
              </w:rPr>
              <w:t>la date</w:t>
            </w:r>
            <w:r w:rsidR="00A15CFF">
              <w:rPr>
                <w:color w:val="000000"/>
                <w:lang w:val="fr-CH"/>
              </w:rPr>
              <w:br/>
            </w:r>
            <w:r w:rsidR="002A6E56" w:rsidRPr="00FC092A">
              <w:rPr>
                <w:color w:val="000000"/>
                <w:lang w:val="fr-CH"/>
              </w:rPr>
              <w:t>la plus tardive étant retenue</w:t>
            </w:r>
            <w:r w:rsidRPr="00FC092A">
              <w:rPr>
                <w:lang w:val="fr-CH" w:eastAsia="fr-CH"/>
              </w:rPr>
              <w:t>)</w:t>
            </w:r>
          </w:p>
        </w:tc>
        <w:tc>
          <w:tcPr>
            <w:tcW w:w="2106" w:type="dxa"/>
            <w:shd w:val="pct5" w:color="auto" w:fill="auto"/>
            <w:vAlign w:val="center"/>
          </w:tcPr>
          <w:p w14:paraId="01DBDB7E" w14:textId="3F01A6A2" w:rsidR="00FE1CA0" w:rsidRPr="002A6E56" w:rsidRDefault="002A6E56" w:rsidP="0084304B">
            <w:pPr>
              <w:pStyle w:val="Tablehead"/>
              <w:spacing w:before="240" w:after="60"/>
              <w:rPr>
                <w:lang w:val="fr-CH" w:eastAsia="fr-CH"/>
              </w:rPr>
            </w:pPr>
            <w:r w:rsidRPr="002A6E56">
              <w:rPr>
                <w:lang w:val="fr-CH" w:eastAsia="fr-CH"/>
              </w:rPr>
              <w:t>Pourcentage minimal requis de satellites déployés pour respecter l'étape</w:t>
            </w:r>
          </w:p>
        </w:tc>
      </w:tr>
      <w:tr w:rsidR="00FE1CA0" w:rsidRPr="00FE1CA0" w14:paraId="6BB2184C" w14:textId="77777777" w:rsidTr="0023654C">
        <w:trPr>
          <w:trHeight w:val="75"/>
          <w:jc w:val="center"/>
        </w:trPr>
        <w:tc>
          <w:tcPr>
            <w:tcW w:w="1669" w:type="dxa"/>
          </w:tcPr>
          <w:p w14:paraId="4E551B72" w14:textId="333925F4" w:rsidR="00FE1CA0" w:rsidRPr="00FE1CA0" w:rsidRDefault="00FE1CA0" w:rsidP="007523CE">
            <w:pPr>
              <w:pStyle w:val="Tabletext"/>
              <w:rPr>
                <w:lang w:val="en-GB" w:eastAsia="fr-CH"/>
              </w:rPr>
            </w:pPr>
            <w:r w:rsidRPr="00FE1CA0">
              <w:rPr>
                <w:lang w:val="en-GB" w:eastAsia="fr-CH"/>
              </w:rPr>
              <w:t>1</w:t>
            </w:r>
            <w:r w:rsidR="00FC092A" w:rsidRPr="00A15CFF">
              <w:rPr>
                <w:lang w:val="en-GB" w:eastAsia="fr-CH"/>
              </w:rPr>
              <w:t>ère</w:t>
            </w:r>
          </w:p>
        </w:tc>
        <w:tc>
          <w:tcPr>
            <w:tcW w:w="3686" w:type="dxa"/>
          </w:tcPr>
          <w:p w14:paraId="320ABBEE" w14:textId="1C478A3A" w:rsidR="00FE1CA0" w:rsidRPr="00FE1CA0" w:rsidRDefault="00FE1CA0" w:rsidP="007523CE">
            <w:pPr>
              <w:pStyle w:val="Tabletext"/>
              <w:rPr>
                <w:lang w:val="en-GB" w:eastAsia="fr-CH"/>
              </w:rPr>
            </w:pPr>
            <w:r w:rsidRPr="00FE1CA0">
              <w:rPr>
                <w:lang w:val="en-GB" w:eastAsia="fr-CH"/>
              </w:rPr>
              <w:t xml:space="preserve">2 </w:t>
            </w:r>
            <w:r w:rsidR="00006CB6">
              <w:rPr>
                <w:lang w:val="en-GB" w:eastAsia="fr-CH"/>
              </w:rPr>
              <w:t>à</w:t>
            </w:r>
            <w:r w:rsidRPr="00FE1CA0">
              <w:rPr>
                <w:lang w:val="en-GB" w:eastAsia="fr-CH"/>
              </w:rPr>
              <w:t xml:space="preserve"> 3 </w:t>
            </w:r>
            <w:proofErr w:type="spellStart"/>
            <w:r w:rsidR="00FC092A">
              <w:rPr>
                <w:lang w:val="en-GB" w:eastAsia="fr-CH"/>
              </w:rPr>
              <w:t>ans</w:t>
            </w:r>
            <w:proofErr w:type="spellEnd"/>
          </w:p>
        </w:tc>
        <w:tc>
          <w:tcPr>
            <w:tcW w:w="2106" w:type="dxa"/>
          </w:tcPr>
          <w:p w14:paraId="60D8794B" w14:textId="77777777" w:rsidR="00FE1CA0" w:rsidRPr="00FE1CA0" w:rsidRDefault="00FE1CA0" w:rsidP="007523CE">
            <w:pPr>
              <w:pStyle w:val="Tabletext"/>
              <w:rPr>
                <w:lang w:val="en-GB" w:eastAsia="fr-CH"/>
              </w:rPr>
            </w:pPr>
            <w:r w:rsidRPr="00FE1CA0">
              <w:rPr>
                <w:lang w:val="en-GB" w:eastAsia="fr-CH"/>
              </w:rPr>
              <w:t>10%</w:t>
            </w:r>
          </w:p>
        </w:tc>
      </w:tr>
      <w:tr w:rsidR="00FE1CA0" w:rsidRPr="00FE1CA0" w14:paraId="73FC91B2" w14:textId="77777777" w:rsidTr="0023654C">
        <w:trPr>
          <w:trHeight w:val="75"/>
          <w:jc w:val="center"/>
        </w:trPr>
        <w:tc>
          <w:tcPr>
            <w:tcW w:w="1669" w:type="dxa"/>
          </w:tcPr>
          <w:p w14:paraId="2A5B0496" w14:textId="792C036A" w:rsidR="00FE1CA0" w:rsidRPr="00FE1CA0" w:rsidRDefault="00FE1CA0" w:rsidP="007523CE">
            <w:pPr>
              <w:pStyle w:val="Tabletext"/>
              <w:rPr>
                <w:lang w:val="en-GB" w:eastAsia="fr-CH"/>
              </w:rPr>
            </w:pPr>
            <w:r w:rsidRPr="00FE1CA0">
              <w:rPr>
                <w:lang w:val="en-GB" w:eastAsia="fr-CH"/>
              </w:rPr>
              <w:t>2</w:t>
            </w:r>
            <w:r w:rsidR="00FC092A" w:rsidRPr="00A15CFF">
              <w:rPr>
                <w:lang w:val="en-GB" w:eastAsia="fr-CH"/>
              </w:rPr>
              <w:t>ème</w:t>
            </w:r>
          </w:p>
        </w:tc>
        <w:tc>
          <w:tcPr>
            <w:tcW w:w="3686" w:type="dxa"/>
          </w:tcPr>
          <w:p w14:paraId="00CBB468" w14:textId="1DBD6D24" w:rsidR="00FE1CA0" w:rsidRPr="00FE1CA0" w:rsidRDefault="00FE1CA0" w:rsidP="007523CE">
            <w:pPr>
              <w:pStyle w:val="Tabletext"/>
              <w:rPr>
                <w:lang w:val="en-GB" w:eastAsia="fr-CH"/>
              </w:rPr>
            </w:pPr>
            <w:r w:rsidRPr="00FE1CA0">
              <w:rPr>
                <w:lang w:val="en-GB" w:eastAsia="fr-CH"/>
              </w:rPr>
              <w:t xml:space="preserve">4 </w:t>
            </w:r>
            <w:r w:rsidR="00006CB6">
              <w:rPr>
                <w:lang w:val="en-GB" w:eastAsia="fr-CH"/>
              </w:rPr>
              <w:t>à</w:t>
            </w:r>
            <w:r w:rsidRPr="00FE1CA0">
              <w:rPr>
                <w:lang w:val="en-GB" w:eastAsia="fr-CH"/>
              </w:rPr>
              <w:t xml:space="preserve"> 5 </w:t>
            </w:r>
            <w:proofErr w:type="spellStart"/>
            <w:r w:rsidR="00FC092A">
              <w:rPr>
                <w:lang w:val="en-GB" w:eastAsia="fr-CH"/>
              </w:rPr>
              <w:t>ans</w:t>
            </w:r>
            <w:proofErr w:type="spellEnd"/>
          </w:p>
        </w:tc>
        <w:tc>
          <w:tcPr>
            <w:tcW w:w="2106" w:type="dxa"/>
          </w:tcPr>
          <w:p w14:paraId="21D498F4" w14:textId="4D12703C" w:rsidR="00FE1CA0" w:rsidRPr="00FE1CA0" w:rsidRDefault="00FE1CA0" w:rsidP="007523CE">
            <w:pPr>
              <w:pStyle w:val="Tabletext"/>
              <w:rPr>
                <w:lang w:val="en-GB" w:eastAsia="fr-CH"/>
              </w:rPr>
            </w:pPr>
            <w:r w:rsidRPr="00FE1CA0">
              <w:rPr>
                <w:lang w:val="en-GB" w:eastAsia="fr-CH"/>
              </w:rPr>
              <w:t>30</w:t>
            </w:r>
            <w:r w:rsidR="00FC092A">
              <w:rPr>
                <w:lang w:val="en-GB" w:eastAsia="fr-CH"/>
              </w:rPr>
              <w:t xml:space="preserve"> à </w:t>
            </w:r>
            <w:r w:rsidRPr="00FE1CA0">
              <w:rPr>
                <w:lang w:val="en-GB" w:eastAsia="fr-CH"/>
              </w:rPr>
              <w:t>50%</w:t>
            </w:r>
          </w:p>
        </w:tc>
      </w:tr>
      <w:tr w:rsidR="00FE1CA0" w:rsidRPr="00FE1CA0" w14:paraId="307D4B88" w14:textId="77777777" w:rsidTr="0023654C">
        <w:trPr>
          <w:trHeight w:val="75"/>
          <w:jc w:val="center"/>
        </w:trPr>
        <w:tc>
          <w:tcPr>
            <w:tcW w:w="1669" w:type="dxa"/>
          </w:tcPr>
          <w:p w14:paraId="3B6E42D4" w14:textId="206DC287" w:rsidR="00FE1CA0" w:rsidRPr="00FE1CA0" w:rsidRDefault="00FE1CA0" w:rsidP="007523CE">
            <w:pPr>
              <w:pStyle w:val="Tabletext"/>
              <w:rPr>
                <w:lang w:val="en-GB" w:eastAsia="fr-CH"/>
              </w:rPr>
            </w:pPr>
            <w:r w:rsidRPr="00FE1CA0">
              <w:rPr>
                <w:lang w:val="en-GB" w:eastAsia="fr-CH"/>
              </w:rPr>
              <w:t>3</w:t>
            </w:r>
            <w:r w:rsidR="00FC092A" w:rsidRPr="00A15CFF">
              <w:rPr>
                <w:lang w:val="en-GB" w:eastAsia="fr-CH"/>
              </w:rPr>
              <w:t>ème</w:t>
            </w:r>
          </w:p>
        </w:tc>
        <w:tc>
          <w:tcPr>
            <w:tcW w:w="3686" w:type="dxa"/>
          </w:tcPr>
          <w:p w14:paraId="10068321" w14:textId="48C4DC8E" w:rsidR="00FE1CA0" w:rsidRPr="00FE1CA0" w:rsidRDefault="00FE1CA0" w:rsidP="007523CE">
            <w:pPr>
              <w:pStyle w:val="Tabletext"/>
              <w:rPr>
                <w:lang w:val="en-GB" w:eastAsia="fr-CH"/>
              </w:rPr>
            </w:pPr>
            <w:r w:rsidRPr="00FE1CA0">
              <w:rPr>
                <w:lang w:val="en-GB" w:eastAsia="fr-CH"/>
              </w:rPr>
              <w:t xml:space="preserve">7 </w:t>
            </w:r>
            <w:proofErr w:type="spellStart"/>
            <w:r w:rsidR="00FC092A">
              <w:rPr>
                <w:lang w:val="en-GB" w:eastAsia="fr-CH"/>
              </w:rPr>
              <w:t>ans</w:t>
            </w:r>
            <w:proofErr w:type="spellEnd"/>
          </w:p>
        </w:tc>
        <w:tc>
          <w:tcPr>
            <w:tcW w:w="2106" w:type="dxa"/>
          </w:tcPr>
          <w:p w14:paraId="64E140BC" w14:textId="4CBC3420" w:rsidR="00FE1CA0" w:rsidRPr="00FE1CA0" w:rsidRDefault="00FE1CA0" w:rsidP="007523CE">
            <w:pPr>
              <w:pStyle w:val="Tabletext"/>
              <w:rPr>
                <w:lang w:val="en-GB" w:eastAsia="fr-CH"/>
              </w:rPr>
            </w:pPr>
            <w:r w:rsidRPr="00FE1CA0">
              <w:rPr>
                <w:lang w:val="en-GB" w:eastAsia="fr-CH"/>
              </w:rPr>
              <w:t>90</w:t>
            </w:r>
            <w:r w:rsidR="00FC092A">
              <w:rPr>
                <w:lang w:val="en-GB" w:eastAsia="fr-CH"/>
              </w:rPr>
              <w:t xml:space="preserve"> à </w:t>
            </w:r>
            <w:r w:rsidRPr="00FE1CA0">
              <w:rPr>
                <w:lang w:val="en-GB" w:eastAsia="fr-CH"/>
              </w:rPr>
              <w:t>95% /100%</w:t>
            </w:r>
          </w:p>
        </w:tc>
      </w:tr>
    </w:tbl>
    <w:p w14:paraId="524B5CE8" w14:textId="2B7ADA75" w:rsidR="00093300" w:rsidRPr="00093300" w:rsidRDefault="00AD55D5" w:rsidP="007523CE">
      <w:pPr>
        <w:rPr>
          <w:i/>
          <w:iCs/>
          <w:lang w:val="en-US"/>
        </w:rPr>
      </w:pPr>
      <w:r w:rsidRPr="00925BFC">
        <w:rPr>
          <w:i/>
          <w:iCs/>
        </w:rPr>
        <w:t>Note:</w:t>
      </w:r>
    </w:p>
    <w:p w14:paraId="23E0361B" w14:textId="3207DF6E" w:rsidR="00AD55D5" w:rsidRPr="00FC092A" w:rsidRDefault="00093300" w:rsidP="007523CE">
      <w:pPr>
        <w:rPr>
          <w:lang w:val="fr-CH"/>
        </w:rPr>
      </w:pPr>
      <w:r>
        <w:rPr>
          <w:lang w:val="fr-CH"/>
        </w:rPr>
        <w:t>L</w:t>
      </w:r>
      <w:r w:rsidR="00FC092A" w:rsidRPr="00FC092A">
        <w:rPr>
          <w:lang w:val="fr-CH"/>
        </w:rPr>
        <w:t>orsqu</w:t>
      </w:r>
      <w:r w:rsidR="00006CB6">
        <w:rPr>
          <w:lang w:val="fr-CH"/>
        </w:rPr>
        <w:t>'</w:t>
      </w:r>
      <w:r w:rsidR="00FC092A" w:rsidRPr="00FC092A">
        <w:rPr>
          <w:lang w:val="fr-CH"/>
        </w:rPr>
        <w:t>elle examinera les diverses</w:t>
      </w:r>
      <w:r w:rsidR="00006CB6">
        <w:rPr>
          <w:lang w:val="fr-CH"/>
        </w:rPr>
        <w:t xml:space="preserve"> </w:t>
      </w:r>
      <w:r w:rsidR="00FC092A" w:rsidRPr="00FC092A">
        <w:rPr>
          <w:lang w:val="fr-CH"/>
        </w:rPr>
        <w:t>étapes et les facteurs</w:t>
      </w:r>
      <w:r w:rsidR="00006CB6">
        <w:rPr>
          <w:lang w:val="fr-CH"/>
        </w:rPr>
        <w:t xml:space="preserve"> </w:t>
      </w:r>
      <w:r w:rsidR="00FC092A" w:rsidRPr="00FC092A">
        <w:rPr>
          <w:lang w:val="fr-CH"/>
        </w:rPr>
        <w:t>de déploiement associés indiqués dans le</w:t>
      </w:r>
      <w:r w:rsidR="00A56321">
        <w:rPr>
          <w:lang w:val="fr-CH"/>
        </w:rPr>
        <w:t> </w:t>
      </w:r>
      <w:r w:rsidR="00FC092A" w:rsidRPr="00FC092A">
        <w:rPr>
          <w:lang w:val="fr-CH"/>
        </w:rPr>
        <w:t>tableau ci-dessus,</w:t>
      </w:r>
      <w:r w:rsidR="00AD55D5" w:rsidRPr="00FC092A">
        <w:rPr>
          <w:lang w:val="fr-CH"/>
        </w:rPr>
        <w:t xml:space="preserve"> </w:t>
      </w:r>
      <w:r>
        <w:rPr>
          <w:lang w:val="fr-CH"/>
        </w:rPr>
        <w:t>la</w:t>
      </w:r>
      <w:r w:rsidR="00FC092A" w:rsidRPr="00FC092A">
        <w:rPr>
          <w:lang w:val="fr-CH"/>
        </w:rPr>
        <w:t xml:space="preserve"> </w:t>
      </w:r>
      <w:r w:rsidRPr="00FC092A">
        <w:rPr>
          <w:lang w:val="fr-CH"/>
        </w:rPr>
        <w:t>CMR-19</w:t>
      </w:r>
      <w:r>
        <w:rPr>
          <w:lang w:val="fr-CH"/>
        </w:rPr>
        <w:t xml:space="preserve"> pourra </w:t>
      </w:r>
      <w:r w:rsidR="00FC092A" w:rsidRPr="00FC092A">
        <w:rPr>
          <w:lang w:val="fr-CH"/>
        </w:rPr>
        <w:t xml:space="preserve">envisager </w:t>
      </w:r>
      <w:r>
        <w:rPr>
          <w:lang w:val="fr-CH"/>
        </w:rPr>
        <w:t>d'accorder</w:t>
      </w:r>
      <w:r w:rsidR="00FC092A" w:rsidRPr="00FC092A">
        <w:rPr>
          <w:lang w:val="fr-CH"/>
        </w:rPr>
        <w:t xml:space="preserve"> une certaine souplesse </w:t>
      </w:r>
      <w:r>
        <w:rPr>
          <w:lang w:val="fr-CH"/>
        </w:rPr>
        <w:t xml:space="preserve">aux </w:t>
      </w:r>
      <w:r w:rsidR="00FC092A" w:rsidRPr="00FC092A">
        <w:rPr>
          <w:lang w:val="fr-CH"/>
        </w:rPr>
        <w:t>opérateurs satellites non OSG</w:t>
      </w:r>
      <w:r>
        <w:rPr>
          <w:lang w:val="fr-CH"/>
        </w:rPr>
        <w:t xml:space="preserve"> qui n'auraient pas </w:t>
      </w:r>
      <w:r w:rsidR="00FC092A">
        <w:rPr>
          <w:lang w:val="fr-CH"/>
        </w:rPr>
        <w:t>respect</w:t>
      </w:r>
      <w:r>
        <w:rPr>
          <w:lang w:val="fr-CH"/>
        </w:rPr>
        <w:t xml:space="preserve">é </w:t>
      </w:r>
      <w:r w:rsidR="00FC092A" w:rsidRPr="00FC092A">
        <w:rPr>
          <w:lang w:val="fr-CH"/>
        </w:rPr>
        <w:t xml:space="preserve">le critère </w:t>
      </w:r>
      <w:r w:rsidR="00FC092A">
        <w:rPr>
          <w:lang w:val="fr-CH"/>
        </w:rPr>
        <w:t>du</w:t>
      </w:r>
      <w:r w:rsidR="00FC092A" w:rsidRPr="00FC092A">
        <w:rPr>
          <w:lang w:val="fr-CH"/>
        </w:rPr>
        <w:t xml:space="preserve"> pourcentage</w:t>
      </w:r>
      <w:r w:rsidR="00AD55D5" w:rsidRPr="00FC092A">
        <w:rPr>
          <w:lang w:val="fr-CH"/>
        </w:rPr>
        <w:t xml:space="preserve"> </w:t>
      </w:r>
      <w:r w:rsidR="00FC092A">
        <w:rPr>
          <w:lang w:val="fr-CH"/>
        </w:rPr>
        <w:t xml:space="preserve">correspondant à la </w:t>
      </w:r>
      <w:r w:rsidR="00FC092A" w:rsidRPr="00FC092A">
        <w:rPr>
          <w:lang w:val="fr-CH" w:eastAsia="fr-CH"/>
        </w:rPr>
        <w:t>1</w:t>
      </w:r>
      <w:r w:rsidR="00FC092A" w:rsidRPr="00A15CFF">
        <w:rPr>
          <w:lang w:val="fr-CH" w:eastAsia="fr-CH"/>
        </w:rPr>
        <w:t>ère</w:t>
      </w:r>
      <w:r w:rsidR="00FC092A">
        <w:rPr>
          <w:lang w:val="fr-CH"/>
        </w:rPr>
        <w:t xml:space="preserve"> ou à</w:t>
      </w:r>
      <w:r w:rsidR="00A15CFF">
        <w:rPr>
          <w:lang w:val="fr-CH"/>
        </w:rPr>
        <w:t xml:space="preserve"> </w:t>
      </w:r>
      <w:r w:rsidR="00FC092A">
        <w:rPr>
          <w:lang w:val="fr-CH"/>
        </w:rPr>
        <w:t xml:space="preserve">la </w:t>
      </w:r>
      <w:r w:rsidR="00FC092A" w:rsidRPr="00FC092A">
        <w:rPr>
          <w:lang w:val="fr-CH" w:eastAsia="fr-CH"/>
        </w:rPr>
        <w:t>2</w:t>
      </w:r>
      <w:r w:rsidR="00FC092A" w:rsidRPr="00A15CFF">
        <w:rPr>
          <w:lang w:val="fr-CH" w:eastAsia="fr-CH"/>
        </w:rPr>
        <w:t>ème</w:t>
      </w:r>
      <w:r w:rsidR="00FC092A">
        <w:rPr>
          <w:lang w:val="fr-CH"/>
        </w:rPr>
        <w:t xml:space="preserve"> étape ci-dessus, </w:t>
      </w:r>
      <w:r>
        <w:rPr>
          <w:lang w:val="fr-CH"/>
        </w:rPr>
        <w:t>afin qu'ils puissent se conformer à</w:t>
      </w:r>
      <w:r w:rsidR="00FC092A">
        <w:rPr>
          <w:lang w:val="fr-CH"/>
        </w:rPr>
        <w:t xml:space="preserve"> ces critères lors de l</w:t>
      </w:r>
      <w:r w:rsidR="00006CB6">
        <w:rPr>
          <w:lang w:val="fr-CH"/>
        </w:rPr>
        <w:t>'</w:t>
      </w:r>
      <w:r w:rsidR="00FC092A">
        <w:rPr>
          <w:lang w:val="fr-CH"/>
        </w:rPr>
        <w:t>étape suivante.</w:t>
      </w:r>
    </w:p>
    <w:p w14:paraId="6B886DD7" w14:textId="1BA38267" w:rsidR="00AD55D5" w:rsidRPr="00DD6164" w:rsidRDefault="00DB76F5" w:rsidP="007523CE">
      <w:pPr>
        <w:pStyle w:val="Headingb"/>
        <w:rPr>
          <w:lang w:val="en-GB"/>
        </w:rPr>
      </w:pPr>
      <w:proofErr w:type="spellStart"/>
      <w:r>
        <w:rPr>
          <w:lang w:val="en-GB"/>
        </w:rPr>
        <w:t>Mesures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transitoires</w:t>
      </w:r>
      <w:proofErr w:type="spellEnd"/>
      <w:r w:rsidR="00006CB6">
        <w:rPr>
          <w:lang w:val="en-GB"/>
        </w:rPr>
        <w:t xml:space="preserve"> </w:t>
      </w:r>
    </w:p>
    <w:p w14:paraId="728F53B1" w14:textId="74384D59" w:rsidR="00FE1CA0" w:rsidRPr="00DB76F5" w:rsidRDefault="00DB76F5" w:rsidP="007523CE">
      <w:pPr>
        <w:rPr>
          <w:lang w:val="fr-CH"/>
        </w:rPr>
      </w:pPr>
      <w:r w:rsidRPr="00DB76F5">
        <w:rPr>
          <w:lang w:val="fr-CH"/>
        </w:rPr>
        <w:t>L</w:t>
      </w:r>
      <w:r w:rsidR="00F17409" w:rsidRPr="00DB76F5">
        <w:rPr>
          <w:lang w:val="fr-CH"/>
        </w:rPr>
        <w:t>es Membres de l</w:t>
      </w:r>
      <w:r w:rsidR="00006CB6">
        <w:rPr>
          <w:lang w:val="fr-CH"/>
        </w:rPr>
        <w:t>'</w:t>
      </w:r>
      <w:r w:rsidR="00F17409" w:rsidRPr="00DB76F5">
        <w:rPr>
          <w:lang w:val="fr-CH"/>
        </w:rPr>
        <w:t>APT</w:t>
      </w:r>
      <w:r w:rsidRPr="00DB76F5">
        <w:rPr>
          <w:lang w:val="fr-CH"/>
        </w:rPr>
        <w:t xml:space="preserve"> pourraient souscrire à l</w:t>
      </w:r>
      <w:r w:rsidR="00006CB6">
        <w:rPr>
          <w:lang w:val="fr-CH"/>
        </w:rPr>
        <w:t>'</w:t>
      </w:r>
      <w:r w:rsidR="00AD55D5" w:rsidRPr="00DB76F5">
        <w:rPr>
          <w:lang w:val="fr-CH"/>
        </w:rPr>
        <w:t>Option 1</w:t>
      </w:r>
      <w:r w:rsidR="00472DBC" w:rsidRPr="00472DBC">
        <w:rPr>
          <w:color w:val="000000"/>
        </w:rPr>
        <w:t xml:space="preserve"> </w:t>
      </w:r>
      <w:r w:rsidR="00472DBC">
        <w:rPr>
          <w:color w:val="000000"/>
        </w:rPr>
        <w:t>à ce stade</w:t>
      </w:r>
      <w:r w:rsidR="00AD55D5" w:rsidRPr="00DB76F5">
        <w:rPr>
          <w:lang w:val="fr-CH"/>
        </w:rPr>
        <w:t xml:space="preserve">, </w:t>
      </w:r>
      <w:r w:rsidRPr="00DB76F5">
        <w:rPr>
          <w:lang w:val="fr-CH"/>
        </w:rPr>
        <w:t xml:space="preserve">la date de début </w:t>
      </w:r>
      <w:r>
        <w:rPr>
          <w:color w:val="000000"/>
        </w:rPr>
        <w:t>du processus par étape étant fixée au 1</w:t>
      </w:r>
      <w:r w:rsidRPr="004C1AAE">
        <w:rPr>
          <w:color w:val="000000"/>
        </w:rPr>
        <w:t>er</w:t>
      </w:r>
      <w:r>
        <w:rPr>
          <w:color w:val="000000"/>
        </w:rPr>
        <w:t xml:space="preserve"> janvier 2021</w:t>
      </w:r>
      <w:r w:rsidR="00472DBC">
        <w:rPr>
          <w:color w:val="000000"/>
        </w:rPr>
        <w:t>.</w:t>
      </w:r>
    </w:p>
    <w:p w14:paraId="31F8BDAD" w14:textId="2E82BB19" w:rsidR="00AD55D5" w:rsidRDefault="00AD55D5" w:rsidP="007523CE">
      <w:pPr>
        <w:pStyle w:val="Headingb"/>
        <w:rPr>
          <w:lang w:val="fr-CH" w:eastAsia="fr-CH"/>
        </w:rPr>
      </w:pPr>
      <w:r w:rsidRPr="00AD55D5">
        <w:rPr>
          <w:lang w:val="fr-CH" w:eastAsia="fr-CH"/>
        </w:rPr>
        <w:t>Bandes de fréquences et services pour l'application de la méthode par étape</w:t>
      </w:r>
    </w:p>
    <w:p w14:paraId="70CF44B1" w14:textId="3D627AFB" w:rsidR="00AD55D5" w:rsidRPr="00472DBC" w:rsidRDefault="00093300" w:rsidP="007523CE">
      <w:pPr>
        <w:rPr>
          <w:lang w:val="fr-CH"/>
        </w:rPr>
      </w:pPr>
      <w:r>
        <w:rPr>
          <w:lang w:val="fr-CH"/>
        </w:rPr>
        <w:t>L</w:t>
      </w:r>
      <w:r w:rsidR="00F17409" w:rsidRPr="00472DBC">
        <w:rPr>
          <w:lang w:val="fr-CH"/>
        </w:rPr>
        <w:t>es Membres de l</w:t>
      </w:r>
      <w:r w:rsidR="00006CB6">
        <w:rPr>
          <w:lang w:val="fr-CH"/>
        </w:rPr>
        <w:t>'</w:t>
      </w:r>
      <w:r w:rsidR="00F17409" w:rsidRPr="00472DBC">
        <w:rPr>
          <w:lang w:val="fr-CH"/>
        </w:rPr>
        <w:t xml:space="preserve">APT </w:t>
      </w:r>
      <w:r w:rsidR="00472DBC" w:rsidRPr="00472DBC">
        <w:rPr>
          <w:lang w:val="fr-CH"/>
        </w:rPr>
        <w:t>sont favorables à l</w:t>
      </w:r>
      <w:r w:rsidR="00006CB6">
        <w:rPr>
          <w:lang w:val="fr-CH"/>
        </w:rPr>
        <w:t>'</w:t>
      </w:r>
      <w:r w:rsidR="00472DBC" w:rsidRPr="00472DBC">
        <w:rPr>
          <w:lang w:val="fr-CH"/>
        </w:rPr>
        <w:t xml:space="preserve">application de la méthode par étape </w:t>
      </w:r>
      <w:r>
        <w:rPr>
          <w:lang w:val="fr-CH"/>
        </w:rPr>
        <w:t>aux</w:t>
      </w:r>
      <w:r w:rsidR="00472DBC" w:rsidRPr="00472DBC">
        <w:rPr>
          <w:lang w:val="fr-CH"/>
        </w:rPr>
        <w:t xml:space="preserve"> systèmes non</w:t>
      </w:r>
      <w:r w:rsidR="00A56321">
        <w:rPr>
          <w:lang w:val="fr-CH"/>
        </w:rPr>
        <w:t> </w:t>
      </w:r>
      <w:r w:rsidR="00472DBC" w:rsidRPr="00472DBC">
        <w:rPr>
          <w:lang w:val="fr-CH"/>
        </w:rPr>
        <w:t>OSG fonctionnant dans le</w:t>
      </w:r>
      <w:r w:rsidR="00006CB6">
        <w:rPr>
          <w:lang w:val="fr-CH"/>
        </w:rPr>
        <w:t xml:space="preserve"> </w:t>
      </w:r>
      <w:r w:rsidR="00F17409" w:rsidRPr="00472DBC">
        <w:rPr>
          <w:lang w:val="fr-CH"/>
        </w:rPr>
        <w:t>SFS</w:t>
      </w:r>
      <w:r w:rsidR="00AD55D5" w:rsidRPr="00472DBC">
        <w:rPr>
          <w:lang w:val="fr-CH"/>
        </w:rPr>
        <w:t xml:space="preserve">, </w:t>
      </w:r>
      <w:r w:rsidR="00472DBC">
        <w:rPr>
          <w:lang w:val="fr-CH"/>
        </w:rPr>
        <w:t xml:space="preserve">le </w:t>
      </w:r>
      <w:r w:rsidR="00F17409" w:rsidRPr="00472DBC">
        <w:rPr>
          <w:lang w:val="fr-CH"/>
        </w:rPr>
        <w:t>SRS</w:t>
      </w:r>
      <w:r w:rsidR="00006CB6">
        <w:rPr>
          <w:lang w:val="fr-CH"/>
        </w:rPr>
        <w:t xml:space="preserve"> </w:t>
      </w:r>
      <w:r w:rsidR="00472DBC">
        <w:rPr>
          <w:lang w:val="fr-CH"/>
        </w:rPr>
        <w:t>et le</w:t>
      </w:r>
      <w:r w:rsidR="00AD55D5" w:rsidRPr="00472DBC">
        <w:rPr>
          <w:lang w:val="fr-CH"/>
        </w:rPr>
        <w:t xml:space="preserve"> </w:t>
      </w:r>
      <w:r w:rsidR="00F17409" w:rsidRPr="00472DBC">
        <w:rPr>
          <w:lang w:val="fr-CH"/>
        </w:rPr>
        <w:t>SMS</w:t>
      </w:r>
      <w:r w:rsidR="00AD55D5" w:rsidRPr="00472DBC">
        <w:rPr>
          <w:lang w:val="fr-CH"/>
        </w:rPr>
        <w:t xml:space="preserve">, </w:t>
      </w:r>
      <w:r w:rsidR="00472DBC">
        <w:rPr>
          <w:lang w:val="fr-CH"/>
        </w:rPr>
        <w:t xml:space="preserve">mais non </w:t>
      </w:r>
      <w:r>
        <w:rPr>
          <w:lang w:val="fr-CH"/>
        </w:rPr>
        <w:t>à</w:t>
      </w:r>
      <w:r w:rsidR="00472DBC">
        <w:rPr>
          <w:lang w:val="fr-CH"/>
        </w:rPr>
        <w:t xml:space="preserve"> ceux fonctionnant dans le SRNS.</w:t>
      </w:r>
    </w:p>
    <w:p w14:paraId="5A8B3EEC" w14:textId="7026F5BB" w:rsidR="00AD55D5" w:rsidRPr="00472DBC" w:rsidRDefault="00093300" w:rsidP="007523CE">
      <w:pPr>
        <w:rPr>
          <w:lang w:val="fr-CH" w:eastAsia="ja-JP"/>
        </w:rPr>
      </w:pPr>
      <w:r>
        <w:rPr>
          <w:lang w:val="fr-CH" w:eastAsia="ja-JP"/>
        </w:rPr>
        <w:t>L</w:t>
      </w:r>
      <w:r w:rsidR="00F17409" w:rsidRPr="00472DBC">
        <w:rPr>
          <w:lang w:val="fr-CH" w:eastAsia="ja-JP"/>
        </w:rPr>
        <w:t>es Membres de l</w:t>
      </w:r>
      <w:r w:rsidR="00006CB6">
        <w:rPr>
          <w:lang w:val="fr-CH" w:eastAsia="ja-JP"/>
        </w:rPr>
        <w:t>'</w:t>
      </w:r>
      <w:r w:rsidR="00F17409" w:rsidRPr="00472DBC">
        <w:rPr>
          <w:lang w:val="fr-CH" w:eastAsia="ja-JP"/>
        </w:rPr>
        <w:t xml:space="preserve">APT </w:t>
      </w:r>
      <w:r w:rsidR="00472DBC" w:rsidRPr="00472DBC">
        <w:rPr>
          <w:lang w:val="fr-CH" w:eastAsia="ja-JP"/>
        </w:rPr>
        <w:t>ne sont pas opposés, à ce stade, à l</w:t>
      </w:r>
      <w:r w:rsidR="00006CB6">
        <w:rPr>
          <w:lang w:val="fr-CH" w:eastAsia="ja-JP"/>
        </w:rPr>
        <w:t>'</w:t>
      </w:r>
      <w:r w:rsidR="00472DBC" w:rsidRPr="00472DBC">
        <w:rPr>
          <w:lang w:val="fr-CH" w:eastAsia="ja-JP"/>
        </w:rPr>
        <w:t>application de cette méthode aux bandes</w:t>
      </w:r>
      <w:r w:rsidR="00A56321">
        <w:rPr>
          <w:lang w:val="fr-CH" w:eastAsia="ja-JP"/>
        </w:rPr>
        <w:t> </w:t>
      </w:r>
      <w:r w:rsidR="00472DBC" w:rsidRPr="00472DBC">
        <w:rPr>
          <w:lang w:val="fr-CH" w:eastAsia="ja-JP"/>
        </w:rPr>
        <w:t>de fréquences ci-après attribuées aux SMS, pour lesquel</w:t>
      </w:r>
      <w:r w:rsidR="00472DBC">
        <w:rPr>
          <w:lang w:val="fr-CH" w:eastAsia="ja-JP"/>
        </w:rPr>
        <w:t>le</w:t>
      </w:r>
      <w:r w:rsidR="00472DBC" w:rsidRPr="00472DBC">
        <w:rPr>
          <w:lang w:val="fr-CH" w:eastAsia="ja-JP"/>
        </w:rPr>
        <w:t>s aucun consensus ne s</w:t>
      </w:r>
      <w:r w:rsidR="00006CB6">
        <w:rPr>
          <w:lang w:val="fr-CH" w:eastAsia="ja-JP"/>
        </w:rPr>
        <w:t>'</w:t>
      </w:r>
      <w:r w:rsidR="00472DBC" w:rsidRPr="00472DBC">
        <w:rPr>
          <w:lang w:val="fr-CH" w:eastAsia="ja-JP"/>
        </w:rPr>
        <w:t>est dégagé et qui</w:t>
      </w:r>
      <w:r w:rsidR="00472DBC">
        <w:rPr>
          <w:lang w:val="fr-CH" w:eastAsia="ja-JP"/>
        </w:rPr>
        <w:t xml:space="preserve"> sont indiquées </w:t>
      </w:r>
      <w:r w:rsidR="00472DBC" w:rsidRPr="00472DBC">
        <w:rPr>
          <w:lang w:val="fr-CH" w:eastAsia="ja-JP"/>
        </w:rPr>
        <w:t xml:space="preserve">dans le </w:t>
      </w:r>
      <w:r w:rsidR="004C1AAE" w:rsidRPr="00472DBC">
        <w:rPr>
          <w:lang w:val="fr-CH" w:eastAsia="ja-JP"/>
        </w:rPr>
        <w:t xml:space="preserve">Rapport </w:t>
      </w:r>
      <w:r w:rsidR="00472DBC" w:rsidRPr="00472DBC">
        <w:rPr>
          <w:lang w:val="fr-CH" w:eastAsia="ja-JP"/>
        </w:rPr>
        <w:t>de la RPC</w:t>
      </w:r>
      <w:r w:rsidR="00AD55D5" w:rsidRPr="00472DBC">
        <w:rPr>
          <w:lang w:val="fr-CH" w:eastAsia="ja-JP"/>
        </w:rPr>
        <w:t>: 137-137</w:t>
      </w:r>
      <w:r w:rsidR="00A56321">
        <w:rPr>
          <w:lang w:val="fr-CH" w:eastAsia="ja-JP"/>
        </w:rPr>
        <w:t>,</w:t>
      </w:r>
      <w:r w:rsidR="00AD55D5" w:rsidRPr="00472DBC">
        <w:rPr>
          <w:lang w:val="fr-CH" w:eastAsia="ja-JP"/>
        </w:rPr>
        <w:t>025 MHz, 137</w:t>
      </w:r>
      <w:r w:rsidR="00A56321">
        <w:rPr>
          <w:lang w:val="fr-CH" w:eastAsia="ja-JP"/>
        </w:rPr>
        <w:t>,</w:t>
      </w:r>
      <w:r w:rsidR="00AD55D5" w:rsidRPr="00472DBC">
        <w:rPr>
          <w:lang w:val="fr-CH" w:eastAsia="ja-JP"/>
        </w:rPr>
        <w:t>025-137</w:t>
      </w:r>
      <w:r w:rsidR="00A56321">
        <w:rPr>
          <w:lang w:val="fr-CH" w:eastAsia="ja-JP"/>
        </w:rPr>
        <w:t>,</w:t>
      </w:r>
      <w:r w:rsidR="00AD55D5" w:rsidRPr="00472DBC">
        <w:rPr>
          <w:lang w:val="fr-CH" w:eastAsia="ja-JP"/>
        </w:rPr>
        <w:t>175 MHz, 137</w:t>
      </w:r>
      <w:r w:rsidR="00A56321">
        <w:rPr>
          <w:lang w:val="fr-CH" w:eastAsia="ja-JP"/>
        </w:rPr>
        <w:t>,</w:t>
      </w:r>
      <w:r w:rsidR="00AD55D5" w:rsidRPr="00472DBC">
        <w:rPr>
          <w:lang w:val="fr-CH" w:eastAsia="ja-JP"/>
        </w:rPr>
        <w:t>175-137</w:t>
      </w:r>
      <w:r w:rsidR="00A56321">
        <w:rPr>
          <w:lang w:val="fr-CH" w:eastAsia="ja-JP"/>
        </w:rPr>
        <w:t>,</w:t>
      </w:r>
      <w:r w:rsidR="00AD55D5" w:rsidRPr="00472DBC">
        <w:rPr>
          <w:lang w:val="fr-CH" w:eastAsia="ja-JP"/>
        </w:rPr>
        <w:t>825 MHz, 137</w:t>
      </w:r>
      <w:r w:rsidR="00A56321">
        <w:rPr>
          <w:lang w:val="fr-CH" w:eastAsia="ja-JP"/>
        </w:rPr>
        <w:t>,</w:t>
      </w:r>
      <w:r w:rsidR="00AD55D5" w:rsidRPr="00472DBC">
        <w:rPr>
          <w:lang w:val="fr-CH" w:eastAsia="ja-JP"/>
        </w:rPr>
        <w:t>825-138 MHz, 148-149</w:t>
      </w:r>
      <w:r w:rsidR="00A56321">
        <w:rPr>
          <w:lang w:val="fr-CH" w:eastAsia="ja-JP"/>
        </w:rPr>
        <w:t>,</w:t>
      </w:r>
      <w:r w:rsidR="00AD55D5" w:rsidRPr="00472DBC">
        <w:rPr>
          <w:lang w:val="fr-CH" w:eastAsia="ja-JP"/>
        </w:rPr>
        <w:t>9 MHz, 149</w:t>
      </w:r>
      <w:r w:rsidR="00A56321">
        <w:rPr>
          <w:lang w:val="fr-CH" w:eastAsia="ja-JP"/>
        </w:rPr>
        <w:t>,</w:t>
      </w:r>
      <w:r w:rsidR="00AD55D5" w:rsidRPr="00472DBC">
        <w:rPr>
          <w:lang w:val="fr-CH" w:eastAsia="ja-JP"/>
        </w:rPr>
        <w:t>9</w:t>
      </w:r>
      <w:r w:rsidR="006B1258" w:rsidRPr="00472DBC">
        <w:rPr>
          <w:lang w:val="fr-CH" w:eastAsia="ja-JP"/>
        </w:rPr>
        <w:noBreakHyphen/>
      </w:r>
      <w:r w:rsidR="00AD55D5" w:rsidRPr="00472DBC">
        <w:rPr>
          <w:lang w:val="fr-CH" w:eastAsia="ja-JP"/>
        </w:rPr>
        <w:t>150</w:t>
      </w:r>
      <w:r w:rsidR="00A56321">
        <w:rPr>
          <w:lang w:val="fr-CH" w:eastAsia="ja-JP"/>
        </w:rPr>
        <w:t>,</w:t>
      </w:r>
      <w:r w:rsidR="00AD55D5" w:rsidRPr="00472DBC">
        <w:rPr>
          <w:lang w:val="fr-CH" w:eastAsia="ja-JP"/>
        </w:rPr>
        <w:t>05 MHz (</w:t>
      </w:r>
      <w:r w:rsidR="00472DBC">
        <w:rPr>
          <w:lang w:val="fr-CH" w:eastAsia="ja-JP"/>
        </w:rPr>
        <w:t>il semble que la</w:t>
      </w:r>
      <w:r w:rsidR="00595DE3">
        <w:rPr>
          <w:lang w:val="fr-CH" w:eastAsia="ja-JP"/>
        </w:rPr>
        <w:t> </w:t>
      </w:r>
      <w:r w:rsidR="00472DBC">
        <w:rPr>
          <w:lang w:val="fr-CH" w:eastAsia="ja-JP"/>
        </w:rPr>
        <w:t xml:space="preserve">bande </w:t>
      </w:r>
      <w:r w:rsidR="00472DBC" w:rsidRPr="00472DBC">
        <w:rPr>
          <w:lang w:val="fr-CH" w:eastAsia="ja-JP"/>
        </w:rPr>
        <w:t>137-138 MHz</w:t>
      </w:r>
      <w:r w:rsidR="00585882" w:rsidRPr="00585882">
        <w:rPr>
          <w:lang w:val="fr-CH" w:eastAsia="ja-JP"/>
        </w:rPr>
        <w:t xml:space="preserve"> </w:t>
      </w:r>
      <w:r w:rsidR="00585882">
        <w:rPr>
          <w:lang w:val="fr-CH" w:eastAsia="ja-JP"/>
        </w:rPr>
        <w:t>ait été indiquée par erreur, dans le rapport de la RPC, au lieu de la bande</w:t>
      </w:r>
      <w:r w:rsidR="00472DBC" w:rsidRPr="00472DBC">
        <w:rPr>
          <w:lang w:val="fr-CH" w:eastAsia="ja-JP"/>
        </w:rPr>
        <w:t xml:space="preserve"> </w:t>
      </w:r>
      <w:r w:rsidR="00AD55D5" w:rsidRPr="00472DBC">
        <w:rPr>
          <w:lang w:val="fr-CH" w:eastAsia="ja-JP"/>
        </w:rPr>
        <w:t>149</w:t>
      </w:r>
      <w:r w:rsidR="001466C9">
        <w:rPr>
          <w:lang w:val="fr-CH" w:eastAsia="ja-JP"/>
        </w:rPr>
        <w:t>,</w:t>
      </w:r>
      <w:r w:rsidR="00AD55D5" w:rsidRPr="00472DBC">
        <w:rPr>
          <w:lang w:val="fr-CH" w:eastAsia="ja-JP"/>
        </w:rPr>
        <w:t>9-150</w:t>
      </w:r>
      <w:r w:rsidR="001466C9">
        <w:rPr>
          <w:lang w:val="fr-CH" w:eastAsia="ja-JP"/>
        </w:rPr>
        <w:t>,</w:t>
      </w:r>
      <w:r w:rsidR="00AD55D5" w:rsidRPr="00472DBC">
        <w:rPr>
          <w:lang w:val="fr-CH" w:eastAsia="ja-JP"/>
        </w:rPr>
        <w:t>05 MHz),</w:t>
      </w:r>
      <w:r w:rsidR="00AD55D5" w:rsidRPr="00472DBC">
        <w:rPr>
          <w:lang w:val="fr-CH"/>
        </w:rPr>
        <w:t xml:space="preserve"> 399</w:t>
      </w:r>
      <w:r w:rsidR="001466C9">
        <w:rPr>
          <w:lang w:val="fr-CH"/>
        </w:rPr>
        <w:t>,</w:t>
      </w:r>
      <w:r w:rsidR="00AD55D5" w:rsidRPr="00472DBC">
        <w:rPr>
          <w:lang w:val="fr-CH"/>
        </w:rPr>
        <w:t>9-400</w:t>
      </w:r>
      <w:r w:rsidR="001466C9">
        <w:rPr>
          <w:lang w:val="fr-CH"/>
        </w:rPr>
        <w:t>,</w:t>
      </w:r>
      <w:r w:rsidR="00AD55D5" w:rsidRPr="00472DBC">
        <w:rPr>
          <w:lang w:val="fr-CH"/>
        </w:rPr>
        <w:t>05 MHz</w:t>
      </w:r>
      <w:r w:rsidR="00585882">
        <w:rPr>
          <w:lang w:val="fr-CH"/>
        </w:rPr>
        <w:t xml:space="preserve"> et</w:t>
      </w:r>
      <w:r w:rsidR="00AD55D5" w:rsidRPr="00472DBC">
        <w:rPr>
          <w:lang w:val="fr-CH"/>
        </w:rPr>
        <w:t xml:space="preserve"> 400</w:t>
      </w:r>
      <w:r w:rsidR="001466C9">
        <w:rPr>
          <w:lang w:val="fr-CH"/>
        </w:rPr>
        <w:t>,</w:t>
      </w:r>
      <w:r w:rsidR="00AD55D5" w:rsidRPr="00472DBC">
        <w:rPr>
          <w:lang w:val="fr-CH"/>
        </w:rPr>
        <w:t>15-401 MHz</w:t>
      </w:r>
      <w:r w:rsidR="00AD55D5" w:rsidRPr="00472DBC">
        <w:rPr>
          <w:lang w:val="fr-CH" w:eastAsia="ja-JP"/>
        </w:rPr>
        <w:t>.</w:t>
      </w:r>
    </w:p>
    <w:p w14:paraId="2AF9D10E" w14:textId="33E3ECE0" w:rsidR="00AD55D5" w:rsidRPr="00BE6971" w:rsidRDefault="007B3039" w:rsidP="00BE6971">
      <w:pPr>
        <w:pStyle w:val="Headingb"/>
      </w:pPr>
      <w:r w:rsidRPr="00BE6971">
        <w:t>Méthode par étape</w:t>
      </w:r>
      <w:r w:rsidR="00AD55D5" w:rsidRPr="00BE6971">
        <w:t xml:space="preserve"> – </w:t>
      </w:r>
      <w:r w:rsidR="00BA29E8" w:rsidRPr="00BE6971">
        <w:t>C</w:t>
      </w:r>
      <w:r w:rsidR="00AD55D5" w:rsidRPr="00BE6971">
        <w:t>ons</w:t>
      </w:r>
      <w:r w:rsidRPr="00BE6971">
        <w:t>é</w:t>
      </w:r>
      <w:r w:rsidR="00AD55D5" w:rsidRPr="00BE6971">
        <w:t xml:space="preserve">quences </w:t>
      </w:r>
      <w:r w:rsidRPr="00BE6971">
        <w:t>de la non</w:t>
      </w:r>
      <w:r w:rsidR="00093300" w:rsidRPr="00BE6971">
        <w:t>-</w:t>
      </w:r>
      <w:r w:rsidRPr="00BE6971">
        <w:t>soumission des renseignements relatifs à l</w:t>
      </w:r>
      <w:r w:rsidR="00006CB6" w:rsidRPr="00BE6971">
        <w:t>'</w:t>
      </w:r>
      <w:r w:rsidRPr="00BE6971">
        <w:t>étape</w:t>
      </w:r>
      <w:r w:rsidR="00006CB6" w:rsidRPr="00BE6971">
        <w:t xml:space="preserve"> </w:t>
      </w:r>
      <w:r w:rsidR="00AD55D5" w:rsidRPr="00BE6971">
        <w:t>(</w:t>
      </w:r>
      <w:r w:rsidRPr="00BE6971">
        <w:t xml:space="preserve">points </w:t>
      </w:r>
      <w:r w:rsidR="00AD55D5" w:rsidRPr="00BE6971">
        <w:t>11</w:t>
      </w:r>
      <w:r w:rsidR="00006CB6" w:rsidRPr="00BE6971">
        <w:t xml:space="preserve"> </w:t>
      </w:r>
      <w:r w:rsidRPr="00BE6971">
        <w:t xml:space="preserve">à </w:t>
      </w:r>
      <w:r w:rsidR="00AD55D5" w:rsidRPr="00BE6971">
        <w:t>11</w:t>
      </w:r>
      <w:r w:rsidR="00AD55D5" w:rsidRPr="004C1AAE">
        <w:rPr>
          <w:i/>
          <w:iCs/>
        </w:rPr>
        <w:t>ter</w:t>
      </w:r>
      <w:r w:rsidRPr="00BE6971">
        <w:t xml:space="preserve"> du </w:t>
      </w:r>
      <w:r w:rsidRPr="004C1AAE">
        <w:rPr>
          <w:i/>
          <w:iCs/>
        </w:rPr>
        <w:t>décide</w:t>
      </w:r>
      <w:r w:rsidR="00AD55D5" w:rsidRPr="00BE6971">
        <w:t>)</w:t>
      </w:r>
    </w:p>
    <w:p w14:paraId="4CD5E073" w14:textId="57A45406" w:rsidR="00AD55D5" w:rsidRPr="007B3039" w:rsidRDefault="00093300" w:rsidP="007523CE">
      <w:pPr>
        <w:rPr>
          <w:lang w:val="fr-CH"/>
        </w:rPr>
      </w:pPr>
      <w:r>
        <w:rPr>
          <w:lang w:val="fr-CH"/>
        </w:rPr>
        <w:t>L</w:t>
      </w:r>
      <w:r w:rsidR="00F17409" w:rsidRPr="007B3039">
        <w:rPr>
          <w:lang w:val="fr-CH"/>
        </w:rPr>
        <w:t>es Membres de l</w:t>
      </w:r>
      <w:r w:rsidR="00006CB6">
        <w:rPr>
          <w:lang w:val="fr-CH"/>
        </w:rPr>
        <w:t>'</w:t>
      </w:r>
      <w:r w:rsidR="00F17409" w:rsidRPr="007B3039">
        <w:rPr>
          <w:lang w:val="fr-CH"/>
        </w:rPr>
        <w:t>APT</w:t>
      </w:r>
      <w:r w:rsidR="007B3039">
        <w:rPr>
          <w:lang w:val="fr-CH"/>
        </w:rPr>
        <w:t xml:space="preserve"> sont plutôt favorables à l</w:t>
      </w:r>
      <w:r w:rsidR="00006CB6">
        <w:rPr>
          <w:lang w:val="fr-CH"/>
        </w:rPr>
        <w:t>'</w:t>
      </w:r>
      <w:r w:rsidR="00AD55D5" w:rsidRPr="007B3039">
        <w:rPr>
          <w:lang w:val="fr-CH"/>
        </w:rPr>
        <w:t>Option 1.</w:t>
      </w:r>
    </w:p>
    <w:p w14:paraId="441077DD" w14:textId="67F998F8" w:rsidR="00AD55D5" w:rsidRPr="007B3039" w:rsidRDefault="007B3039" w:rsidP="007523CE">
      <w:pPr>
        <w:pStyle w:val="Headingb"/>
        <w:rPr>
          <w:rStyle w:val="Strong"/>
          <w:b/>
          <w:bCs w:val="0"/>
          <w:lang w:val="fr-CH"/>
        </w:rPr>
      </w:pPr>
      <w:r w:rsidRPr="007B3039">
        <w:rPr>
          <w:color w:val="000000"/>
          <w:lang w:val="fr-CH"/>
        </w:rPr>
        <w:t>Méthode par étape</w:t>
      </w:r>
      <w:r w:rsidRPr="007B3039">
        <w:rPr>
          <w:lang w:val="fr-CH"/>
        </w:rPr>
        <w:t xml:space="preserve"> </w:t>
      </w:r>
      <w:r w:rsidR="00AD55D5" w:rsidRPr="007B3039">
        <w:rPr>
          <w:lang w:val="fr-CH"/>
        </w:rPr>
        <w:t xml:space="preserve">– </w:t>
      </w:r>
      <w:r w:rsidR="00BA29E8">
        <w:rPr>
          <w:lang w:val="fr-CH"/>
        </w:rPr>
        <w:t>R</w:t>
      </w:r>
      <w:r w:rsidRPr="007B3039">
        <w:rPr>
          <w:lang w:val="fr-CH"/>
        </w:rPr>
        <w:t>éutilisation de l</w:t>
      </w:r>
      <w:r w:rsidR="00006CB6">
        <w:rPr>
          <w:lang w:val="fr-CH"/>
        </w:rPr>
        <w:t>'</w:t>
      </w:r>
      <w:r w:rsidRPr="007B3039">
        <w:rPr>
          <w:lang w:val="fr-CH"/>
        </w:rPr>
        <w:t xml:space="preserve">engin </w:t>
      </w:r>
      <w:r>
        <w:rPr>
          <w:lang w:val="fr-CH"/>
        </w:rPr>
        <w:t>spatial pour la mise en service ou prise en compte des étapes d</w:t>
      </w:r>
      <w:r w:rsidR="00006CB6">
        <w:rPr>
          <w:lang w:val="fr-CH"/>
        </w:rPr>
        <w:t>'</w:t>
      </w:r>
      <w:r>
        <w:rPr>
          <w:lang w:val="fr-CH"/>
        </w:rPr>
        <w:t>autres systèmes</w:t>
      </w:r>
      <w:r w:rsidR="00006CB6">
        <w:rPr>
          <w:lang w:val="fr-CH"/>
        </w:rPr>
        <w:t xml:space="preserve"> </w:t>
      </w:r>
      <w:r w:rsidR="00AD55D5" w:rsidRPr="007B3039">
        <w:rPr>
          <w:lang w:val="fr-CH"/>
        </w:rPr>
        <w:t>(</w:t>
      </w:r>
      <w:r w:rsidRPr="007B3039">
        <w:rPr>
          <w:lang w:val="fr-CH"/>
        </w:rPr>
        <w:t xml:space="preserve">point </w:t>
      </w:r>
      <w:r w:rsidR="00AD55D5" w:rsidRPr="007B3039">
        <w:rPr>
          <w:lang w:val="fr-CH"/>
        </w:rPr>
        <w:t>12</w:t>
      </w:r>
      <w:r w:rsidRPr="007B3039">
        <w:rPr>
          <w:lang w:val="fr-CH"/>
        </w:rPr>
        <w:t xml:space="preserve"> du </w:t>
      </w:r>
      <w:r w:rsidRPr="004C1AAE">
        <w:rPr>
          <w:i/>
          <w:iCs/>
          <w:lang w:val="fr-CH"/>
        </w:rPr>
        <w:t>décide</w:t>
      </w:r>
      <w:r w:rsidR="00AD55D5" w:rsidRPr="007B3039">
        <w:rPr>
          <w:lang w:val="fr-CH"/>
        </w:rPr>
        <w:t>)</w:t>
      </w:r>
    </w:p>
    <w:p w14:paraId="46D33C31" w14:textId="3ADE1BE6" w:rsidR="00AD55D5" w:rsidRPr="007B3039" w:rsidRDefault="0006023B" w:rsidP="007523CE">
      <w:pPr>
        <w:rPr>
          <w:lang w:val="fr-CH"/>
        </w:rPr>
      </w:pPr>
      <w:r>
        <w:rPr>
          <w:lang w:val="fr-CH"/>
        </w:rPr>
        <w:t>À</w:t>
      </w:r>
      <w:r w:rsidR="007B3039">
        <w:rPr>
          <w:lang w:val="fr-CH"/>
        </w:rPr>
        <w:t xml:space="preserve"> ce stade, </w:t>
      </w:r>
      <w:r w:rsidR="00F17409" w:rsidRPr="007B3039">
        <w:rPr>
          <w:lang w:val="fr-CH"/>
        </w:rPr>
        <w:t>les Membres de l</w:t>
      </w:r>
      <w:r w:rsidR="00006CB6">
        <w:rPr>
          <w:lang w:val="fr-CH"/>
        </w:rPr>
        <w:t>'</w:t>
      </w:r>
      <w:r w:rsidR="00F17409" w:rsidRPr="007B3039">
        <w:rPr>
          <w:lang w:val="fr-CH"/>
        </w:rPr>
        <w:t>APT</w:t>
      </w:r>
      <w:r w:rsidR="00006CB6">
        <w:rPr>
          <w:lang w:val="fr-CH"/>
        </w:rPr>
        <w:t xml:space="preserve"> </w:t>
      </w:r>
      <w:r w:rsidR="007B3039" w:rsidRPr="007B3039">
        <w:rPr>
          <w:lang w:val="fr-CH"/>
        </w:rPr>
        <w:t>penche</w:t>
      </w:r>
      <w:r w:rsidR="007B3039">
        <w:rPr>
          <w:lang w:val="fr-CH"/>
        </w:rPr>
        <w:t>nt</w:t>
      </w:r>
      <w:r w:rsidR="007B3039" w:rsidRPr="007B3039">
        <w:rPr>
          <w:lang w:val="fr-CH"/>
        </w:rPr>
        <w:t xml:space="preserve"> </w:t>
      </w:r>
      <w:r w:rsidR="007B3039">
        <w:rPr>
          <w:lang w:val="fr-CH"/>
        </w:rPr>
        <w:t xml:space="preserve">plutôt </w:t>
      </w:r>
      <w:r w:rsidR="007B3039" w:rsidRPr="007B3039">
        <w:rPr>
          <w:lang w:val="fr-CH"/>
        </w:rPr>
        <w:t>en faveur</w:t>
      </w:r>
      <w:r w:rsidR="007B3039">
        <w:rPr>
          <w:lang w:val="fr-CH"/>
        </w:rPr>
        <w:t xml:space="preserve"> de la Variante </w:t>
      </w:r>
      <w:r w:rsidR="00AD55D5" w:rsidRPr="007B3039">
        <w:rPr>
          <w:lang w:val="fr-CH"/>
        </w:rPr>
        <w:t>2 (NOC)</w:t>
      </w:r>
      <w:r>
        <w:rPr>
          <w:lang w:val="fr-CH"/>
        </w:rPr>
        <w:t>.</w:t>
      </w:r>
    </w:p>
    <w:p w14:paraId="68506F6B" w14:textId="330A61E8" w:rsidR="00AD55D5" w:rsidRPr="007B3039" w:rsidRDefault="007B3039" w:rsidP="007523CE">
      <w:pPr>
        <w:pStyle w:val="Headingb"/>
        <w:rPr>
          <w:lang w:val="fr-CH"/>
        </w:rPr>
      </w:pPr>
      <w:r w:rsidRPr="007B3039">
        <w:rPr>
          <w:lang w:val="fr-CH"/>
        </w:rPr>
        <w:t>Mis</w:t>
      </w:r>
      <w:r>
        <w:rPr>
          <w:lang w:val="fr-CH"/>
        </w:rPr>
        <w:t>e</w:t>
      </w:r>
      <w:r w:rsidRPr="007B3039">
        <w:rPr>
          <w:lang w:val="fr-CH"/>
        </w:rPr>
        <w:t xml:space="preserve"> en service</w:t>
      </w:r>
      <w:r w:rsidR="00A15CFF">
        <w:rPr>
          <w:lang w:val="fr-CH"/>
        </w:rPr>
        <w:t xml:space="preserve"> </w:t>
      </w:r>
      <w:r w:rsidRPr="007B3039">
        <w:rPr>
          <w:lang w:val="fr-CH"/>
        </w:rPr>
        <w:t>–</w:t>
      </w:r>
      <w:r w:rsidR="004C1AAE">
        <w:rPr>
          <w:lang w:val="fr-CH"/>
        </w:rPr>
        <w:t xml:space="preserve"> </w:t>
      </w:r>
      <w:r w:rsidR="00BA29E8">
        <w:rPr>
          <w:lang w:val="fr-CH"/>
        </w:rPr>
        <w:t>T</w:t>
      </w:r>
      <w:r w:rsidRPr="007B3039">
        <w:rPr>
          <w:lang w:val="fr-CH"/>
        </w:rPr>
        <w:t>olérance</w:t>
      </w:r>
      <w:r>
        <w:rPr>
          <w:lang w:val="fr-CH"/>
        </w:rPr>
        <w:t>s</w:t>
      </w:r>
      <w:r w:rsidRPr="007B3039">
        <w:rPr>
          <w:lang w:val="fr-CH"/>
        </w:rPr>
        <w:t xml:space="preserve"> concernant les valeurs des caractéristiques orbitales</w:t>
      </w:r>
      <w:r>
        <w:rPr>
          <w:lang w:val="fr-CH"/>
        </w:rPr>
        <w:t xml:space="preserve"> </w:t>
      </w:r>
    </w:p>
    <w:p w14:paraId="71F8E8D2" w14:textId="49E0EAD8" w:rsidR="00C74768" w:rsidRPr="00C74768" w:rsidRDefault="00093300" w:rsidP="007523CE">
      <w:pPr>
        <w:rPr>
          <w:lang w:eastAsia="fr-CH"/>
        </w:rPr>
      </w:pPr>
      <w:r>
        <w:rPr>
          <w:lang w:val="fr-CH"/>
        </w:rPr>
        <w:t>L</w:t>
      </w:r>
      <w:r w:rsidR="00BA29E8" w:rsidRPr="007B3039">
        <w:rPr>
          <w:lang w:val="fr-CH"/>
        </w:rPr>
        <w:t>es Membres de l</w:t>
      </w:r>
      <w:r w:rsidR="00006CB6">
        <w:rPr>
          <w:lang w:val="fr-CH"/>
        </w:rPr>
        <w:t>'</w:t>
      </w:r>
      <w:r w:rsidR="00BA29E8" w:rsidRPr="007B3039">
        <w:rPr>
          <w:lang w:val="fr-CH"/>
        </w:rPr>
        <w:t>APT</w:t>
      </w:r>
      <w:r w:rsidR="00006CB6">
        <w:rPr>
          <w:lang w:val="fr-CH"/>
        </w:rPr>
        <w:t xml:space="preserve"> </w:t>
      </w:r>
      <w:r w:rsidR="00BA29E8">
        <w:rPr>
          <w:lang w:val="fr-CH"/>
        </w:rPr>
        <w:t>ne sont pas favorables à l</w:t>
      </w:r>
      <w:r w:rsidR="00006CB6">
        <w:rPr>
          <w:lang w:val="fr-CH"/>
        </w:rPr>
        <w:t>'</w:t>
      </w:r>
      <w:r w:rsidR="00BA29E8">
        <w:rPr>
          <w:lang w:val="fr-CH"/>
        </w:rPr>
        <w:t>application de valeurs de tolérance à ce stade, étant donné</w:t>
      </w:r>
      <w:r w:rsidR="00C74768" w:rsidRPr="00C74768">
        <w:rPr>
          <w:lang w:val="fr-CH" w:eastAsia="fr-CH"/>
        </w:rPr>
        <w:t xml:space="preserve"> que l'UIT-R n'a élaboré aucune base technique</w:t>
      </w:r>
      <w:r w:rsidR="00BA29E8">
        <w:rPr>
          <w:lang w:val="fr-CH" w:eastAsia="fr-CH"/>
        </w:rPr>
        <w:t xml:space="preserve"> </w:t>
      </w:r>
      <w:r w:rsidR="00C74768" w:rsidRPr="00C74768">
        <w:rPr>
          <w:lang w:val="fr-CH" w:eastAsia="fr-CH"/>
        </w:rPr>
        <w:t>pendant l'actuelle période d'études</w:t>
      </w:r>
      <w:r w:rsidR="00006CB6">
        <w:rPr>
          <w:lang w:val="fr-CH" w:eastAsia="fr-CH"/>
        </w:rPr>
        <w:t xml:space="preserve"> </w:t>
      </w:r>
      <w:r w:rsidR="00C74768" w:rsidRPr="00C74768">
        <w:rPr>
          <w:lang w:val="fr-CH" w:eastAsia="fr-CH"/>
        </w:rPr>
        <w:t>pour déterminer la différence qui pourrait être tolérée entre les caractéristiques des plans orbitaux notifiés et les caractéristiques des plans orbitaux associés aux stations spatiales éventuellement déployées</w:t>
      </w:r>
      <w:r w:rsidR="0023654C">
        <w:rPr>
          <w:lang w:val="fr-CH" w:eastAsia="fr-CH"/>
        </w:rPr>
        <w:t>.</w:t>
      </w:r>
    </w:p>
    <w:p w14:paraId="56565C54" w14:textId="7FF10BA1" w:rsidR="00C74768" w:rsidRPr="00A64C17" w:rsidRDefault="00C74768" w:rsidP="00BE6971">
      <w:pPr>
        <w:pStyle w:val="Headingb"/>
        <w:rPr>
          <w:lang w:val="en-US"/>
        </w:rPr>
      </w:pPr>
      <w:r w:rsidRPr="00C74768">
        <w:rPr>
          <w:lang w:val="en-GB"/>
        </w:rPr>
        <w:lastRenderedPageBreak/>
        <w:t>Propos</w:t>
      </w:r>
      <w:r w:rsidR="00BA29E8">
        <w:rPr>
          <w:lang w:val="en-GB"/>
        </w:rPr>
        <w:t>itions</w:t>
      </w:r>
    </w:p>
    <w:p w14:paraId="13012637" w14:textId="7E8CF842" w:rsidR="00E63E3F" w:rsidRDefault="00FE1CA0" w:rsidP="007523CE">
      <w:pPr>
        <w:pStyle w:val="Proposal"/>
        <w:rPr>
          <w:lang w:val="en-US"/>
        </w:rPr>
      </w:pPr>
      <w:r w:rsidRPr="00A64C17">
        <w:rPr>
          <w:lang w:val="en-US"/>
        </w:rPr>
        <w:tab/>
      </w:r>
      <w:r w:rsidRPr="00AD55D5">
        <w:rPr>
          <w:lang w:val="en-US"/>
        </w:rPr>
        <w:t>ACP/24A19A1/1</w:t>
      </w:r>
    </w:p>
    <w:p w14:paraId="0DB53F5C" w14:textId="6C9C06C7" w:rsidR="00C74768" w:rsidRPr="0006023B" w:rsidRDefault="00736464" w:rsidP="007523CE">
      <w:pPr>
        <w:rPr>
          <w:szCs w:val="24"/>
          <w:lang w:val="fr-CH"/>
        </w:rPr>
      </w:pPr>
      <w:r>
        <w:rPr>
          <w:szCs w:val="24"/>
          <w:lang w:val="fr-CH"/>
        </w:rPr>
        <w:tab/>
      </w:r>
      <w:r w:rsidR="00BA29E8" w:rsidRPr="0006023B">
        <w:rPr>
          <w:szCs w:val="24"/>
          <w:lang w:val="fr-CH"/>
        </w:rPr>
        <w:t>Cette question est l</w:t>
      </w:r>
      <w:r w:rsidR="00006CB6">
        <w:rPr>
          <w:szCs w:val="24"/>
          <w:lang w:val="fr-CH"/>
        </w:rPr>
        <w:t>'</w:t>
      </w:r>
      <w:r w:rsidR="00BA29E8" w:rsidRPr="0006023B">
        <w:rPr>
          <w:szCs w:val="24"/>
          <w:lang w:val="fr-CH"/>
        </w:rPr>
        <w:t>une des plus complexes et les plus importantes que la CMR</w:t>
      </w:r>
      <w:r w:rsidR="0006023B" w:rsidRPr="0006023B">
        <w:rPr>
          <w:szCs w:val="24"/>
          <w:lang w:val="fr-CH"/>
        </w:rPr>
        <w:t>-</w:t>
      </w:r>
      <w:r w:rsidR="00BA29E8" w:rsidRPr="0006023B">
        <w:rPr>
          <w:szCs w:val="24"/>
          <w:lang w:val="fr-CH"/>
        </w:rPr>
        <w:t xml:space="preserve">19 aura à traiter et </w:t>
      </w:r>
      <w:r w:rsidR="0006023B" w:rsidRPr="0006023B">
        <w:rPr>
          <w:szCs w:val="24"/>
          <w:lang w:val="fr-CH"/>
        </w:rPr>
        <w:t>sur laquelle</w:t>
      </w:r>
      <w:r w:rsidR="00BA29E8" w:rsidRPr="0006023B">
        <w:rPr>
          <w:szCs w:val="24"/>
          <w:lang w:val="fr-CH"/>
        </w:rPr>
        <w:t xml:space="preserve"> elle</w:t>
      </w:r>
      <w:r w:rsidR="00006CB6">
        <w:rPr>
          <w:szCs w:val="24"/>
          <w:lang w:val="fr-CH"/>
        </w:rPr>
        <w:t xml:space="preserve"> </w:t>
      </w:r>
      <w:r w:rsidR="00BA29E8" w:rsidRPr="0006023B">
        <w:rPr>
          <w:szCs w:val="24"/>
          <w:lang w:val="fr-CH"/>
        </w:rPr>
        <w:t xml:space="preserve">sera amenée à prendre </w:t>
      </w:r>
      <w:r w:rsidR="0006023B" w:rsidRPr="0006023B">
        <w:rPr>
          <w:szCs w:val="24"/>
          <w:lang w:val="fr-CH"/>
        </w:rPr>
        <w:t>une</w:t>
      </w:r>
      <w:r w:rsidR="00BA29E8" w:rsidRPr="0006023B">
        <w:rPr>
          <w:szCs w:val="24"/>
          <w:lang w:val="fr-CH"/>
        </w:rPr>
        <w:t xml:space="preserve"> décision.</w:t>
      </w:r>
    </w:p>
    <w:p w14:paraId="7D4C710E" w14:textId="5049B553" w:rsidR="00C74768" w:rsidRPr="0006023B" w:rsidRDefault="006674F3" w:rsidP="007523CE">
      <w:pPr>
        <w:rPr>
          <w:szCs w:val="24"/>
          <w:lang w:val="fr-CH"/>
        </w:rPr>
      </w:pPr>
      <w:r w:rsidRPr="0006023B">
        <w:rPr>
          <w:szCs w:val="24"/>
          <w:lang w:val="fr-CH"/>
        </w:rPr>
        <w:t>En raison du caractère provisoire de plusieurs points associés à la méthode par étape, et étant donné que certains de ces facteurs sont étroitement liés entre eux, prendre une décision individuelle sur un</w:t>
      </w:r>
      <w:r w:rsidR="00595DE3">
        <w:rPr>
          <w:szCs w:val="24"/>
          <w:lang w:val="fr-CH"/>
        </w:rPr>
        <w:t xml:space="preserve"> </w:t>
      </w:r>
      <w:r w:rsidRPr="0006023B">
        <w:rPr>
          <w:szCs w:val="24"/>
          <w:lang w:val="fr-CH"/>
        </w:rPr>
        <w:t xml:space="preserve">élément </w:t>
      </w:r>
      <w:r w:rsidR="0006023B" w:rsidRPr="0006023B">
        <w:rPr>
          <w:szCs w:val="24"/>
          <w:lang w:val="fr-CH"/>
        </w:rPr>
        <w:t xml:space="preserve">donné </w:t>
      </w:r>
      <w:r w:rsidRPr="0006023B">
        <w:rPr>
          <w:szCs w:val="24"/>
          <w:lang w:val="fr-CH"/>
        </w:rPr>
        <w:t>sans qu</w:t>
      </w:r>
      <w:r w:rsidR="00006CB6">
        <w:rPr>
          <w:szCs w:val="24"/>
          <w:lang w:val="fr-CH"/>
        </w:rPr>
        <w:t>'</w:t>
      </w:r>
      <w:r w:rsidRPr="0006023B">
        <w:rPr>
          <w:szCs w:val="24"/>
          <w:lang w:val="fr-CH"/>
        </w:rPr>
        <w:t>un autre élément ou d</w:t>
      </w:r>
      <w:r w:rsidR="00006CB6">
        <w:rPr>
          <w:szCs w:val="24"/>
          <w:lang w:val="fr-CH"/>
        </w:rPr>
        <w:t>'</w:t>
      </w:r>
      <w:r w:rsidRPr="0006023B">
        <w:rPr>
          <w:szCs w:val="24"/>
          <w:lang w:val="fr-CH"/>
        </w:rPr>
        <w:t>autres éléments fassent l</w:t>
      </w:r>
      <w:r w:rsidR="00006CB6">
        <w:rPr>
          <w:szCs w:val="24"/>
          <w:lang w:val="fr-CH"/>
        </w:rPr>
        <w:t>'</w:t>
      </w:r>
      <w:r w:rsidRPr="0006023B">
        <w:rPr>
          <w:szCs w:val="24"/>
          <w:lang w:val="fr-CH"/>
        </w:rPr>
        <w:t>objet d</w:t>
      </w:r>
      <w:r w:rsidR="00006CB6">
        <w:rPr>
          <w:szCs w:val="24"/>
          <w:lang w:val="fr-CH"/>
        </w:rPr>
        <w:t>'</w:t>
      </w:r>
      <w:r w:rsidRPr="0006023B">
        <w:rPr>
          <w:szCs w:val="24"/>
          <w:lang w:val="fr-CH"/>
        </w:rPr>
        <w:t>un accord</w:t>
      </w:r>
      <w:r w:rsidRPr="0006023B">
        <w:rPr>
          <w:szCs w:val="24"/>
        </w:rPr>
        <w:t xml:space="preserve"> paraît inopportun</w:t>
      </w:r>
      <w:r w:rsidR="00006CB6">
        <w:rPr>
          <w:szCs w:val="24"/>
          <w:lang w:val="fr-CH"/>
        </w:rPr>
        <w:t xml:space="preserve"> </w:t>
      </w:r>
      <w:r w:rsidRPr="0006023B">
        <w:rPr>
          <w:szCs w:val="24"/>
          <w:lang w:val="fr-CH"/>
        </w:rPr>
        <w:t xml:space="preserve">et semble aller </w:t>
      </w:r>
      <w:r w:rsidRPr="0006023B">
        <w:rPr>
          <w:szCs w:val="24"/>
        </w:rPr>
        <w:t>à l'encontre du but recherché</w:t>
      </w:r>
      <w:r w:rsidR="0006023B" w:rsidRPr="0006023B">
        <w:rPr>
          <w:szCs w:val="24"/>
        </w:rPr>
        <w:t>. En effet</w:t>
      </w:r>
      <w:r w:rsidR="0006023B">
        <w:rPr>
          <w:szCs w:val="24"/>
          <w:lang w:val="fr-CH"/>
        </w:rPr>
        <w:t xml:space="preserve">, </w:t>
      </w:r>
      <w:r w:rsidRPr="0006023B">
        <w:rPr>
          <w:szCs w:val="24"/>
          <w:lang w:val="fr-CH"/>
        </w:rPr>
        <w:t>une telle décision</w:t>
      </w:r>
      <w:r w:rsidR="00AD421C" w:rsidRPr="0006023B">
        <w:rPr>
          <w:szCs w:val="24"/>
          <w:lang w:val="fr-CH"/>
        </w:rPr>
        <w:t xml:space="preserve"> nuit à la</w:t>
      </w:r>
      <w:r w:rsidR="00595DE3">
        <w:rPr>
          <w:szCs w:val="24"/>
          <w:lang w:val="fr-CH"/>
        </w:rPr>
        <w:t xml:space="preserve"> </w:t>
      </w:r>
      <w:r w:rsidR="00AD421C" w:rsidRPr="0006023B">
        <w:rPr>
          <w:szCs w:val="24"/>
          <w:lang w:val="fr-CH"/>
        </w:rPr>
        <w:t xml:space="preserve">souplesse dont </w:t>
      </w:r>
      <w:r w:rsidR="0006023B">
        <w:rPr>
          <w:szCs w:val="24"/>
          <w:lang w:val="fr-CH"/>
        </w:rPr>
        <w:t xml:space="preserve">devrait </w:t>
      </w:r>
      <w:r w:rsidR="00AD421C" w:rsidRPr="0006023B">
        <w:rPr>
          <w:szCs w:val="24"/>
          <w:lang w:val="fr-CH"/>
        </w:rPr>
        <w:t>dispose</w:t>
      </w:r>
      <w:r w:rsidR="0006023B">
        <w:rPr>
          <w:szCs w:val="24"/>
          <w:lang w:val="fr-CH"/>
        </w:rPr>
        <w:t>r</w:t>
      </w:r>
      <w:r w:rsidR="00AD421C" w:rsidRPr="0006023B">
        <w:rPr>
          <w:szCs w:val="24"/>
          <w:lang w:val="fr-CH"/>
        </w:rPr>
        <w:t xml:space="preserve"> la CMR-19 pour procéder à une évaluation globale </w:t>
      </w:r>
      <w:r w:rsidR="00006CB6">
        <w:rPr>
          <w:szCs w:val="24"/>
          <w:lang w:val="fr-CH"/>
        </w:rPr>
        <w:t xml:space="preserve">de </w:t>
      </w:r>
      <w:r w:rsidR="00AD421C" w:rsidRPr="0006023B">
        <w:rPr>
          <w:szCs w:val="24"/>
          <w:lang w:val="fr-CH"/>
        </w:rPr>
        <w:t>tous les éléments de la méthode par étape, en tenant compte du fait que chaque élément dépend des autres éléments</w:t>
      </w:r>
      <w:r w:rsidR="00541BE8" w:rsidRPr="0006023B">
        <w:rPr>
          <w:szCs w:val="24"/>
          <w:lang w:val="fr-CH"/>
        </w:rPr>
        <w:t xml:space="preserve"> et en analysant </w:t>
      </w:r>
      <w:r w:rsidR="0006023B">
        <w:rPr>
          <w:szCs w:val="24"/>
          <w:lang w:val="fr-CH"/>
        </w:rPr>
        <w:t xml:space="preserve">de manière approfondie </w:t>
      </w:r>
      <w:r w:rsidR="00541BE8" w:rsidRPr="0006023B">
        <w:rPr>
          <w:szCs w:val="24"/>
          <w:lang w:val="fr-CH"/>
        </w:rPr>
        <w:t>les solutions les plus viables.</w:t>
      </w:r>
    </w:p>
    <w:p w14:paraId="789A0E9C" w14:textId="6D9E51C3" w:rsidR="00C74768" w:rsidRPr="0006023B" w:rsidRDefault="0006023B" w:rsidP="007523CE">
      <w:pPr>
        <w:rPr>
          <w:szCs w:val="24"/>
          <w:lang w:val="fr-CH"/>
        </w:rPr>
      </w:pPr>
      <w:r>
        <w:rPr>
          <w:szCs w:val="24"/>
          <w:lang w:val="fr-CH"/>
        </w:rPr>
        <w:t>L</w:t>
      </w:r>
      <w:r w:rsidR="00F17409" w:rsidRPr="0006023B">
        <w:rPr>
          <w:szCs w:val="24"/>
          <w:lang w:val="fr-CH"/>
        </w:rPr>
        <w:t>es Membres de l</w:t>
      </w:r>
      <w:r w:rsidR="00006CB6">
        <w:rPr>
          <w:szCs w:val="24"/>
          <w:lang w:val="fr-CH"/>
        </w:rPr>
        <w:t>'</w:t>
      </w:r>
      <w:r w:rsidR="00F17409" w:rsidRPr="0006023B">
        <w:rPr>
          <w:szCs w:val="24"/>
          <w:lang w:val="fr-CH"/>
        </w:rPr>
        <w:t>APT</w:t>
      </w:r>
      <w:r w:rsidR="00006CB6">
        <w:rPr>
          <w:szCs w:val="24"/>
          <w:lang w:val="fr-CH"/>
        </w:rPr>
        <w:t xml:space="preserve"> </w:t>
      </w:r>
      <w:r w:rsidR="00FE7D75" w:rsidRPr="0006023B">
        <w:rPr>
          <w:szCs w:val="24"/>
          <w:lang w:val="fr-CH"/>
        </w:rPr>
        <w:t>ont décidé de soumettre</w:t>
      </w:r>
      <w:r w:rsidR="00C74768" w:rsidRPr="0006023B">
        <w:rPr>
          <w:szCs w:val="24"/>
          <w:lang w:val="fr-CH"/>
        </w:rPr>
        <w:t xml:space="preserve"> </w:t>
      </w:r>
      <w:r w:rsidR="00FE7D75" w:rsidRPr="0006023B">
        <w:rPr>
          <w:szCs w:val="24"/>
          <w:lang w:val="fr-CH"/>
        </w:rPr>
        <w:t>un ensemble d</w:t>
      </w:r>
      <w:r w:rsidR="00006CB6">
        <w:rPr>
          <w:szCs w:val="24"/>
          <w:lang w:val="fr-CH"/>
        </w:rPr>
        <w:t>'</w:t>
      </w:r>
      <w:r w:rsidR="00FE7D75" w:rsidRPr="0006023B">
        <w:rPr>
          <w:szCs w:val="24"/>
          <w:lang w:val="fr-CH"/>
        </w:rPr>
        <w:t>options les plus probables, afin de permettre à la</w:t>
      </w:r>
      <w:r w:rsidR="00006CB6">
        <w:rPr>
          <w:szCs w:val="24"/>
          <w:lang w:val="fr-CH"/>
        </w:rPr>
        <w:t xml:space="preserve"> </w:t>
      </w:r>
      <w:r w:rsidR="00F17409" w:rsidRPr="0006023B">
        <w:rPr>
          <w:szCs w:val="24"/>
          <w:lang w:val="fr-CH"/>
        </w:rPr>
        <w:t>CMR</w:t>
      </w:r>
      <w:r w:rsidR="00C74768" w:rsidRPr="0006023B">
        <w:rPr>
          <w:szCs w:val="24"/>
          <w:lang w:val="fr-CH"/>
        </w:rPr>
        <w:t xml:space="preserve">-19 </w:t>
      </w:r>
      <w:r w:rsidR="00FE7D75" w:rsidRPr="0006023B">
        <w:rPr>
          <w:szCs w:val="24"/>
          <w:lang w:val="fr-CH"/>
        </w:rPr>
        <w:t>d</w:t>
      </w:r>
      <w:r w:rsidR="00006CB6">
        <w:rPr>
          <w:szCs w:val="24"/>
          <w:lang w:val="fr-CH"/>
        </w:rPr>
        <w:t>'</w:t>
      </w:r>
      <w:r w:rsidR="00FE7D75" w:rsidRPr="0006023B">
        <w:rPr>
          <w:szCs w:val="24"/>
          <w:lang w:val="fr-CH"/>
        </w:rPr>
        <w:t>analyser librement et clairement la situation sans privilégier telle ou telle</w:t>
      </w:r>
      <w:r w:rsidR="004C1AAE">
        <w:rPr>
          <w:szCs w:val="24"/>
          <w:lang w:val="fr-CH"/>
        </w:rPr>
        <w:t xml:space="preserve"> </w:t>
      </w:r>
      <w:r w:rsidR="00FE7D75" w:rsidRPr="0006023B">
        <w:rPr>
          <w:szCs w:val="24"/>
          <w:lang w:val="fr-CH"/>
        </w:rPr>
        <w:t xml:space="preserve">option, </w:t>
      </w:r>
      <w:r w:rsidR="007D3047" w:rsidRPr="0006023B">
        <w:rPr>
          <w:szCs w:val="24"/>
          <w:lang w:val="fr-CH"/>
        </w:rPr>
        <w:t>de procéder à une analyse approfondie de la situation et de prendre une décision en</w:t>
      </w:r>
      <w:r w:rsidR="004C1AAE">
        <w:rPr>
          <w:szCs w:val="24"/>
          <w:lang w:val="fr-CH"/>
        </w:rPr>
        <w:t xml:space="preserve"> </w:t>
      </w:r>
      <w:r w:rsidR="007D3047" w:rsidRPr="0006023B">
        <w:rPr>
          <w:szCs w:val="24"/>
          <w:lang w:val="fr-CH"/>
        </w:rPr>
        <w:t>conséquence, en tenant compte des résultats des négociations qui seront menées entre les utilisateurs/opérateurs existants et potentiels immédiats de la méthode par étape pour les systèmes non OSG.</w:t>
      </w:r>
    </w:p>
    <w:p w14:paraId="011CF776" w14:textId="38F2DC07" w:rsidR="00C74768" w:rsidRDefault="007D3047" w:rsidP="007523CE">
      <w:pPr>
        <w:spacing w:after="120"/>
        <w:rPr>
          <w:szCs w:val="24"/>
          <w:lang w:val="fr-CH"/>
        </w:rPr>
      </w:pPr>
      <w:r w:rsidRPr="0006023B">
        <w:rPr>
          <w:szCs w:val="24"/>
          <w:lang w:val="fr-CH"/>
        </w:rPr>
        <w:t>On trouvera dans le tableau ci-dessous cet ensemble d</w:t>
      </w:r>
      <w:r w:rsidR="00006CB6">
        <w:rPr>
          <w:szCs w:val="24"/>
          <w:lang w:val="fr-CH"/>
        </w:rPr>
        <w:t>'</w:t>
      </w:r>
      <w:r w:rsidRPr="0006023B">
        <w:rPr>
          <w:szCs w:val="24"/>
          <w:lang w:val="fr-CH"/>
        </w:rPr>
        <w:t xml:space="preserve">options les plus </w:t>
      </w:r>
      <w:proofErr w:type="gramStart"/>
      <w:r w:rsidRPr="0006023B">
        <w:rPr>
          <w:szCs w:val="24"/>
          <w:lang w:val="fr-CH"/>
        </w:rPr>
        <w:t>probables</w:t>
      </w:r>
      <w:r w:rsidR="00006CB6">
        <w:rPr>
          <w:szCs w:val="24"/>
          <w:lang w:val="fr-CH"/>
        </w:rPr>
        <w:t>:</w:t>
      </w:r>
      <w:proofErr w:type="gramEnd"/>
    </w:p>
    <w:p w14:paraId="57EFCE56" w14:textId="77777777" w:rsidR="00A15CFF" w:rsidRPr="0006023B" w:rsidRDefault="00A15CFF" w:rsidP="007523CE">
      <w:pPr>
        <w:spacing w:after="120"/>
        <w:rPr>
          <w:szCs w:val="24"/>
          <w:lang w:val="fr-CH"/>
        </w:rPr>
      </w:pPr>
    </w:p>
    <w:tbl>
      <w:tblPr>
        <w:tblW w:w="74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3686"/>
        <w:gridCol w:w="2106"/>
      </w:tblGrid>
      <w:tr w:rsidR="007D3047" w:rsidRPr="007D3047" w14:paraId="41B629E7" w14:textId="77777777" w:rsidTr="00595DE3">
        <w:trPr>
          <w:jc w:val="center"/>
        </w:trPr>
        <w:tc>
          <w:tcPr>
            <w:tcW w:w="1669" w:type="dxa"/>
            <w:shd w:val="pct5" w:color="auto" w:fill="auto"/>
            <w:vAlign w:val="center"/>
          </w:tcPr>
          <w:p w14:paraId="75109D72" w14:textId="67A674A1" w:rsidR="007D3047" w:rsidRPr="00C74768" w:rsidRDefault="001466C9" w:rsidP="00595DE3">
            <w:pPr>
              <w:pStyle w:val="Tablehead"/>
              <w:spacing w:before="240" w:after="60"/>
              <w:rPr>
                <w:lang w:val="en-GB"/>
              </w:rPr>
            </w:pPr>
            <w:proofErr w:type="spellStart"/>
            <w:r>
              <w:rPr>
                <w:lang w:val="en-GB" w:eastAsia="fr-CH"/>
              </w:rPr>
              <w:t>É</w:t>
            </w:r>
            <w:r w:rsidR="007D3047">
              <w:rPr>
                <w:lang w:val="en-GB" w:eastAsia="fr-CH"/>
              </w:rPr>
              <w:t>tapes</w:t>
            </w:r>
            <w:proofErr w:type="spellEnd"/>
          </w:p>
        </w:tc>
        <w:tc>
          <w:tcPr>
            <w:tcW w:w="3686" w:type="dxa"/>
            <w:shd w:val="pct5" w:color="auto" w:fill="auto"/>
            <w:vAlign w:val="center"/>
          </w:tcPr>
          <w:p w14:paraId="26B3322C" w14:textId="6DE0739B" w:rsidR="001466C9" w:rsidRDefault="001466C9" w:rsidP="00595DE3">
            <w:pPr>
              <w:pStyle w:val="Tablehead"/>
              <w:spacing w:before="240" w:after="60"/>
              <w:rPr>
                <w:lang w:val="fr-CH" w:eastAsia="fr-CH"/>
              </w:rPr>
            </w:pPr>
            <w:r>
              <w:rPr>
                <w:lang w:val="fr-CH" w:eastAsia="fr-CH"/>
              </w:rPr>
              <w:t>Échéances de l'étape</w:t>
            </w:r>
          </w:p>
          <w:p w14:paraId="3AC5E05C" w14:textId="301710C8" w:rsidR="007D3047" w:rsidRPr="007D3047" w:rsidRDefault="007D3047" w:rsidP="00595DE3">
            <w:pPr>
              <w:pStyle w:val="Tablehead"/>
              <w:spacing w:before="240" w:after="60"/>
              <w:rPr>
                <w:lang w:val="fr-CH"/>
              </w:rPr>
            </w:pPr>
            <w:r w:rsidRPr="00FC092A">
              <w:rPr>
                <w:lang w:val="fr-CH" w:eastAsia="fr-CH"/>
              </w:rPr>
              <w:t>(Nombre d'années écoulées après la fin du délai réglementaire de sept ans ou après le 1er janvier 2021</w:t>
            </w:r>
            <w:r>
              <w:rPr>
                <w:lang w:val="fr-CH" w:eastAsia="fr-CH"/>
              </w:rPr>
              <w:t>,</w:t>
            </w:r>
            <w:r w:rsidRPr="00FC092A">
              <w:rPr>
                <w:lang w:val="fr-CH" w:eastAsia="fr-CH"/>
              </w:rPr>
              <w:t xml:space="preserve"> </w:t>
            </w:r>
            <w:r w:rsidRPr="00FC092A">
              <w:rPr>
                <w:color w:val="000000"/>
                <w:lang w:val="fr-CH"/>
              </w:rPr>
              <w:t>la date</w:t>
            </w:r>
            <w:r w:rsidR="00A15CFF">
              <w:rPr>
                <w:color w:val="000000"/>
                <w:lang w:val="fr-CH"/>
              </w:rPr>
              <w:br/>
            </w:r>
            <w:r w:rsidRPr="00FC092A">
              <w:rPr>
                <w:color w:val="000000"/>
                <w:lang w:val="fr-CH"/>
              </w:rPr>
              <w:t>la plus tardive étant retenue</w:t>
            </w:r>
            <w:r w:rsidRPr="00FC092A">
              <w:rPr>
                <w:lang w:val="fr-CH" w:eastAsia="fr-CH"/>
              </w:rPr>
              <w:t>)</w:t>
            </w:r>
          </w:p>
        </w:tc>
        <w:tc>
          <w:tcPr>
            <w:tcW w:w="2106" w:type="dxa"/>
            <w:shd w:val="pct5" w:color="auto" w:fill="auto"/>
            <w:vAlign w:val="center"/>
          </w:tcPr>
          <w:p w14:paraId="543CF5FF" w14:textId="59ED2432" w:rsidR="007D3047" w:rsidRPr="007D3047" w:rsidRDefault="007D3047" w:rsidP="00595DE3">
            <w:pPr>
              <w:pStyle w:val="Tablehead"/>
              <w:spacing w:before="240" w:after="60"/>
              <w:rPr>
                <w:lang w:val="fr-CH"/>
              </w:rPr>
            </w:pPr>
            <w:r w:rsidRPr="002A6E56">
              <w:rPr>
                <w:lang w:val="fr-CH" w:eastAsia="fr-CH"/>
              </w:rPr>
              <w:t>Pourcentage minimal requis de satellites déployés pour respecter l'étape</w:t>
            </w:r>
          </w:p>
        </w:tc>
      </w:tr>
      <w:tr w:rsidR="00C74768" w:rsidRPr="00C74768" w14:paraId="5412EB97" w14:textId="77777777" w:rsidTr="0023654C">
        <w:trPr>
          <w:trHeight w:val="75"/>
          <w:jc w:val="center"/>
        </w:trPr>
        <w:tc>
          <w:tcPr>
            <w:tcW w:w="1669" w:type="dxa"/>
          </w:tcPr>
          <w:p w14:paraId="04725CD6" w14:textId="5B6F0B96" w:rsidR="00C74768" w:rsidRPr="00C74768" w:rsidRDefault="00C74768" w:rsidP="007523CE">
            <w:pPr>
              <w:pStyle w:val="Tabletext"/>
              <w:rPr>
                <w:lang w:val="en-GB"/>
              </w:rPr>
            </w:pPr>
            <w:r w:rsidRPr="00C74768">
              <w:rPr>
                <w:lang w:val="en-GB"/>
              </w:rPr>
              <w:t>1</w:t>
            </w:r>
            <w:r w:rsidR="007D3047" w:rsidRPr="00A15CFF">
              <w:rPr>
                <w:lang w:val="en-GB"/>
              </w:rPr>
              <w:t>ère</w:t>
            </w:r>
          </w:p>
        </w:tc>
        <w:tc>
          <w:tcPr>
            <w:tcW w:w="3686" w:type="dxa"/>
          </w:tcPr>
          <w:p w14:paraId="32603005" w14:textId="7C844FE9" w:rsidR="00C74768" w:rsidRPr="00C74768" w:rsidRDefault="00C74768" w:rsidP="007523CE">
            <w:pPr>
              <w:pStyle w:val="Tabletext"/>
              <w:rPr>
                <w:lang w:val="en-GB"/>
              </w:rPr>
            </w:pPr>
            <w:r w:rsidRPr="00C74768">
              <w:rPr>
                <w:lang w:val="en-GB"/>
              </w:rPr>
              <w:t xml:space="preserve">2 </w:t>
            </w:r>
            <w:r w:rsidR="007D3047">
              <w:rPr>
                <w:lang w:val="en-GB"/>
              </w:rPr>
              <w:t>à</w:t>
            </w:r>
            <w:r w:rsidRPr="00C74768">
              <w:rPr>
                <w:lang w:val="en-GB"/>
              </w:rPr>
              <w:t xml:space="preserve"> 3 </w:t>
            </w:r>
            <w:proofErr w:type="spellStart"/>
            <w:r w:rsidR="00FC092A">
              <w:rPr>
                <w:lang w:val="en-GB"/>
              </w:rPr>
              <w:t>ans</w:t>
            </w:r>
            <w:proofErr w:type="spellEnd"/>
          </w:p>
        </w:tc>
        <w:tc>
          <w:tcPr>
            <w:tcW w:w="2106" w:type="dxa"/>
          </w:tcPr>
          <w:p w14:paraId="2F1F0516" w14:textId="77777777" w:rsidR="00C74768" w:rsidRPr="00C74768" w:rsidRDefault="00C74768" w:rsidP="007523CE">
            <w:pPr>
              <w:pStyle w:val="Tabletext"/>
              <w:rPr>
                <w:lang w:val="en-GB"/>
              </w:rPr>
            </w:pPr>
            <w:r w:rsidRPr="00C74768">
              <w:rPr>
                <w:lang w:val="en-GB"/>
              </w:rPr>
              <w:t>10%</w:t>
            </w:r>
          </w:p>
        </w:tc>
      </w:tr>
      <w:tr w:rsidR="00C74768" w:rsidRPr="00C74768" w14:paraId="4004341D" w14:textId="77777777" w:rsidTr="0023654C">
        <w:trPr>
          <w:trHeight w:val="75"/>
          <w:jc w:val="center"/>
        </w:trPr>
        <w:tc>
          <w:tcPr>
            <w:tcW w:w="1669" w:type="dxa"/>
          </w:tcPr>
          <w:p w14:paraId="74E4EE72" w14:textId="37CAF422" w:rsidR="00C74768" w:rsidRPr="00C74768" w:rsidRDefault="00C74768" w:rsidP="007523CE">
            <w:pPr>
              <w:pStyle w:val="Tabletext"/>
              <w:rPr>
                <w:lang w:val="en-GB"/>
              </w:rPr>
            </w:pPr>
            <w:r w:rsidRPr="00C74768">
              <w:rPr>
                <w:lang w:val="en-GB"/>
              </w:rPr>
              <w:t>2</w:t>
            </w:r>
            <w:r w:rsidR="007D3047" w:rsidRPr="00A15CFF">
              <w:rPr>
                <w:lang w:val="en-GB"/>
              </w:rPr>
              <w:t>ème</w:t>
            </w:r>
          </w:p>
        </w:tc>
        <w:tc>
          <w:tcPr>
            <w:tcW w:w="3686" w:type="dxa"/>
          </w:tcPr>
          <w:p w14:paraId="0D9C8F84" w14:textId="752B9CB4" w:rsidR="00C74768" w:rsidRPr="00C74768" w:rsidRDefault="00C74768" w:rsidP="007523CE">
            <w:pPr>
              <w:pStyle w:val="Tabletext"/>
              <w:rPr>
                <w:lang w:val="en-GB"/>
              </w:rPr>
            </w:pPr>
            <w:r w:rsidRPr="00C74768">
              <w:rPr>
                <w:lang w:val="en-GB"/>
              </w:rPr>
              <w:t xml:space="preserve">4 </w:t>
            </w:r>
            <w:r w:rsidR="007D3047">
              <w:rPr>
                <w:lang w:val="en-GB"/>
              </w:rPr>
              <w:t>à</w:t>
            </w:r>
            <w:r w:rsidRPr="00C74768">
              <w:rPr>
                <w:lang w:val="en-GB"/>
              </w:rPr>
              <w:t xml:space="preserve"> 5 </w:t>
            </w:r>
            <w:proofErr w:type="spellStart"/>
            <w:r w:rsidR="00FC092A">
              <w:rPr>
                <w:lang w:val="en-GB"/>
              </w:rPr>
              <w:t>ans</w:t>
            </w:r>
            <w:proofErr w:type="spellEnd"/>
          </w:p>
        </w:tc>
        <w:tc>
          <w:tcPr>
            <w:tcW w:w="2106" w:type="dxa"/>
          </w:tcPr>
          <w:p w14:paraId="4A3A776C" w14:textId="0A3F9458" w:rsidR="00C74768" w:rsidRPr="00C74768" w:rsidRDefault="00C74768" w:rsidP="007523CE">
            <w:pPr>
              <w:pStyle w:val="Tabletext"/>
              <w:rPr>
                <w:lang w:val="en-GB"/>
              </w:rPr>
            </w:pPr>
            <w:r w:rsidRPr="00C74768">
              <w:rPr>
                <w:lang w:val="en-GB"/>
              </w:rPr>
              <w:t>30</w:t>
            </w:r>
            <w:r w:rsidR="007D3047">
              <w:rPr>
                <w:lang w:val="en-GB"/>
              </w:rPr>
              <w:t xml:space="preserve"> à </w:t>
            </w:r>
            <w:r w:rsidRPr="00C74768">
              <w:rPr>
                <w:lang w:val="en-GB"/>
              </w:rPr>
              <w:t>50%</w:t>
            </w:r>
          </w:p>
        </w:tc>
      </w:tr>
      <w:tr w:rsidR="00C74768" w:rsidRPr="00C74768" w14:paraId="6B40559C" w14:textId="77777777" w:rsidTr="0023654C">
        <w:trPr>
          <w:trHeight w:val="75"/>
          <w:jc w:val="center"/>
        </w:trPr>
        <w:tc>
          <w:tcPr>
            <w:tcW w:w="1669" w:type="dxa"/>
          </w:tcPr>
          <w:p w14:paraId="7C501A1E" w14:textId="23C41305" w:rsidR="00C74768" w:rsidRPr="00C74768" w:rsidRDefault="00C74768" w:rsidP="007523CE">
            <w:pPr>
              <w:pStyle w:val="Tabletext"/>
              <w:rPr>
                <w:lang w:val="en-GB"/>
              </w:rPr>
            </w:pPr>
            <w:r w:rsidRPr="00C74768">
              <w:rPr>
                <w:lang w:val="en-GB"/>
              </w:rPr>
              <w:t>3</w:t>
            </w:r>
            <w:r w:rsidR="007D3047" w:rsidRPr="00A15CFF">
              <w:rPr>
                <w:lang w:val="en-GB"/>
              </w:rPr>
              <w:t>ème</w:t>
            </w:r>
          </w:p>
        </w:tc>
        <w:tc>
          <w:tcPr>
            <w:tcW w:w="3686" w:type="dxa"/>
          </w:tcPr>
          <w:p w14:paraId="2806EC15" w14:textId="2D134BA6" w:rsidR="00C74768" w:rsidRPr="00C74768" w:rsidRDefault="00C74768" w:rsidP="007523CE">
            <w:pPr>
              <w:pStyle w:val="Tabletext"/>
              <w:rPr>
                <w:lang w:val="en-GB"/>
              </w:rPr>
            </w:pPr>
            <w:r w:rsidRPr="00C74768">
              <w:rPr>
                <w:lang w:val="en-GB"/>
              </w:rPr>
              <w:t xml:space="preserve">7 </w:t>
            </w:r>
            <w:proofErr w:type="spellStart"/>
            <w:r w:rsidR="00FC092A">
              <w:rPr>
                <w:lang w:val="en-GB"/>
              </w:rPr>
              <w:t>ans</w:t>
            </w:r>
            <w:proofErr w:type="spellEnd"/>
          </w:p>
        </w:tc>
        <w:tc>
          <w:tcPr>
            <w:tcW w:w="2106" w:type="dxa"/>
          </w:tcPr>
          <w:p w14:paraId="2C9BACC9" w14:textId="7D86024C" w:rsidR="00C74768" w:rsidRPr="00C74768" w:rsidRDefault="00C74768" w:rsidP="007523CE">
            <w:pPr>
              <w:pStyle w:val="Tabletext"/>
              <w:rPr>
                <w:lang w:val="en-GB"/>
              </w:rPr>
            </w:pPr>
            <w:r w:rsidRPr="00C74768">
              <w:rPr>
                <w:lang w:val="en-GB"/>
              </w:rPr>
              <w:t>90</w:t>
            </w:r>
            <w:r w:rsidR="007D3047">
              <w:rPr>
                <w:lang w:val="en-GB"/>
              </w:rPr>
              <w:t xml:space="preserve"> à </w:t>
            </w:r>
            <w:r w:rsidRPr="00C74768">
              <w:rPr>
                <w:lang w:val="en-GB"/>
              </w:rPr>
              <w:t>95% /100%</w:t>
            </w:r>
          </w:p>
        </w:tc>
      </w:tr>
    </w:tbl>
    <w:p w14:paraId="7249001C" w14:textId="0BAC77F0" w:rsidR="0006023B" w:rsidRPr="0006023B" w:rsidRDefault="00583E47" w:rsidP="007523CE">
      <w:pPr>
        <w:rPr>
          <w:lang w:val="en-GB"/>
        </w:rPr>
      </w:pPr>
      <w:r w:rsidRPr="00925BFC">
        <w:rPr>
          <w:i/>
          <w:iCs/>
        </w:rPr>
        <w:t>Note</w:t>
      </w:r>
      <w:r>
        <w:rPr>
          <w:i/>
          <w:iCs/>
        </w:rPr>
        <w:t>:</w:t>
      </w:r>
    </w:p>
    <w:p w14:paraId="43882545" w14:textId="1DC53EE4" w:rsidR="00C74768" w:rsidRPr="000D0F53" w:rsidRDefault="0006023B" w:rsidP="007523CE">
      <w:pPr>
        <w:rPr>
          <w:lang w:val="fr-CH"/>
        </w:rPr>
      </w:pPr>
      <w:r>
        <w:rPr>
          <w:lang w:val="fr-CH"/>
        </w:rPr>
        <w:t>L</w:t>
      </w:r>
      <w:r w:rsidR="000D0F53" w:rsidRPr="00FC092A">
        <w:rPr>
          <w:lang w:val="fr-CH"/>
        </w:rPr>
        <w:t>orsqu</w:t>
      </w:r>
      <w:r w:rsidR="00006CB6">
        <w:rPr>
          <w:lang w:val="fr-CH"/>
        </w:rPr>
        <w:t>'</w:t>
      </w:r>
      <w:r w:rsidR="000D0F53" w:rsidRPr="00FC092A">
        <w:rPr>
          <w:lang w:val="fr-CH"/>
        </w:rPr>
        <w:t>elle examinera les diverses</w:t>
      </w:r>
      <w:r w:rsidR="00006CB6">
        <w:rPr>
          <w:lang w:val="fr-CH"/>
        </w:rPr>
        <w:t xml:space="preserve"> </w:t>
      </w:r>
      <w:r w:rsidR="000D0F53" w:rsidRPr="00FC092A">
        <w:rPr>
          <w:lang w:val="fr-CH"/>
        </w:rPr>
        <w:t>étapes et les facteurs</w:t>
      </w:r>
      <w:r w:rsidR="00006CB6">
        <w:rPr>
          <w:lang w:val="fr-CH"/>
        </w:rPr>
        <w:t xml:space="preserve"> </w:t>
      </w:r>
      <w:r w:rsidR="000D0F53" w:rsidRPr="00FC092A">
        <w:rPr>
          <w:lang w:val="fr-CH"/>
        </w:rPr>
        <w:t xml:space="preserve">de déploiement associés indiqués dans le tableau ci-dessus, </w:t>
      </w:r>
      <w:r>
        <w:rPr>
          <w:lang w:val="fr-CH"/>
        </w:rPr>
        <w:t>l</w:t>
      </w:r>
      <w:r w:rsidRPr="00FC092A">
        <w:rPr>
          <w:lang w:val="fr-CH"/>
        </w:rPr>
        <w:t>a CMR-19</w:t>
      </w:r>
      <w:r w:rsidR="000D0F53" w:rsidRPr="00FC092A">
        <w:rPr>
          <w:lang w:val="fr-CH"/>
        </w:rPr>
        <w:t xml:space="preserve"> </w:t>
      </w:r>
      <w:r>
        <w:rPr>
          <w:lang w:val="fr-CH"/>
        </w:rPr>
        <w:t>pourra</w:t>
      </w:r>
      <w:r w:rsidR="000D0F53" w:rsidRPr="00FC092A">
        <w:rPr>
          <w:lang w:val="fr-CH"/>
        </w:rPr>
        <w:t xml:space="preserve"> envisager </w:t>
      </w:r>
      <w:r>
        <w:rPr>
          <w:lang w:val="fr-CH"/>
        </w:rPr>
        <w:t>d'accorder</w:t>
      </w:r>
      <w:r w:rsidR="000D0F53" w:rsidRPr="00FC092A">
        <w:rPr>
          <w:lang w:val="fr-CH"/>
        </w:rPr>
        <w:t xml:space="preserve"> une certaine souplesse </w:t>
      </w:r>
      <w:r>
        <w:rPr>
          <w:lang w:val="fr-CH"/>
        </w:rPr>
        <w:t>aux</w:t>
      </w:r>
      <w:r w:rsidR="000D0F53" w:rsidRPr="00FC092A">
        <w:rPr>
          <w:lang w:val="fr-CH"/>
        </w:rPr>
        <w:t xml:space="preserve"> opérateurs satellites non OSG</w:t>
      </w:r>
      <w:r>
        <w:rPr>
          <w:lang w:val="fr-CH"/>
        </w:rPr>
        <w:t xml:space="preserve"> qui n'auraient pas </w:t>
      </w:r>
      <w:r w:rsidR="00A15CFF">
        <w:rPr>
          <w:lang w:val="fr-CH"/>
        </w:rPr>
        <w:t xml:space="preserve">respecté </w:t>
      </w:r>
      <w:r>
        <w:rPr>
          <w:lang w:val="fr-CH"/>
        </w:rPr>
        <w:t xml:space="preserve">le </w:t>
      </w:r>
      <w:r w:rsidR="000D0F53" w:rsidRPr="00FC092A">
        <w:rPr>
          <w:lang w:val="fr-CH"/>
        </w:rPr>
        <w:t xml:space="preserve">critère </w:t>
      </w:r>
      <w:r w:rsidR="000D0F53">
        <w:rPr>
          <w:lang w:val="fr-CH"/>
        </w:rPr>
        <w:t>du</w:t>
      </w:r>
      <w:r w:rsidR="000D0F53" w:rsidRPr="00FC092A">
        <w:rPr>
          <w:lang w:val="fr-CH"/>
        </w:rPr>
        <w:t xml:space="preserve"> pourcentage </w:t>
      </w:r>
      <w:r w:rsidR="000D0F53">
        <w:rPr>
          <w:lang w:val="fr-CH"/>
        </w:rPr>
        <w:t xml:space="preserve">correspondant à la </w:t>
      </w:r>
      <w:r w:rsidR="000D0F53" w:rsidRPr="00FC092A">
        <w:rPr>
          <w:lang w:val="fr-CH" w:eastAsia="fr-CH"/>
        </w:rPr>
        <w:t>1</w:t>
      </w:r>
      <w:r w:rsidR="000D0F53" w:rsidRPr="00A15CFF">
        <w:rPr>
          <w:lang w:val="fr-CH" w:eastAsia="fr-CH"/>
        </w:rPr>
        <w:t>ère</w:t>
      </w:r>
      <w:r w:rsidR="000D0F53">
        <w:rPr>
          <w:lang w:val="fr-CH"/>
        </w:rPr>
        <w:t xml:space="preserve"> ou à la </w:t>
      </w:r>
      <w:r w:rsidR="000D0F53" w:rsidRPr="00FC092A">
        <w:rPr>
          <w:lang w:val="fr-CH" w:eastAsia="fr-CH"/>
        </w:rPr>
        <w:t>2</w:t>
      </w:r>
      <w:r w:rsidR="000D0F53" w:rsidRPr="004C1AAE">
        <w:rPr>
          <w:lang w:val="fr-CH" w:eastAsia="fr-CH"/>
        </w:rPr>
        <w:t>ème</w:t>
      </w:r>
      <w:r w:rsidR="004C1AAE">
        <w:rPr>
          <w:lang w:val="fr-CH"/>
        </w:rPr>
        <w:t xml:space="preserve"> </w:t>
      </w:r>
      <w:r w:rsidR="000D0F53">
        <w:rPr>
          <w:lang w:val="fr-CH"/>
        </w:rPr>
        <w:t>étape ci-dessus</w:t>
      </w:r>
      <w:r>
        <w:rPr>
          <w:lang w:val="fr-CH"/>
        </w:rPr>
        <w:t>, afin qu'ils puissent se conformer à ces</w:t>
      </w:r>
      <w:r w:rsidR="000D0F53">
        <w:rPr>
          <w:lang w:val="fr-CH"/>
        </w:rPr>
        <w:t xml:space="preserve"> critères lors de l</w:t>
      </w:r>
      <w:r w:rsidR="00006CB6">
        <w:rPr>
          <w:lang w:val="fr-CH"/>
        </w:rPr>
        <w:t>'</w:t>
      </w:r>
      <w:r w:rsidR="000D0F53">
        <w:rPr>
          <w:lang w:val="fr-CH"/>
        </w:rPr>
        <w:t>étape suivante.</w:t>
      </w:r>
    </w:p>
    <w:p w14:paraId="2F2C5DE1" w14:textId="2B506D9A" w:rsidR="00E63E3F" w:rsidRPr="0006023B" w:rsidRDefault="00FE1CA0" w:rsidP="007523CE">
      <w:pPr>
        <w:pStyle w:val="Reasons"/>
        <w:rPr>
          <w:lang w:val="fr-CH"/>
        </w:rPr>
      </w:pPr>
      <w:r w:rsidRPr="000D0F53">
        <w:rPr>
          <w:b/>
          <w:lang w:val="fr-CH"/>
        </w:rPr>
        <w:t>Motifs:</w:t>
      </w:r>
      <w:r w:rsidRPr="000D0F53">
        <w:rPr>
          <w:lang w:val="fr-CH"/>
        </w:rPr>
        <w:tab/>
      </w:r>
      <w:r w:rsidR="0006023B">
        <w:rPr>
          <w:lang w:val="fr-CH"/>
        </w:rPr>
        <w:t>T</w:t>
      </w:r>
      <w:r w:rsidR="000D0F53" w:rsidRPr="000D0F53">
        <w:rPr>
          <w:lang w:val="fr-CH"/>
        </w:rPr>
        <w:t xml:space="preserve">raiter le point </w:t>
      </w:r>
      <w:r w:rsidR="000D0F53">
        <w:rPr>
          <w:lang w:val="fr-CH"/>
        </w:rPr>
        <w:t>7</w:t>
      </w:r>
      <w:r w:rsidR="000D0F53" w:rsidRPr="000D0F53">
        <w:rPr>
          <w:lang w:val="fr-CH"/>
        </w:rPr>
        <w:t xml:space="preserve"> de l</w:t>
      </w:r>
      <w:r w:rsidR="00006CB6">
        <w:rPr>
          <w:lang w:val="fr-CH"/>
        </w:rPr>
        <w:t>'</w:t>
      </w:r>
      <w:r w:rsidR="000D0F53" w:rsidRPr="000D0F53">
        <w:rPr>
          <w:lang w:val="fr-CH"/>
        </w:rPr>
        <w:t xml:space="preserve">ordre du jour de la CMR-19, Question </w:t>
      </w:r>
      <w:r w:rsidR="000D0F53">
        <w:rPr>
          <w:lang w:val="fr-CH"/>
        </w:rPr>
        <w:t>A</w:t>
      </w:r>
      <w:r w:rsidR="0006023B">
        <w:rPr>
          <w:lang w:val="fr-CH"/>
        </w:rPr>
        <w:t>.</w:t>
      </w:r>
    </w:p>
    <w:p w14:paraId="0F9F4AB3" w14:textId="77777777" w:rsidR="00C74768" w:rsidRPr="000D0F53" w:rsidRDefault="00C74768" w:rsidP="007523CE">
      <w:pPr>
        <w:rPr>
          <w:lang w:val="en-US"/>
        </w:rPr>
      </w:pPr>
    </w:p>
    <w:p w14:paraId="5DDD58AA" w14:textId="6D510770" w:rsidR="00C74768" w:rsidRPr="0006023B" w:rsidRDefault="00C74768" w:rsidP="007523CE">
      <w:pPr>
        <w:jc w:val="center"/>
      </w:pPr>
      <w:r>
        <w:t>______________</w:t>
      </w:r>
    </w:p>
    <w:sectPr w:rsidR="00C74768" w:rsidRPr="0006023B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418" w:left="1134" w:header="720" w:footer="720" w:gutter="0"/>
      <w:paperSrc w:first="15" w:other="15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8F2014" w14:textId="77777777" w:rsidR="0070076C" w:rsidRDefault="0070076C">
      <w:r>
        <w:separator/>
      </w:r>
    </w:p>
  </w:endnote>
  <w:endnote w:type="continuationSeparator" w:id="0">
    <w:p w14:paraId="170B0450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9C31A" w14:textId="5812F91E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7D26D0">
      <w:rPr>
        <w:noProof/>
        <w:lang w:val="en-US"/>
      </w:rPr>
      <w:t>P:\FRA\ITU-R\CONF-R\CMR19\000\024ADD19ADD01F.docx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7D26D0">
      <w:rPr>
        <w:noProof/>
      </w:rPr>
      <w:t>14.10.19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7D26D0">
      <w:rPr>
        <w:noProof/>
      </w:rPr>
      <w:t>14.10.19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499620" w14:textId="77B2EA1E" w:rsidR="00936D25" w:rsidRPr="00F245D6" w:rsidRDefault="007D26D0" w:rsidP="00BE6971">
    <w:pPr>
      <w:pStyle w:val="Footer"/>
      <w:rPr>
        <w:lang w:val="en-US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P:\FRA\ITU-R\CONF-R\CMR19\000\024ADD19ADD01F.docx</w:t>
    </w:r>
    <w:r>
      <w:fldChar w:fldCharType="end"/>
    </w:r>
    <w:r w:rsidR="00BE6971">
      <w:t xml:space="preserve"> (461132)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B8E78" w14:textId="2E5CB868" w:rsidR="00936D25" w:rsidRPr="00F245D6" w:rsidRDefault="007D26D0" w:rsidP="00BE6971">
    <w:pPr>
      <w:pStyle w:val="Footer"/>
      <w:rPr>
        <w:lang w:val="en-US"/>
      </w:rPr>
    </w:pPr>
    <w:r>
      <w:fldChar w:fldCharType="begin"/>
    </w:r>
    <w:r>
      <w:instrText xml:space="preserve"> FILENAME \p</w:instrText>
    </w:r>
    <w:r>
      <w:instrText xml:space="preserve">  \* MERGEFORMAT </w:instrText>
    </w:r>
    <w:r>
      <w:fldChar w:fldCharType="separate"/>
    </w:r>
    <w:r>
      <w:t>P:\FRA\ITU-R\CONF-R\CMR19\000\024ADD19ADD01F.docx</w:t>
    </w:r>
    <w:r>
      <w:fldChar w:fldCharType="end"/>
    </w:r>
    <w:r w:rsidR="00BE6971">
      <w:t xml:space="preserve"> </w:t>
    </w:r>
    <w:r w:rsidR="00F245D6">
      <w:rPr>
        <w:lang w:val="en-US"/>
      </w:rPr>
      <w:t>(461132)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74784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4646700D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F8984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75CB6178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24(Add.19)(Add.1)-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BR">
    <w15:presenceInfo w15:providerId="None" w15:userId="B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F6A2C7E7-A0AD-457B-BC48-D7B9A3FFCA88}"/>
    <w:docVar w:name="dgnword-eventsink" w:val="2128800981312"/>
  </w:docVars>
  <w:rsids>
    <w:rsidRoot w:val="00BB1D82"/>
    <w:rsid w:val="00006CB6"/>
    <w:rsid w:val="00007EC7"/>
    <w:rsid w:val="00010B43"/>
    <w:rsid w:val="00016648"/>
    <w:rsid w:val="0003522F"/>
    <w:rsid w:val="000427F8"/>
    <w:rsid w:val="0006023B"/>
    <w:rsid w:val="00063A1F"/>
    <w:rsid w:val="00080E2C"/>
    <w:rsid w:val="00081366"/>
    <w:rsid w:val="00081663"/>
    <w:rsid w:val="000863B3"/>
    <w:rsid w:val="00093300"/>
    <w:rsid w:val="000A4755"/>
    <w:rsid w:val="000A55AE"/>
    <w:rsid w:val="000B2E0C"/>
    <w:rsid w:val="000B3D0C"/>
    <w:rsid w:val="000B4F04"/>
    <w:rsid w:val="000D0F53"/>
    <w:rsid w:val="001167B9"/>
    <w:rsid w:val="001267A0"/>
    <w:rsid w:val="001466C9"/>
    <w:rsid w:val="0015203F"/>
    <w:rsid w:val="00160C64"/>
    <w:rsid w:val="0018169B"/>
    <w:rsid w:val="0019352B"/>
    <w:rsid w:val="001960D0"/>
    <w:rsid w:val="001A11F6"/>
    <w:rsid w:val="001F17E8"/>
    <w:rsid w:val="00204306"/>
    <w:rsid w:val="00232FD2"/>
    <w:rsid w:val="0023654C"/>
    <w:rsid w:val="0026554E"/>
    <w:rsid w:val="002A4622"/>
    <w:rsid w:val="002A6E56"/>
    <w:rsid w:val="002A6F8F"/>
    <w:rsid w:val="002B17E5"/>
    <w:rsid w:val="002C0EBF"/>
    <w:rsid w:val="002C28A4"/>
    <w:rsid w:val="002D7E0A"/>
    <w:rsid w:val="00315AFE"/>
    <w:rsid w:val="003606A6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72DBC"/>
    <w:rsid w:val="00483196"/>
    <w:rsid w:val="004834A9"/>
    <w:rsid w:val="004C1AAE"/>
    <w:rsid w:val="004D01FC"/>
    <w:rsid w:val="004E28C3"/>
    <w:rsid w:val="004F1F8E"/>
    <w:rsid w:val="00512A32"/>
    <w:rsid w:val="005343DA"/>
    <w:rsid w:val="00541BE8"/>
    <w:rsid w:val="00560874"/>
    <w:rsid w:val="00583E47"/>
    <w:rsid w:val="00585882"/>
    <w:rsid w:val="00586CF2"/>
    <w:rsid w:val="00595DE3"/>
    <w:rsid w:val="005A7C75"/>
    <w:rsid w:val="005C3768"/>
    <w:rsid w:val="005C6C3F"/>
    <w:rsid w:val="00613635"/>
    <w:rsid w:val="0062093D"/>
    <w:rsid w:val="00637ECF"/>
    <w:rsid w:val="00647B59"/>
    <w:rsid w:val="006674F3"/>
    <w:rsid w:val="00690C7B"/>
    <w:rsid w:val="006A4B45"/>
    <w:rsid w:val="006B1258"/>
    <w:rsid w:val="006D4724"/>
    <w:rsid w:val="006F5FA2"/>
    <w:rsid w:val="0070076C"/>
    <w:rsid w:val="00701BAE"/>
    <w:rsid w:val="00721F04"/>
    <w:rsid w:val="00730E95"/>
    <w:rsid w:val="00736464"/>
    <w:rsid w:val="007426B9"/>
    <w:rsid w:val="007523CE"/>
    <w:rsid w:val="00764342"/>
    <w:rsid w:val="00774362"/>
    <w:rsid w:val="00786598"/>
    <w:rsid w:val="00790C74"/>
    <w:rsid w:val="007A04E8"/>
    <w:rsid w:val="007B2C34"/>
    <w:rsid w:val="007B3039"/>
    <w:rsid w:val="007D26D0"/>
    <w:rsid w:val="007D3047"/>
    <w:rsid w:val="00830086"/>
    <w:rsid w:val="0084304B"/>
    <w:rsid w:val="00851625"/>
    <w:rsid w:val="00863C0A"/>
    <w:rsid w:val="008A3120"/>
    <w:rsid w:val="008A4B9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64700"/>
    <w:rsid w:val="00966C16"/>
    <w:rsid w:val="0098732F"/>
    <w:rsid w:val="009A045F"/>
    <w:rsid w:val="009A6A2B"/>
    <w:rsid w:val="009B3766"/>
    <w:rsid w:val="009C7E7C"/>
    <w:rsid w:val="00A00473"/>
    <w:rsid w:val="00A03C9B"/>
    <w:rsid w:val="00A15CFF"/>
    <w:rsid w:val="00A37105"/>
    <w:rsid w:val="00A56321"/>
    <w:rsid w:val="00A606C3"/>
    <w:rsid w:val="00A64811"/>
    <w:rsid w:val="00A64C17"/>
    <w:rsid w:val="00A83B09"/>
    <w:rsid w:val="00A84541"/>
    <w:rsid w:val="00AD421C"/>
    <w:rsid w:val="00AD55D5"/>
    <w:rsid w:val="00AE36A0"/>
    <w:rsid w:val="00B00294"/>
    <w:rsid w:val="00B3749C"/>
    <w:rsid w:val="00B64FD0"/>
    <w:rsid w:val="00BA29E8"/>
    <w:rsid w:val="00BA5BD0"/>
    <w:rsid w:val="00BB1D82"/>
    <w:rsid w:val="00BD51C5"/>
    <w:rsid w:val="00BE6971"/>
    <w:rsid w:val="00BF26E7"/>
    <w:rsid w:val="00C53FCA"/>
    <w:rsid w:val="00C74768"/>
    <w:rsid w:val="00C76BAF"/>
    <w:rsid w:val="00C814B9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A2A2C"/>
    <w:rsid w:val="00DB76F5"/>
    <w:rsid w:val="00DC402B"/>
    <w:rsid w:val="00DE0932"/>
    <w:rsid w:val="00E03A27"/>
    <w:rsid w:val="00E049F1"/>
    <w:rsid w:val="00E37A25"/>
    <w:rsid w:val="00E537FF"/>
    <w:rsid w:val="00E63E3F"/>
    <w:rsid w:val="00E6539B"/>
    <w:rsid w:val="00E70A31"/>
    <w:rsid w:val="00E723A7"/>
    <w:rsid w:val="00EA3F38"/>
    <w:rsid w:val="00EA5AB6"/>
    <w:rsid w:val="00EC7615"/>
    <w:rsid w:val="00ED16AA"/>
    <w:rsid w:val="00ED6B8D"/>
    <w:rsid w:val="00EE3D7B"/>
    <w:rsid w:val="00EF662E"/>
    <w:rsid w:val="00F10064"/>
    <w:rsid w:val="00F148F1"/>
    <w:rsid w:val="00F17409"/>
    <w:rsid w:val="00F245D6"/>
    <w:rsid w:val="00F711A7"/>
    <w:rsid w:val="00F84872"/>
    <w:rsid w:val="00FA3BBF"/>
    <w:rsid w:val="00FC092A"/>
    <w:rsid w:val="00FC41F8"/>
    <w:rsid w:val="00FD7AA3"/>
    <w:rsid w:val="00FE1CA0"/>
    <w:rsid w:val="00FE7D75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413562B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qFormat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paragraph" w:customStyle="1" w:styleId="VolumeTitle0">
    <w:name w:val="VolumeTitle"/>
    <w:basedOn w:val="Normal"/>
    <w:next w:val="Normal"/>
    <w:rsid w:val="00F44277"/>
    <w:pPr>
      <w:tabs>
        <w:tab w:val="clear" w:pos="1134"/>
        <w:tab w:val="clear" w:pos="1871"/>
        <w:tab w:val="clear" w:pos="2268"/>
      </w:tabs>
      <w:overflowPunct/>
      <w:autoSpaceDE/>
      <w:autoSpaceDN/>
      <w:adjustRightInd/>
      <w:spacing w:before="240" w:after="240" w:line="276" w:lineRule="auto"/>
      <w:jc w:val="center"/>
      <w:textAlignment w:val="auto"/>
    </w:pPr>
    <w:rPr>
      <w:rFonts w:asciiTheme="minorHAnsi" w:eastAsiaTheme="minorEastAsia" w:hAnsiTheme="minorHAnsi" w:cstheme="minorBidi"/>
      <w:b/>
      <w:bCs/>
      <w:sz w:val="32"/>
      <w:szCs w:val="32"/>
      <w:lang w:val="en-US" w:eastAsia="zh-CN"/>
    </w:rPr>
  </w:style>
  <w:style w:type="character" w:styleId="Strong">
    <w:name w:val="Strong"/>
    <w:basedOn w:val="DefaultParagraphFont"/>
    <w:uiPriority w:val="22"/>
    <w:qFormat/>
    <w:rsid w:val="00DA2A2C"/>
    <w:rPr>
      <w:b/>
      <w:bCs/>
    </w:rPr>
  </w:style>
  <w:style w:type="character" w:customStyle="1" w:styleId="tm-p-em1">
    <w:name w:val="tm-p-em1"/>
    <w:basedOn w:val="DefaultParagraphFont"/>
    <w:rsid w:val="007B3039"/>
    <w:rPr>
      <w:b/>
      <w:bCs/>
      <w:sz w:val="18"/>
      <w:szCs w:val="18"/>
      <w:shd w:val="clear" w:color="auto" w:fill="FFE5AE"/>
      <w:vertAlign w:val="baseline"/>
    </w:rPr>
  </w:style>
  <w:style w:type="character" w:customStyle="1" w:styleId="tm-p-">
    <w:name w:val="tm-p-"/>
    <w:basedOn w:val="DefaultParagraphFont"/>
    <w:rsid w:val="007B30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R16-WRC19-C-0024!A19-A1!MSW-F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0939145-D0C2-435B-8765-D4A486882C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96E44A4-5AF2-4F6B-95C0-7194F0D55A5C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32a1a8c5-2265-4ebc-b7a0-2071e2c5c9bb"/>
    <ds:schemaRef ds:uri="996b2e75-67fd-4955-a3b0-5ab9934cb50b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9DD98BD-BD2A-414D-A58E-A0B78A63F12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1066</Words>
  <Characters>5743</Characters>
  <Application>Microsoft Office Word</Application>
  <DocSecurity>0</DocSecurity>
  <Lines>140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R16-WRC19-C-0024!A19-A1!MSW-F</vt:lpstr>
    </vt:vector>
  </TitlesOfParts>
  <Manager>Secrétariat général - Pool</Manager>
  <Company>Union internationale des télécommunications (UIT)</Company>
  <LinksUpToDate>false</LinksUpToDate>
  <CharactersWithSpaces>6732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R16-WRC19-C-0024!A19-A1!MSW-F</dc:title>
  <dc:subject>Conférence mondiale des radiocommunications - 2019</dc:subject>
  <dc:creator>Documents Proposals Manager (DPM)</dc:creator>
  <cp:keywords>DPM_v2019.9.25.1_prod</cp:keywords>
  <dc:description/>
  <cp:lastModifiedBy>French</cp:lastModifiedBy>
  <cp:revision>14</cp:revision>
  <cp:lastPrinted>2019-10-14T07:27:00Z</cp:lastPrinted>
  <dcterms:created xsi:type="dcterms:W3CDTF">2019-09-30T13:06:00Z</dcterms:created>
  <dcterms:modified xsi:type="dcterms:W3CDTF">2019-10-14T07:27:00Z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