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C8EF6FF" w14:textId="77777777">
        <w:trPr>
          <w:cantSplit/>
        </w:trPr>
        <w:tc>
          <w:tcPr>
            <w:tcW w:w="6911" w:type="dxa"/>
          </w:tcPr>
          <w:p w14:paraId="7608410E"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5B49A44" w14:textId="77777777" w:rsidR="00A066F1" w:rsidRDefault="005F04D8" w:rsidP="003B2284">
            <w:pPr>
              <w:spacing w:before="0" w:line="240" w:lineRule="atLeast"/>
              <w:jc w:val="right"/>
            </w:pPr>
            <w:r>
              <w:rPr>
                <w:noProof/>
                <w:lang w:eastAsia="zh-CN"/>
              </w:rPr>
              <w:drawing>
                <wp:inline distT="0" distB="0" distL="0" distR="0" wp14:anchorId="5ADD9D97" wp14:editId="02F381E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0C6934F" w14:textId="77777777">
        <w:trPr>
          <w:cantSplit/>
        </w:trPr>
        <w:tc>
          <w:tcPr>
            <w:tcW w:w="6911" w:type="dxa"/>
            <w:tcBorders>
              <w:bottom w:val="single" w:sz="12" w:space="0" w:color="auto"/>
            </w:tcBorders>
          </w:tcPr>
          <w:p w14:paraId="43A67BBD"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4E5D919" w14:textId="77777777" w:rsidR="00A066F1" w:rsidRPr="00617BE4" w:rsidRDefault="00A066F1" w:rsidP="00A066F1">
            <w:pPr>
              <w:spacing w:before="0" w:line="240" w:lineRule="atLeast"/>
              <w:rPr>
                <w:rFonts w:ascii="Verdana" w:hAnsi="Verdana"/>
                <w:szCs w:val="24"/>
              </w:rPr>
            </w:pPr>
          </w:p>
        </w:tc>
      </w:tr>
      <w:tr w:rsidR="00A066F1" w:rsidRPr="00C324A8" w14:paraId="57321664" w14:textId="77777777">
        <w:trPr>
          <w:cantSplit/>
        </w:trPr>
        <w:tc>
          <w:tcPr>
            <w:tcW w:w="6911" w:type="dxa"/>
            <w:tcBorders>
              <w:top w:val="single" w:sz="12" w:space="0" w:color="auto"/>
            </w:tcBorders>
          </w:tcPr>
          <w:p w14:paraId="3D0E27E0"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31C7E9C" w14:textId="77777777" w:rsidR="00A066F1" w:rsidRPr="00C324A8" w:rsidRDefault="00A066F1" w:rsidP="00A066F1">
            <w:pPr>
              <w:spacing w:before="0" w:line="240" w:lineRule="atLeast"/>
              <w:rPr>
                <w:rFonts w:ascii="Verdana" w:hAnsi="Verdana"/>
                <w:sz w:val="20"/>
              </w:rPr>
            </w:pPr>
          </w:p>
        </w:tc>
      </w:tr>
      <w:tr w:rsidR="00A066F1" w:rsidRPr="00C324A8" w14:paraId="6D92115D" w14:textId="77777777">
        <w:trPr>
          <w:cantSplit/>
          <w:trHeight w:val="23"/>
        </w:trPr>
        <w:tc>
          <w:tcPr>
            <w:tcW w:w="6911" w:type="dxa"/>
            <w:shd w:val="clear" w:color="auto" w:fill="auto"/>
          </w:tcPr>
          <w:p w14:paraId="3791CD80"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6F8572CD"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 to</w:t>
            </w:r>
            <w:r>
              <w:rPr>
                <w:rFonts w:ascii="Verdana" w:hAnsi="Verdana"/>
                <w:b/>
                <w:sz w:val="20"/>
              </w:rPr>
              <w:br/>
              <w:t>Document 24(Add.19)</w:t>
            </w:r>
            <w:r w:rsidR="00A066F1" w:rsidRPr="00841216">
              <w:rPr>
                <w:rFonts w:ascii="Verdana" w:hAnsi="Verdana"/>
                <w:b/>
                <w:sz w:val="20"/>
              </w:rPr>
              <w:t>-</w:t>
            </w:r>
            <w:r w:rsidR="005E10C9" w:rsidRPr="00841216">
              <w:rPr>
                <w:rFonts w:ascii="Verdana" w:hAnsi="Verdana"/>
                <w:b/>
                <w:sz w:val="20"/>
              </w:rPr>
              <w:t>E</w:t>
            </w:r>
          </w:p>
        </w:tc>
      </w:tr>
      <w:tr w:rsidR="00A066F1" w:rsidRPr="00C324A8" w14:paraId="5BDC9202" w14:textId="77777777">
        <w:trPr>
          <w:cantSplit/>
          <w:trHeight w:val="23"/>
        </w:trPr>
        <w:tc>
          <w:tcPr>
            <w:tcW w:w="6911" w:type="dxa"/>
            <w:shd w:val="clear" w:color="auto" w:fill="auto"/>
          </w:tcPr>
          <w:p w14:paraId="17B11666"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7FB4F309"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4E9A429C" w14:textId="77777777">
        <w:trPr>
          <w:cantSplit/>
          <w:trHeight w:val="23"/>
        </w:trPr>
        <w:tc>
          <w:tcPr>
            <w:tcW w:w="6911" w:type="dxa"/>
            <w:shd w:val="clear" w:color="auto" w:fill="auto"/>
          </w:tcPr>
          <w:p w14:paraId="37DA4CBD"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CBECBB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1DC9ED2" w14:textId="77777777" w:rsidTr="00025864">
        <w:trPr>
          <w:cantSplit/>
          <w:trHeight w:val="23"/>
        </w:trPr>
        <w:tc>
          <w:tcPr>
            <w:tcW w:w="10031" w:type="dxa"/>
            <w:gridSpan w:val="2"/>
            <w:shd w:val="clear" w:color="auto" w:fill="auto"/>
          </w:tcPr>
          <w:p w14:paraId="0EFA42AD" w14:textId="77777777" w:rsidR="00A066F1" w:rsidRPr="00C324A8" w:rsidRDefault="00A066F1" w:rsidP="00A066F1">
            <w:pPr>
              <w:tabs>
                <w:tab w:val="left" w:pos="993"/>
              </w:tabs>
              <w:spacing w:before="0"/>
              <w:rPr>
                <w:rFonts w:ascii="Verdana" w:hAnsi="Verdana"/>
                <w:b/>
                <w:sz w:val="20"/>
              </w:rPr>
            </w:pPr>
          </w:p>
        </w:tc>
      </w:tr>
      <w:tr w:rsidR="00E55816" w:rsidRPr="00C324A8" w14:paraId="7566D07B" w14:textId="77777777" w:rsidTr="00025864">
        <w:trPr>
          <w:cantSplit/>
          <w:trHeight w:val="23"/>
        </w:trPr>
        <w:tc>
          <w:tcPr>
            <w:tcW w:w="10031" w:type="dxa"/>
            <w:gridSpan w:val="2"/>
            <w:shd w:val="clear" w:color="auto" w:fill="auto"/>
          </w:tcPr>
          <w:p w14:paraId="77C5AC10" w14:textId="77777777" w:rsidR="00E55816" w:rsidRDefault="00884D60" w:rsidP="00E55816">
            <w:pPr>
              <w:pStyle w:val="Source"/>
            </w:pPr>
            <w:r>
              <w:t>Asia-Pacific Telecommunity Common Proposals</w:t>
            </w:r>
          </w:p>
        </w:tc>
      </w:tr>
      <w:tr w:rsidR="00E55816" w:rsidRPr="00C324A8" w14:paraId="611B0B8B" w14:textId="77777777" w:rsidTr="00025864">
        <w:trPr>
          <w:cantSplit/>
          <w:trHeight w:val="23"/>
        </w:trPr>
        <w:tc>
          <w:tcPr>
            <w:tcW w:w="10031" w:type="dxa"/>
            <w:gridSpan w:val="2"/>
            <w:shd w:val="clear" w:color="auto" w:fill="auto"/>
          </w:tcPr>
          <w:p w14:paraId="0458E377" w14:textId="77777777" w:rsidR="00E55816" w:rsidRDefault="007D5320" w:rsidP="00E55816">
            <w:pPr>
              <w:pStyle w:val="Title1"/>
            </w:pPr>
            <w:r>
              <w:t>Proposals for the work of the conference</w:t>
            </w:r>
          </w:p>
        </w:tc>
      </w:tr>
      <w:tr w:rsidR="00E55816" w:rsidRPr="00C324A8" w14:paraId="63504DB6" w14:textId="77777777" w:rsidTr="00025864">
        <w:trPr>
          <w:cantSplit/>
          <w:trHeight w:val="23"/>
        </w:trPr>
        <w:tc>
          <w:tcPr>
            <w:tcW w:w="10031" w:type="dxa"/>
            <w:gridSpan w:val="2"/>
            <w:shd w:val="clear" w:color="auto" w:fill="auto"/>
          </w:tcPr>
          <w:p w14:paraId="6596BFFE" w14:textId="77777777" w:rsidR="00E55816" w:rsidRDefault="00E55816" w:rsidP="00E55816">
            <w:pPr>
              <w:pStyle w:val="Title2"/>
            </w:pPr>
          </w:p>
        </w:tc>
      </w:tr>
      <w:tr w:rsidR="00A538A6" w:rsidRPr="00C324A8" w14:paraId="24A5D0C5" w14:textId="77777777" w:rsidTr="00025864">
        <w:trPr>
          <w:cantSplit/>
          <w:trHeight w:val="23"/>
        </w:trPr>
        <w:tc>
          <w:tcPr>
            <w:tcW w:w="10031" w:type="dxa"/>
            <w:gridSpan w:val="2"/>
            <w:shd w:val="clear" w:color="auto" w:fill="auto"/>
          </w:tcPr>
          <w:p w14:paraId="1AC2222D" w14:textId="77777777" w:rsidR="00A538A6" w:rsidRDefault="004B13CB" w:rsidP="004B13CB">
            <w:pPr>
              <w:pStyle w:val="Agendaitem"/>
            </w:pPr>
            <w:r>
              <w:t>Agenda item 7(A)</w:t>
            </w:r>
          </w:p>
        </w:tc>
      </w:tr>
    </w:tbl>
    <w:bookmarkEnd w:id="5"/>
    <w:bookmarkEnd w:id="6"/>
    <w:p w14:paraId="0846E6CB" w14:textId="77777777" w:rsidR="005118F7" w:rsidRPr="00EC5386" w:rsidRDefault="00FD666A"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2310A954" w14:textId="03FE4EC7" w:rsidR="005118F7" w:rsidRPr="00EC5386" w:rsidRDefault="00FD666A" w:rsidP="009420BD">
      <w:pPr>
        <w:overflowPunct/>
        <w:autoSpaceDE/>
        <w:autoSpaceDN/>
        <w:adjustRightInd/>
        <w:textAlignment w:val="auto"/>
        <w:rPr>
          <w:lang w:val="en-US"/>
        </w:rPr>
      </w:pPr>
      <w:r>
        <w:rPr>
          <w:lang w:val="en-US"/>
        </w:rPr>
        <w:t>7(A)</w:t>
      </w:r>
      <w:r w:rsidRPr="00656311">
        <w:rPr>
          <w:lang w:val="en-US"/>
        </w:rPr>
        <w:tab/>
      </w:r>
      <w:r w:rsidRPr="00D01BF9">
        <w:t xml:space="preserve">Issue A - Bringing into use of frequency assignments to all non-GSO systems, and consideration of a milestone-based approach for </w:t>
      </w:r>
      <w:r>
        <w:t xml:space="preserve">the </w:t>
      </w:r>
      <w:r w:rsidRPr="00D01BF9">
        <w:t xml:space="preserve">deployment </w:t>
      </w:r>
      <w:r>
        <w:t xml:space="preserve">of </w:t>
      </w:r>
      <w:r w:rsidRPr="00D01BF9">
        <w:t xml:space="preserve">non-GSO systems in specific </w:t>
      </w:r>
      <w:r>
        <w:t xml:space="preserve">frequency </w:t>
      </w:r>
      <w:r w:rsidRPr="00D01BF9">
        <w:t>bands and services</w:t>
      </w:r>
      <w:r w:rsidR="004831D2">
        <w:t>;</w:t>
      </w:r>
    </w:p>
    <w:p w14:paraId="513CBC1A" w14:textId="77777777" w:rsidR="000B6BA3" w:rsidRPr="00DD6164" w:rsidRDefault="000B6BA3" w:rsidP="000B6BA3">
      <w:pPr>
        <w:pStyle w:val="Headingb"/>
        <w:rPr>
          <w:lang w:val="en-GB"/>
        </w:rPr>
      </w:pPr>
      <w:r w:rsidRPr="00DD6164">
        <w:rPr>
          <w:lang w:val="en-GB"/>
        </w:rPr>
        <w:t>Introduction</w:t>
      </w:r>
    </w:p>
    <w:p w14:paraId="22092151" w14:textId="77777777" w:rsidR="000B6BA3" w:rsidRPr="00725327" w:rsidRDefault="000B6BA3" w:rsidP="000B6BA3">
      <w:pPr>
        <w:rPr>
          <w:rStyle w:val="Strong"/>
          <w:b w:val="0"/>
          <w:bCs w:val="0"/>
        </w:rPr>
      </w:pPr>
      <w:r>
        <w:t>APT Members are of the following views on the key issues of this topic:</w:t>
      </w:r>
    </w:p>
    <w:p w14:paraId="534FDB2B" w14:textId="77777777" w:rsidR="000B6BA3" w:rsidRPr="00DD6164" w:rsidRDefault="000B6BA3" w:rsidP="000B6BA3">
      <w:pPr>
        <w:pStyle w:val="Headingb"/>
        <w:rPr>
          <w:lang w:val="en-GB"/>
        </w:rPr>
      </w:pPr>
      <w:r w:rsidRPr="00DD6164">
        <w:rPr>
          <w:lang w:val="en-GB"/>
        </w:rPr>
        <w:t xml:space="preserve">BIU </w:t>
      </w:r>
      <w:r w:rsidR="006E74C7">
        <w:rPr>
          <w:lang w:val="en-GB"/>
        </w:rPr>
        <w:t>definition</w:t>
      </w:r>
    </w:p>
    <w:p w14:paraId="3997EA0C" w14:textId="77777777" w:rsidR="000B6BA3" w:rsidRPr="009972C0" w:rsidRDefault="000B6BA3" w:rsidP="000B6BA3">
      <w:r>
        <w:t>APT M</w:t>
      </w:r>
      <w:r w:rsidRPr="009972C0">
        <w:t>embers are of the view that the definition of the BIU of frequency assignments to non-GSO systems should be in accordance with the current practice as contained in the Rules of Procedure, which means to keep a continuous period of 90 days for frequency assignments</w:t>
      </w:r>
      <w:r>
        <w:t xml:space="preserve"> of the FSS/MSS/BSS</w:t>
      </w:r>
      <w:r w:rsidRPr="009972C0">
        <w:t xml:space="preserve">, and no fixed period for frequency assignments </w:t>
      </w:r>
      <w:r>
        <w:t>other than the FSS/MSS/BSS.</w:t>
      </w:r>
    </w:p>
    <w:p w14:paraId="13FA97A4" w14:textId="77777777" w:rsidR="00241FA2" w:rsidRDefault="000B6BA3" w:rsidP="000B6BA3">
      <w:pPr>
        <w:rPr>
          <w:rFonts w:eastAsia="MS Mincho"/>
          <w:lang w:eastAsia="ja-JP"/>
        </w:rPr>
      </w:pPr>
      <w:r>
        <w:rPr>
          <w:rFonts w:eastAsia="MS Mincho"/>
          <w:lang w:eastAsia="ja-JP"/>
        </w:rPr>
        <w:t xml:space="preserve">With respect to the regulatory provision </w:t>
      </w:r>
      <w:r w:rsidR="00A85CD1" w:rsidRPr="00595FC4">
        <w:rPr>
          <w:rFonts w:eastAsia="MS Mincho"/>
          <w:lang w:eastAsia="ja-JP"/>
          <w:rPrChange w:id="7" w:author="BR" w:date="2019-09-25T14:02:00Z">
            <w:rPr>
              <w:rFonts w:eastAsia="MS Mincho"/>
              <w:highlight w:val="cyan"/>
              <w:lang w:eastAsia="ja-JP"/>
            </w:rPr>
          </w:rPrChange>
        </w:rPr>
        <w:t>RR</w:t>
      </w:r>
      <w:r w:rsidR="00A85CD1" w:rsidRPr="00595FC4">
        <w:rPr>
          <w:rFonts w:eastAsia="MS Mincho"/>
          <w:lang w:eastAsia="ja-JP"/>
        </w:rPr>
        <w:t xml:space="preserve"> </w:t>
      </w:r>
      <w:r w:rsidRPr="00595FC4">
        <w:rPr>
          <w:rFonts w:eastAsia="MS Mincho"/>
          <w:lang w:eastAsia="ja-JP"/>
        </w:rPr>
        <w:t xml:space="preserve">No. </w:t>
      </w:r>
      <w:r w:rsidRPr="00595FC4">
        <w:rPr>
          <w:rFonts w:eastAsia="MS Mincho"/>
          <w:b/>
          <w:bCs/>
          <w:lang w:eastAsia="ja-JP"/>
          <w:rPrChange w:id="8" w:author="BR" w:date="2019-09-25T14:02:00Z">
            <w:rPr>
              <w:rFonts w:eastAsia="MS Mincho"/>
              <w:b/>
              <w:bCs/>
              <w:highlight w:val="cyan"/>
              <w:lang w:eastAsia="ja-JP"/>
            </w:rPr>
          </w:rPrChange>
        </w:rPr>
        <w:t>11.44C</w:t>
      </w:r>
      <w:r>
        <w:rPr>
          <w:rFonts w:eastAsia="MS Mincho"/>
          <w:lang w:eastAsia="ja-JP"/>
        </w:rPr>
        <w:t xml:space="preserve"> of the BIU, notified orbital planes, APT Members could </w:t>
      </w:r>
      <w:r w:rsidRPr="001B3DF5">
        <w:rPr>
          <w:rFonts w:eastAsia="MS Mincho"/>
          <w:lang w:eastAsia="ja-JP"/>
        </w:rPr>
        <w:t xml:space="preserve">support </w:t>
      </w:r>
      <w:r w:rsidRPr="00DF720A">
        <w:rPr>
          <w:rFonts w:eastAsia="MS Mincho"/>
          <w:lang w:eastAsia="ja-JP"/>
        </w:rPr>
        <w:t>Option 2</w:t>
      </w:r>
      <w:r w:rsidRPr="00F72F31">
        <w:rPr>
          <w:rFonts w:eastAsia="MS Mincho"/>
          <w:lang w:eastAsia="ja-JP"/>
        </w:rPr>
        <w:t>,</w:t>
      </w:r>
      <w:r>
        <w:rPr>
          <w:rFonts w:eastAsia="MS Mincho"/>
          <w:lang w:eastAsia="ja-JP"/>
        </w:rPr>
        <w:t xml:space="preserve"> as outlined in the CPM19-2 Report.</w:t>
      </w:r>
    </w:p>
    <w:p w14:paraId="0F983AC9" w14:textId="77777777" w:rsidR="00C02E5D" w:rsidRPr="00DD6164" w:rsidRDefault="00C02E5D">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5E13DA14" w14:textId="77777777" w:rsidR="000B6BA3" w:rsidRPr="001879A1" w:rsidRDefault="000B6BA3" w:rsidP="00076E24">
      <w:pPr>
        <w:pStyle w:val="Headingb"/>
      </w:pPr>
      <w:r>
        <w:lastRenderedPageBreak/>
        <w:t>M</w:t>
      </w:r>
      <w:r w:rsidRPr="005B3D26">
        <w:t>ilestone-based approac</w:t>
      </w:r>
      <w:r w:rsidRPr="001879A1">
        <w:t>h</w:t>
      </w:r>
    </w:p>
    <w:p w14:paraId="3AA21FC9" w14:textId="77777777" w:rsidR="000B6BA3" w:rsidRDefault="000B6BA3" w:rsidP="000B6BA3">
      <w:pPr>
        <w:jc w:val="both"/>
        <w:rPr>
          <w:rFonts w:eastAsia="MS Mincho"/>
          <w:lang w:eastAsia="ja-JP"/>
        </w:rPr>
      </w:pPr>
    </w:p>
    <w:tbl>
      <w:tblPr>
        <w:tblStyle w:val="ECCTable-redheader"/>
        <w:tblW w:w="74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686"/>
        <w:gridCol w:w="2106"/>
      </w:tblGrid>
      <w:tr w:rsidR="000B6BA3" w:rsidRPr="00903A2F" w14:paraId="09689D13" w14:textId="77777777" w:rsidTr="00181730">
        <w:trPr>
          <w:cnfStyle w:val="100000000000" w:firstRow="1" w:lastRow="0" w:firstColumn="0" w:lastColumn="0" w:oddVBand="0" w:evenVBand="0" w:oddHBand="0" w:evenHBand="0" w:firstRowFirstColumn="0" w:firstRowLastColumn="0" w:lastRowFirstColumn="0" w:lastRowLastColumn="0"/>
        </w:trPr>
        <w:tc>
          <w:tcPr>
            <w:tcW w:w="16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78AA38C9" w14:textId="77777777" w:rsidR="000B6BA3" w:rsidRPr="00C02E5D" w:rsidRDefault="000B6BA3" w:rsidP="00181730">
            <w:pPr>
              <w:pStyle w:val="ECCTableHeaderwhitefont"/>
              <w:rPr>
                <w:rFonts w:ascii="Times New Roman" w:hAnsi="Times New Roman"/>
                <w:color w:val="auto"/>
              </w:rPr>
            </w:pPr>
            <w:r w:rsidRPr="00C02E5D">
              <w:rPr>
                <w:rFonts w:ascii="Times New Roman" w:hAnsi="Times New Roman"/>
                <w:color w:val="auto"/>
              </w:rPr>
              <w:t>Milestones</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35515DE6" w14:textId="77777777" w:rsidR="000B6BA3" w:rsidRPr="00C02E5D" w:rsidRDefault="000B6BA3" w:rsidP="00181730">
            <w:pPr>
              <w:pStyle w:val="ECCTableHeaderwhitefont"/>
              <w:rPr>
                <w:rFonts w:ascii="Times New Roman" w:hAnsi="Times New Roman"/>
                <w:color w:val="auto"/>
              </w:rPr>
            </w:pPr>
            <w:r w:rsidRPr="00C02E5D">
              <w:rPr>
                <w:rFonts w:ascii="Times New Roman" w:hAnsi="Times New Roman"/>
                <w:color w:val="auto"/>
              </w:rPr>
              <w:t>Milestone timing</w:t>
            </w:r>
          </w:p>
          <w:p w14:paraId="0D8C032B" w14:textId="77777777" w:rsidR="000B6BA3" w:rsidRPr="00C02E5D" w:rsidRDefault="000B6BA3" w:rsidP="00181730">
            <w:pPr>
              <w:pStyle w:val="ECCTableHeaderwhitefont"/>
              <w:rPr>
                <w:rFonts w:ascii="Times New Roman" w:hAnsi="Times New Roman"/>
                <w:color w:val="auto"/>
              </w:rPr>
            </w:pPr>
            <w:r w:rsidRPr="00C02E5D">
              <w:rPr>
                <w:rFonts w:ascii="Times New Roman" w:hAnsi="Times New Roman"/>
                <w:color w:val="auto"/>
              </w:rPr>
              <w:t>(Number of years after the end of the seven-year regulatory period or after 1st January 2021, whichever falls later)</w:t>
            </w:r>
          </w:p>
        </w:tc>
        <w:tc>
          <w:tcPr>
            <w:tcW w:w="21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4F624E74" w14:textId="77777777" w:rsidR="000B6BA3" w:rsidRPr="00C02E5D" w:rsidRDefault="000B6BA3" w:rsidP="00181730">
            <w:pPr>
              <w:pStyle w:val="ECCTableHeaderwhitefont"/>
              <w:rPr>
                <w:rFonts w:ascii="Times New Roman" w:hAnsi="Times New Roman"/>
                <w:color w:val="auto"/>
              </w:rPr>
            </w:pPr>
            <w:r w:rsidRPr="00C02E5D">
              <w:rPr>
                <w:rFonts w:ascii="Times New Roman" w:hAnsi="Times New Roman"/>
                <w:color w:val="auto"/>
              </w:rPr>
              <w:t>Minimum required % of satellites deployed to meet the milestone</w:t>
            </w:r>
          </w:p>
        </w:tc>
      </w:tr>
      <w:tr w:rsidR="000B6BA3" w:rsidRPr="00903A2F" w14:paraId="7B4BFC39" w14:textId="77777777" w:rsidTr="00181730">
        <w:trPr>
          <w:trHeight w:val="75"/>
        </w:trPr>
        <w:tc>
          <w:tcPr>
            <w:tcW w:w="1669" w:type="dxa"/>
          </w:tcPr>
          <w:p w14:paraId="0D5E88B8" w14:textId="77777777" w:rsidR="000B6BA3" w:rsidRPr="00C02E5D" w:rsidRDefault="000B6BA3" w:rsidP="00181730">
            <w:pPr>
              <w:pStyle w:val="ECCTabletext"/>
              <w:rPr>
                <w:rFonts w:ascii="Times New Roman" w:hAnsi="Times New Roman"/>
              </w:rPr>
            </w:pPr>
            <w:r w:rsidRPr="00C02E5D">
              <w:rPr>
                <w:rFonts w:ascii="Times New Roman" w:hAnsi="Times New Roman"/>
              </w:rPr>
              <w:t>1</w:t>
            </w:r>
            <w:r w:rsidRPr="00C02E5D">
              <w:rPr>
                <w:rFonts w:ascii="Times New Roman" w:hAnsi="Times New Roman"/>
                <w:vertAlign w:val="superscript"/>
              </w:rPr>
              <w:t>st</w:t>
            </w:r>
          </w:p>
        </w:tc>
        <w:tc>
          <w:tcPr>
            <w:tcW w:w="3686" w:type="dxa"/>
          </w:tcPr>
          <w:p w14:paraId="7EAFB1C3" w14:textId="77777777" w:rsidR="000B6BA3" w:rsidRPr="00C02E5D" w:rsidRDefault="000B6BA3" w:rsidP="00181730">
            <w:pPr>
              <w:pStyle w:val="ECCTabletext"/>
              <w:rPr>
                <w:rFonts w:ascii="Times New Roman" w:hAnsi="Times New Roman"/>
              </w:rPr>
            </w:pPr>
            <w:r w:rsidRPr="00C02E5D">
              <w:rPr>
                <w:rFonts w:ascii="Times New Roman" w:hAnsi="Times New Roman"/>
              </w:rPr>
              <w:t>2 to 3 years</w:t>
            </w:r>
          </w:p>
        </w:tc>
        <w:tc>
          <w:tcPr>
            <w:tcW w:w="2106" w:type="dxa"/>
          </w:tcPr>
          <w:p w14:paraId="35438B83" w14:textId="77777777" w:rsidR="000B6BA3" w:rsidRPr="00C02E5D" w:rsidRDefault="000B6BA3" w:rsidP="00181730">
            <w:pPr>
              <w:pStyle w:val="ECCTabletext"/>
              <w:rPr>
                <w:rFonts w:ascii="Times New Roman" w:hAnsi="Times New Roman"/>
              </w:rPr>
            </w:pPr>
            <w:r w:rsidRPr="00C02E5D">
              <w:rPr>
                <w:rFonts w:ascii="Times New Roman" w:hAnsi="Times New Roman"/>
              </w:rPr>
              <w:t>10%</w:t>
            </w:r>
          </w:p>
        </w:tc>
      </w:tr>
      <w:tr w:rsidR="000B6BA3" w:rsidRPr="00903A2F" w14:paraId="2B7F0924" w14:textId="77777777" w:rsidTr="00181730">
        <w:trPr>
          <w:trHeight w:val="75"/>
        </w:trPr>
        <w:tc>
          <w:tcPr>
            <w:tcW w:w="1669" w:type="dxa"/>
          </w:tcPr>
          <w:p w14:paraId="2D181C88" w14:textId="77777777" w:rsidR="000B6BA3" w:rsidRPr="00C02E5D" w:rsidRDefault="000B6BA3" w:rsidP="00181730">
            <w:pPr>
              <w:pStyle w:val="ECCTabletext"/>
              <w:rPr>
                <w:rFonts w:ascii="Times New Roman" w:hAnsi="Times New Roman"/>
              </w:rPr>
            </w:pPr>
            <w:r w:rsidRPr="00C02E5D">
              <w:rPr>
                <w:rFonts w:ascii="Times New Roman" w:hAnsi="Times New Roman"/>
              </w:rPr>
              <w:t>2</w:t>
            </w:r>
            <w:r w:rsidRPr="00C02E5D">
              <w:rPr>
                <w:rFonts w:ascii="Times New Roman" w:hAnsi="Times New Roman"/>
                <w:vertAlign w:val="superscript"/>
              </w:rPr>
              <w:t>nd</w:t>
            </w:r>
          </w:p>
        </w:tc>
        <w:tc>
          <w:tcPr>
            <w:tcW w:w="3686" w:type="dxa"/>
          </w:tcPr>
          <w:p w14:paraId="110B50C5" w14:textId="77777777" w:rsidR="000B6BA3" w:rsidRPr="00C02E5D" w:rsidRDefault="000B6BA3" w:rsidP="00181730">
            <w:pPr>
              <w:pStyle w:val="ECCTabletext"/>
              <w:rPr>
                <w:rFonts w:ascii="Times New Roman" w:hAnsi="Times New Roman"/>
              </w:rPr>
            </w:pPr>
            <w:r w:rsidRPr="00C02E5D">
              <w:rPr>
                <w:rFonts w:ascii="Times New Roman" w:hAnsi="Times New Roman"/>
              </w:rPr>
              <w:t>4 to 5 years</w:t>
            </w:r>
          </w:p>
        </w:tc>
        <w:tc>
          <w:tcPr>
            <w:tcW w:w="2106" w:type="dxa"/>
          </w:tcPr>
          <w:p w14:paraId="7A26545A" w14:textId="77777777" w:rsidR="000B6BA3" w:rsidRPr="00C02E5D" w:rsidRDefault="000B6BA3" w:rsidP="00181730">
            <w:pPr>
              <w:pStyle w:val="ECCTabletext"/>
              <w:rPr>
                <w:rFonts w:ascii="Times New Roman" w:hAnsi="Times New Roman"/>
              </w:rPr>
            </w:pPr>
            <w:r w:rsidRPr="00C02E5D">
              <w:rPr>
                <w:rFonts w:ascii="Times New Roman" w:hAnsi="Times New Roman"/>
              </w:rPr>
              <w:t>30-50%</w:t>
            </w:r>
          </w:p>
        </w:tc>
      </w:tr>
      <w:tr w:rsidR="000B6BA3" w:rsidRPr="00903A2F" w14:paraId="38896F44" w14:textId="77777777" w:rsidTr="00181730">
        <w:trPr>
          <w:trHeight w:val="75"/>
        </w:trPr>
        <w:tc>
          <w:tcPr>
            <w:tcW w:w="1669" w:type="dxa"/>
          </w:tcPr>
          <w:p w14:paraId="438E7B13" w14:textId="77777777" w:rsidR="000B6BA3" w:rsidRPr="00C02E5D" w:rsidRDefault="000B6BA3" w:rsidP="00181730">
            <w:pPr>
              <w:pStyle w:val="ECCTabletext"/>
              <w:rPr>
                <w:rFonts w:ascii="Times New Roman" w:hAnsi="Times New Roman"/>
              </w:rPr>
            </w:pPr>
            <w:r w:rsidRPr="00C02E5D">
              <w:rPr>
                <w:rFonts w:ascii="Times New Roman" w:hAnsi="Times New Roman"/>
              </w:rPr>
              <w:t>3</w:t>
            </w:r>
            <w:r w:rsidRPr="00C02E5D">
              <w:rPr>
                <w:rFonts w:ascii="Times New Roman" w:hAnsi="Times New Roman"/>
                <w:vertAlign w:val="superscript"/>
              </w:rPr>
              <w:t>rd</w:t>
            </w:r>
          </w:p>
        </w:tc>
        <w:tc>
          <w:tcPr>
            <w:tcW w:w="3686" w:type="dxa"/>
          </w:tcPr>
          <w:p w14:paraId="4C146F4E" w14:textId="77777777" w:rsidR="000B6BA3" w:rsidRPr="00C02E5D" w:rsidRDefault="000B6BA3" w:rsidP="00181730">
            <w:pPr>
              <w:pStyle w:val="ECCTabletext"/>
              <w:rPr>
                <w:rFonts w:ascii="Times New Roman" w:hAnsi="Times New Roman"/>
              </w:rPr>
            </w:pPr>
            <w:r w:rsidRPr="00C02E5D">
              <w:rPr>
                <w:rFonts w:ascii="Times New Roman" w:hAnsi="Times New Roman"/>
              </w:rPr>
              <w:t>7 years</w:t>
            </w:r>
          </w:p>
        </w:tc>
        <w:tc>
          <w:tcPr>
            <w:tcW w:w="2106" w:type="dxa"/>
          </w:tcPr>
          <w:p w14:paraId="46FED04A" w14:textId="77777777" w:rsidR="000B6BA3" w:rsidRPr="00C02E5D" w:rsidRDefault="000B6BA3" w:rsidP="00181730">
            <w:pPr>
              <w:pStyle w:val="ECCTabletext"/>
              <w:rPr>
                <w:rFonts w:ascii="Times New Roman" w:hAnsi="Times New Roman"/>
              </w:rPr>
            </w:pPr>
            <w:r w:rsidRPr="00C02E5D">
              <w:rPr>
                <w:rFonts w:ascii="Times New Roman" w:hAnsi="Times New Roman"/>
              </w:rPr>
              <w:t>90-95% /100%</w:t>
            </w:r>
          </w:p>
        </w:tc>
      </w:tr>
    </w:tbl>
    <w:p w14:paraId="06C3D29B" w14:textId="77777777" w:rsidR="000B6BA3" w:rsidRPr="00925BFC" w:rsidRDefault="000B6BA3" w:rsidP="000B6BA3">
      <w:pPr>
        <w:rPr>
          <w:i/>
          <w:iCs/>
        </w:rPr>
      </w:pPr>
      <w:r w:rsidRPr="00925BFC">
        <w:rPr>
          <w:i/>
          <w:iCs/>
        </w:rPr>
        <w:t>Note:</w:t>
      </w:r>
    </w:p>
    <w:p w14:paraId="217347F9" w14:textId="13E098E9" w:rsidR="000B6BA3" w:rsidRDefault="000B6BA3">
      <w:r w:rsidRPr="00514CC7">
        <w:t xml:space="preserve">The </w:t>
      </w:r>
      <w:r>
        <w:t xml:space="preserve">WRC-19 </w:t>
      </w:r>
      <w:r w:rsidRPr="00514CC7">
        <w:t xml:space="preserve">Conference when considering the ranges of </w:t>
      </w:r>
      <w:r w:rsidR="004D76D9" w:rsidRPr="00514CC7">
        <w:t>m</w:t>
      </w:r>
      <w:r w:rsidRPr="00514CC7">
        <w:t>ilestones and associated deployment factor</w:t>
      </w:r>
      <w:r>
        <w:t>s</w:t>
      </w:r>
      <w:r w:rsidRPr="00514CC7">
        <w:t xml:space="preserve"> in the above table, may consider allowing a degree of flexibility to </w:t>
      </w:r>
      <w:r w:rsidR="00D35FAC" w:rsidRPr="00595FC4">
        <w:rPr>
          <w:rPrChange w:id="9" w:author="BR" w:date="2019-09-25T14:03:00Z">
            <w:rPr>
              <w:highlight w:val="cyan"/>
            </w:rPr>
          </w:rPrChange>
        </w:rPr>
        <w:t>n</w:t>
      </w:r>
      <w:r w:rsidRPr="00514CC7">
        <w:t>on-GSO satellite operators if they missed the percentage criterion in the milestone 1 or 2 above</w:t>
      </w:r>
      <w:r>
        <w:t>,</w:t>
      </w:r>
      <w:r w:rsidRPr="00514CC7">
        <w:t xml:space="preserve"> it would need to achieve those criteria at the subsequent </w:t>
      </w:r>
      <w:r w:rsidR="00A32654" w:rsidRPr="00514CC7">
        <w:t>m</w:t>
      </w:r>
      <w:r w:rsidRPr="00514CC7">
        <w:t>ilestone.</w:t>
      </w:r>
    </w:p>
    <w:p w14:paraId="5E9CCFC1" w14:textId="77777777" w:rsidR="000B6BA3" w:rsidRPr="00DD6164" w:rsidRDefault="000B6BA3" w:rsidP="00C02E5D">
      <w:pPr>
        <w:pStyle w:val="Headingb"/>
        <w:rPr>
          <w:lang w:val="en-GB"/>
        </w:rPr>
      </w:pPr>
      <w:r w:rsidRPr="00DD6164">
        <w:rPr>
          <w:lang w:val="en-GB"/>
        </w:rPr>
        <w:t xml:space="preserve">Transitional </w:t>
      </w:r>
      <w:r w:rsidR="00FD666A" w:rsidRPr="00DD6164">
        <w:rPr>
          <w:lang w:val="en-GB"/>
        </w:rPr>
        <w:t>m</w:t>
      </w:r>
      <w:r w:rsidRPr="00DD6164">
        <w:rPr>
          <w:lang w:val="en-GB"/>
        </w:rPr>
        <w:t>easures</w:t>
      </w:r>
    </w:p>
    <w:p w14:paraId="40DB1713" w14:textId="643B07E0" w:rsidR="000B6BA3" w:rsidRPr="00A912B0" w:rsidRDefault="000B6BA3" w:rsidP="00A32654">
      <w:r w:rsidRPr="00A912B0">
        <w:t xml:space="preserve">APT Members </w:t>
      </w:r>
      <w:r>
        <w:t xml:space="preserve">could </w:t>
      </w:r>
      <w:r w:rsidRPr="00A912B0">
        <w:t>support Option</w:t>
      </w:r>
      <w:r w:rsidR="00595FC4">
        <w:t xml:space="preserve"> </w:t>
      </w:r>
      <w:r>
        <w:t>1,</w:t>
      </w:r>
      <w:r w:rsidRPr="00A912B0">
        <w:t xml:space="preserve"> the commencement date of the milestone </w:t>
      </w:r>
      <w:r>
        <w:t>process</w:t>
      </w:r>
      <w:r w:rsidRPr="00A912B0">
        <w:t xml:space="preserve"> </w:t>
      </w:r>
      <w:r>
        <w:t>to be</w:t>
      </w:r>
      <w:r w:rsidRPr="00A912B0">
        <w:t xml:space="preserve"> 1</w:t>
      </w:r>
      <w:r w:rsidR="00A32654">
        <w:t> </w:t>
      </w:r>
      <w:r w:rsidRPr="00A912B0">
        <w:t>Jan</w:t>
      </w:r>
      <w:r w:rsidR="004831D2">
        <w:t>uary</w:t>
      </w:r>
      <w:r w:rsidRPr="00A912B0">
        <w:t xml:space="preserve"> 2021</w:t>
      </w:r>
      <w:r>
        <w:t>,</w:t>
      </w:r>
      <w:r w:rsidRPr="008E045A">
        <w:t xml:space="preserve"> </w:t>
      </w:r>
      <w:r>
        <w:t>at this stage</w:t>
      </w:r>
      <w:r w:rsidRPr="00A912B0">
        <w:t>.</w:t>
      </w:r>
    </w:p>
    <w:p w14:paraId="30110653" w14:textId="77777777" w:rsidR="000B6BA3" w:rsidRPr="00DD6164" w:rsidRDefault="000B6BA3" w:rsidP="00C02E5D">
      <w:pPr>
        <w:pStyle w:val="Headingb"/>
        <w:rPr>
          <w:lang w:val="en-GB"/>
        </w:rPr>
      </w:pPr>
      <w:r w:rsidRPr="00DD6164">
        <w:rPr>
          <w:lang w:val="en-GB"/>
        </w:rPr>
        <w:t xml:space="preserve">Frequency bands and services for application </w:t>
      </w:r>
      <w:bookmarkStart w:id="10" w:name="_GoBack"/>
      <w:bookmarkEnd w:id="10"/>
      <w:r w:rsidRPr="00DD6164">
        <w:rPr>
          <w:lang w:val="en-GB"/>
        </w:rPr>
        <w:t>of the milestone-based approach</w:t>
      </w:r>
    </w:p>
    <w:p w14:paraId="182C7080" w14:textId="77777777" w:rsidR="000B6BA3" w:rsidRDefault="000B6BA3" w:rsidP="00C02E5D">
      <w:r w:rsidRPr="008A11CC">
        <w:t>APT Members support application of the milestone-based approach to non-GSO systems operating in the</w:t>
      </w:r>
      <w:r>
        <w:t xml:space="preserve"> FSS, BSS and MSS, but not those operating in the RNSS.</w:t>
      </w:r>
    </w:p>
    <w:p w14:paraId="7BE4A9E0" w14:textId="6A7EB75B" w:rsidR="000B6BA3" w:rsidRDefault="000B6BA3">
      <w:pPr>
        <w:rPr>
          <w:lang w:eastAsia="ja-JP"/>
        </w:rPr>
      </w:pPr>
      <w:r w:rsidRPr="008177AB">
        <w:rPr>
          <w:lang w:eastAsia="ja-JP"/>
        </w:rPr>
        <w:t>APT Members do not object, at this stage to the application of the approach to the following MSS frequency bands for which no consensus was reached and listed in the CPM Report: 137-137.025</w:t>
      </w:r>
      <w:r w:rsidR="004831D2">
        <w:rPr>
          <w:lang w:eastAsia="ja-JP"/>
        </w:rPr>
        <w:t> </w:t>
      </w:r>
      <w:r w:rsidRPr="008177AB">
        <w:rPr>
          <w:lang w:eastAsia="ja-JP"/>
        </w:rPr>
        <w:t xml:space="preserve">MHz, 137.025-137.175 MHz, 137.175-137.825 MHz, 137.825-138 MHz, 148-149.9 MHz, </w:t>
      </w:r>
      <w:r w:rsidRPr="00E73181">
        <w:rPr>
          <w:lang w:eastAsia="ja-JP"/>
        </w:rPr>
        <w:t>149.9-150.05 MHz (</w:t>
      </w:r>
      <w:r w:rsidR="00D35FAC" w:rsidRPr="00595FC4">
        <w:rPr>
          <w:lang w:eastAsia="ja-JP"/>
        </w:rPr>
        <w:t>t</w:t>
      </w:r>
      <w:r w:rsidRPr="00E73181">
        <w:rPr>
          <w:lang w:eastAsia="ja-JP"/>
        </w:rPr>
        <w:t>his band 149.9-150.05 MHz appears to have been mistakenly listed in the CPM Report as 137-138 MHz)</w:t>
      </w:r>
      <w:r w:rsidRPr="008177AB">
        <w:rPr>
          <w:lang w:eastAsia="ja-JP"/>
        </w:rPr>
        <w:t>,</w:t>
      </w:r>
      <w:r w:rsidRPr="008177AB">
        <w:t xml:space="preserve"> 399.9-400.05 MHz, and 400.15-401</w:t>
      </w:r>
      <w:r w:rsidRPr="00531286">
        <w:t xml:space="preserve"> MHz</w:t>
      </w:r>
      <w:r w:rsidRPr="00531286">
        <w:rPr>
          <w:lang w:eastAsia="ja-JP"/>
        </w:rPr>
        <w:t>.</w:t>
      </w:r>
    </w:p>
    <w:p w14:paraId="0E55EC3E" w14:textId="77777777" w:rsidR="000B6BA3" w:rsidRPr="00DD6164" w:rsidRDefault="000B6BA3" w:rsidP="00C02E5D">
      <w:pPr>
        <w:pStyle w:val="Headingb"/>
        <w:rPr>
          <w:lang w:val="en-GB"/>
        </w:rPr>
      </w:pPr>
      <w:r w:rsidRPr="00DD6164">
        <w:rPr>
          <w:lang w:val="en-GB"/>
        </w:rPr>
        <w:t>Milestone based approach – consequences of non-submission of milestone information (resolves 11 to 11</w:t>
      </w:r>
      <w:r w:rsidRPr="004831D2">
        <w:rPr>
          <w:i/>
          <w:iCs/>
          <w:lang w:val="en-GB"/>
        </w:rPr>
        <w:t>ter</w:t>
      </w:r>
      <w:r w:rsidRPr="00DD6164">
        <w:rPr>
          <w:lang w:val="en-GB"/>
        </w:rPr>
        <w:t>)</w:t>
      </w:r>
    </w:p>
    <w:p w14:paraId="1154AF5D" w14:textId="77777777" w:rsidR="000B6BA3" w:rsidRDefault="000B6BA3" w:rsidP="00C02E5D">
      <w:r>
        <w:t xml:space="preserve">APT Members expressed preference for </w:t>
      </w:r>
      <w:r w:rsidRPr="001959C1">
        <w:t>Option 1</w:t>
      </w:r>
      <w:r w:rsidRPr="0049661F">
        <w:t>.</w:t>
      </w:r>
    </w:p>
    <w:p w14:paraId="78D83608" w14:textId="77777777" w:rsidR="000B6BA3" w:rsidRPr="00DD6164" w:rsidRDefault="000B6BA3" w:rsidP="00DD6164">
      <w:pPr>
        <w:pStyle w:val="Headingb"/>
        <w:rPr>
          <w:rStyle w:val="Strong"/>
          <w:b/>
          <w:bCs w:val="0"/>
          <w:lang w:val="en-GB"/>
        </w:rPr>
      </w:pPr>
      <w:r w:rsidRPr="00DD6164">
        <w:rPr>
          <w:rStyle w:val="Strong"/>
          <w:b/>
          <w:bCs w:val="0"/>
          <w:lang w:val="en-GB"/>
        </w:rPr>
        <w:t>Milestone based approach – reuse of spacecraft to BIU or count towards milestones of other systems (</w:t>
      </w:r>
      <w:r w:rsidRPr="006E74C7">
        <w:rPr>
          <w:rStyle w:val="Strong"/>
          <w:b/>
          <w:bCs w:val="0"/>
          <w:i/>
          <w:iCs/>
          <w:lang w:val="en-GB"/>
        </w:rPr>
        <w:t>resolves</w:t>
      </w:r>
      <w:r w:rsidRPr="00DD6164">
        <w:rPr>
          <w:rStyle w:val="Strong"/>
          <w:b/>
          <w:bCs w:val="0"/>
          <w:lang w:val="en-GB"/>
        </w:rPr>
        <w:t xml:space="preserve"> 12)</w:t>
      </w:r>
    </w:p>
    <w:p w14:paraId="199DDA67" w14:textId="77777777" w:rsidR="000B6BA3" w:rsidRDefault="000B6BA3" w:rsidP="00A3457A">
      <w:r>
        <w:t xml:space="preserve">APT Members expressed slight preference for </w:t>
      </w:r>
      <w:r w:rsidRPr="00FE0AEF">
        <w:t xml:space="preserve">Alternative </w:t>
      </w:r>
      <w:r w:rsidRPr="00167A70">
        <w:t>2</w:t>
      </w:r>
      <w:r w:rsidR="00167A70" w:rsidRPr="00595FC4">
        <w:t xml:space="preserve"> </w:t>
      </w:r>
      <w:r w:rsidRPr="00167A70">
        <w:t>(</w:t>
      </w:r>
      <w:r>
        <w:t>NOC), at this stage</w:t>
      </w:r>
      <w:r w:rsidRPr="0049661F">
        <w:t>.</w:t>
      </w:r>
    </w:p>
    <w:p w14:paraId="57D060E2" w14:textId="77777777" w:rsidR="000B6BA3" w:rsidRPr="00A85CD1" w:rsidRDefault="000B6BA3" w:rsidP="00A3457A">
      <w:pPr>
        <w:pStyle w:val="Headingb"/>
        <w:rPr>
          <w:rStyle w:val="Strong"/>
          <w:b/>
          <w:bCs w:val="0"/>
          <w:lang w:val="en-US"/>
          <w:rPrChange w:id="11" w:author="author" w:date="2019-09-25T09:08:00Z">
            <w:rPr>
              <w:rStyle w:val="Strong"/>
              <w:rFonts w:ascii="Times New Roman" w:hAnsi="Times New Roman" w:cs="Times New Roman"/>
              <w:b/>
              <w:bCs w:val="0"/>
              <w:lang w:val="en-GB"/>
            </w:rPr>
          </w:rPrChange>
        </w:rPr>
      </w:pPr>
      <w:r w:rsidRPr="00A85CD1">
        <w:rPr>
          <w:rStyle w:val="Strong"/>
          <w:b/>
          <w:bCs w:val="0"/>
          <w:lang w:val="en-US"/>
          <w:rPrChange w:id="12" w:author="author" w:date="2019-09-25T09:08:00Z">
            <w:rPr>
              <w:rStyle w:val="Strong"/>
              <w:b/>
              <w:bCs w:val="0"/>
            </w:rPr>
          </w:rPrChange>
        </w:rPr>
        <w:t>Bringing into use – tolerances in orbital characteristic values</w:t>
      </w:r>
    </w:p>
    <w:p w14:paraId="7021922B" w14:textId="77777777" w:rsidR="000B6BA3" w:rsidRPr="00A87946" w:rsidRDefault="000B6BA3" w:rsidP="00C02E5D">
      <w:pPr>
        <w:rPr>
          <w:rFonts w:ascii="Calibri" w:hAnsi="Calibri" w:cs="Mangal"/>
        </w:rPr>
      </w:pPr>
      <w:r>
        <w:t>APT Members d</w:t>
      </w:r>
      <w:r w:rsidRPr="00DA527D">
        <w:t>o not support the application of tolerance values</w:t>
      </w:r>
      <w:r>
        <w:t xml:space="preserve"> at this stage</w:t>
      </w:r>
      <w:r w:rsidRPr="00DA527D">
        <w:t>,</w:t>
      </w:r>
      <w:r w:rsidRPr="00FA48AA">
        <w:t xml:space="preserve"> </w:t>
      </w:r>
      <w:r>
        <w:t>because</w:t>
      </w:r>
      <w:r w:rsidRPr="0042498F">
        <w:t xml:space="preserve"> no technical basis has been developed within the ITU-R in this study cycle to determine how much deviation could be tolerated between the characteristics of the notified orbital planes and the characteristics of the orbital planes associated with any deployed space stations</w:t>
      </w:r>
      <w:r>
        <w:rPr>
          <w:rFonts w:ascii="Calibri" w:hAnsi="Calibri" w:cs="Mangal"/>
        </w:rPr>
        <w:t>.</w:t>
      </w:r>
    </w:p>
    <w:p w14:paraId="52F1742E" w14:textId="77777777" w:rsidR="00C02E5D" w:rsidRPr="00DD6164" w:rsidRDefault="00C02E5D">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1402EC98" w14:textId="77777777" w:rsidR="000B6BA3" w:rsidRPr="00DD6164" w:rsidRDefault="000B6BA3" w:rsidP="00C02E5D">
      <w:pPr>
        <w:pStyle w:val="Headingb"/>
        <w:rPr>
          <w:lang w:val="en-GB"/>
        </w:rPr>
      </w:pPr>
      <w:r w:rsidRPr="00DD6164">
        <w:rPr>
          <w:lang w:val="en-GB"/>
        </w:rPr>
        <w:lastRenderedPageBreak/>
        <w:t>Proposals</w:t>
      </w:r>
    </w:p>
    <w:p w14:paraId="4F3B3B90" w14:textId="77777777" w:rsidR="00A037D2" w:rsidRDefault="00FD666A">
      <w:pPr>
        <w:pStyle w:val="Proposal"/>
      </w:pPr>
      <w:r>
        <w:tab/>
        <w:t>ACP/24A19A1/1</w:t>
      </w:r>
    </w:p>
    <w:p w14:paraId="2E68F3EE" w14:textId="6C156086" w:rsidR="00C02E5D" w:rsidRPr="00C02E5D" w:rsidRDefault="00C02E5D" w:rsidP="00C02E5D">
      <w:r w:rsidRPr="00C02E5D">
        <w:t>This issue is one of the most complex and</w:t>
      </w:r>
      <w:r>
        <w:t xml:space="preserve"> critical subjects that WRC</w:t>
      </w:r>
      <w:r>
        <w:noBreakHyphen/>
      </w:r>
      <w:r w:rsidRPr="00C02E5D">
        <w:t>19 would need to address and decide upon.</w:t>
      </w:r>
    </w:p>
    <w:p w14:paraId="0B62CB87" w14:textId="272F1483" w:rsidR="00C02E5D" w:rsidRPr="00595FC4" w:rsidRDefault="00C02E5D" w:rsidP="00C02E5D">
      <w:r w:rsidRPr="00595FC4">
        <w:t xml:space="preserve">Due to the provisional nature of several items associated with </w:t>
      </w:r>
      <w:r w:rsidR="00306B0E" w:rsidRPr="00595FC4">
        <w:t xml:space="preserve">the </w:t>
      </w:r>
      <w:r w:rsidR="004D76D9" w:rsidRPr="00595FC4">
        <w:t>m</w:t>
      </w:r>
      <w:r w:rsidRPr="00595FC4">
        <w:t xml:space="preserve">ilestone-based approach and because of strong interrelation of some of these factors with each other's, individual decision on one element without agreement of other element(s) seems inappropriate and counterproductive since such decision undermine the flexibility that WRC-19 should have at its disposal to make an overall evaluation of all elements of </w:t>
      </w:r>
      <w:r w:rsidR="00056C79" w:rsidRPr="00595FC4">
        <w:t xml:space="preserve">the </w:t>
      </w:r>
      <w:r w:rsidR="004D76D9" w:rsidRPr="00595FC4">
        <w:t>m</w:t>
      </w:r>
      <w:r w:rsidRPr="00595FC4">
        <w:t>ilestone-based approach taking into account dependency of each element to others elements as well as through analysis of the most possible alternatives.</w:t>
      </w:r>
    </w:p>
    <w:p w14:paraId="6826BA41" w14:textId="77777777" w:rsidR="00C02E5D" w:rsidRPr="00595FC4" w:rsidRDefault="00C02E5D">
      <w:r w:rsidRPr="00595FC4">
        <w:t xml:space="preserve">APT Members decided to submit </w:t>
      </w:r>
      <w:r w:rsidR="008C119E" w:rsidRPr="00595FC4">
        <w:t xml:space="preserve">a </w:t>
      </w:r>
      <w:r w:rsidRPr="00595FC4">
        <w:t xml:space="preserve">range of most probable options in order to permit WRC-19 to freely and clearly analyse the situation without being biased by any specific option, make thorough analysis of the situation and decide accordingly taking into account the results of negotiation to be carried out between the existing and immediate potential users/operators of the </w:t>
      </w:r>
      <w:r w:rsidR="0012421A" w:rsidRPr="00595FC4">
        <w:t>non-</w:t>
      </w:r>
      <w:r w:rsidRPr="00595FC4">
        <w:t>GSO Milestone-based approach.</w:t>
      </w:r>
    </w:p>
    <w:p w14:paraId="30C44301" w14:textId="77777777" w:rsidR="00C02E5D" w:rsidRPr="00C02E5D" w:rsidRDefault="00C02E5D">
      <w:r w:rsidRPr="00595FC4">
        <w:t>Th</w:t>
      </w:r>
      <w:r w:rsidR="004D4393" w:rsidRPr="00595FC4">
        <w:t>is</w:t>
      </w:r>
      <w:r w:rsidRPr="00595FC4">
        <w:t xml:space="preserve"> range of most probable options is contained in the table:</w:t>
      </w:r>
    </w:p>
    <w:p w14:paraId="744B4CB6" w14:textId="77777777" w:rsidR="00C02E5D" w:rsidRPr="00C02E5D" w:rsidRDefault="00C02E5D" w:rsidP="00C02E5D"/>
    <w:tbl>
      <w:tblPr>
        <w:tblStyle w:val="ECCTable-redheader1"/>
        <w:tblW w:w="74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686"/>
        <w:gridCol w:w="2106"/>
      </w:tblGrid>
      <w:tr w:rsidR="00C02E5D" w:rsidRPr="00C02E5D" w14:paraId="4329E9B9" w14:textId="77777777" w:rsidTr="00181730">
        <w:trPr>
          <w:cnfStyle w:val="100000000000" w:firstRow="1" w:lastRow="0" w:firstColumn="0" w:lastColumn="0" w:oddVBand="0" w:evenVBand="0" w:oddHBand="0" w:evenHBand="0" w:firstRowFirstColumn="0" w:firstRowLastColumn="0" w:lastRowFirstColumn="0" w:lastRowLastColumn="0"/>
        </w:trPr>
        <w:tc>
          <w:tcPr>
            <w:tcW w:w="16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07CAC9AC" w14:textId="77777777" w:rsidR="00C02E5D" w:rsidRPr="00C02E5D" w:rsidRDefault="00C02E5D" w:rsidP="00C02E5D">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C02E5D">
              <w:rPr>
                <w:bCs/>
                <w:color w:val="auto"/>
                <w:sz w:val="20"/>
                <w:lang w:eastAsia="de-DE"/>
              </w:rPr>
              <w:t>Milestones</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09A7802A" w14:textId="77777777" w:rsidR="00C02E5D" w:rsidRPr="00C02E5D" w:rsidRDefault="00C02E5D" w:rsidP="00C02E5D">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C02E5D">
              <w:rPr>
                <w:bCs/>
                <w:color w:val="auto"/>
                <w:sz w:val="20"/>
                <w:lang w:eastAsia="de-DE"/>
              </w:rPr>
              <w:t>Milestone timing</w:t>
            </w:r>
          </w:p>
          <w:p w14:paraId="79EC72F7" w14:textId="7004C6F3" w:rsidR="00C02E5D" w:rsidRPr="00C02E5D" w:rsidRDefault="00C02E5D" w:rsidP="00C02E5D">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C02E5D">
              <w:rPr>
                <w:bCs/>
                <w:color w:val="auto"/>
                <w:sz w:val="20"/>
                <w:lang w:eastAsia="de-DE"/>
              </w:rPr>
              <w:t>(Number of years after the end of the seven-year regulatory period or after 1</w:t>
            </w:r>
            <w:r w:rsidR="00E306A9">
              <w:rPr>
                <w:bCs/>
                <w:color w:val="auto"/>
                <w:sz w:val="20"/>
                <w:lang w:eastAsia="de-DE"/>
              </w:rPr>
              <w:t> </w:t>
            </w:r>
            <w:r w:rsidRPr="00C02E5D">
              <w:rPr>
                <w:bCs/>
                <w:color w:val="auto"/>
                <w:sz w:val="20"/>
                <w:lang w:eastAsia="de-DE"/>
              </w:rPr>
              <w:t>January 2021, whichever falls later)</w:t>
            </w:r>
          </w:p>
        </w:tc>
        <w:tc>
          <w:tcPr>
            <w:tcW w:w="21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7F037845" w14:textId="77777777" w:rsidR="00C02E5D" w:rsidRPr="00C02E5D" w:rsidRDefault="00C02E5D" w:rsidP="00C02E5D">
            <w:pPr>
              <w:tabs>
                <w:tab w:val="clear" w:pos="1134"/>
                <w:tab w:val="clear" w:pos="1871"/>
                <w:tab w:val="clear" w:pos="2268"/>
              </w:tabs>
              <w:overflowPunct/>
              <w:autoSpaceDE/>
              <w:autoSpaceDN/>
              <w:adjustRightInd/>
              <w:spacing w:before="240" w:after="60"/>
              <w:textAlignment w:val="auto"/>
              <w:rPr>
                <w:bCs/>
                <w:color w:val="auto"/>
                <w:sz w:val="20"/>
                <w:lang w:eastAsia="de-DE"/>
              </w:rPr>
            </w:pPr>
            <w:r w:rsidRPr="00C02E5D">
              <w:rPr>
                <w:bCs/>
                <w:color w:val="auto"/>
                <w:sz w:val="20"/>
                <w:lang w:eastAsia="de-DE"/>
              </w:rPr>
              <w:t>Minimum required % of satellites deployed to meet the milestone</w:t>
            </w:r>
          </w:p>
        </w:tc>
      </w:tr>
      <w:tr w:rsidR="00C02E5D" w:rsidRPr="00C02E5D" w14:paraId="70C377ED" w14:textId="77777777" w:rsidTr="00181730">
        <w:trPr>
          <w:trHeight w:val="75"/>
        </w:trPr>
        <w:tc>
          <w:tcPr>
            <w:tcW w:w="1669" w:type="dxa"/>
          </w:tcPr>
          <w:p w14:paraId="39F84562"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1</w:t>
            </w:r>
            <w:r w:rsidRPr="00C02E5D">
              <w:rPr>
                <w:sz w:val="20"/>
                <w:szCs w:val="22"/>
                <w:vertAlign w:val="superscript"/>
              </w:rPr>
              <w:t>st</w:t>
            </w:r>
          </w:p>
        </w:tc>
        <w:tc>
          <w:tcPr>
            <w:tcW w:w="3686" w:type="dxa"/>
          </w:tcPr>
          <w:p w14:paraId="048A9F04"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2 to 3 years</w:t>
            </w:r>
          </w:p>
        </w:tc>
        <w:tc>
          <w:tcPr>
            <w:tcW w:w="2106" w:type="dxa"/>
          </w:tcPr>
          <w:p w14:paraId="55030AD5"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10%</w:t>
            </w:r>
          </w:p>
        </w:tc>
      </w:tr>
      <w:tr w:rsidR="00C02E5D" w:rsidRPr="00C02E5D" w14:paraId="45C52098" w14:textId="77777777" w:rsidTr="00181730">
        <w:trPr>
          <w:trHeight w:val="75"/>
        </w:trPr>
        <w:tc>
          <w:tcPr>
            <w:tcW w:w="1669" w:type="dxa"/>
          </w:tcPr>
          <w:p w14:paraId="15DCA42E"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2</w:t>
            </w:r>
            <w:r w:rsidRPr="00C02E5D">
              <w:rPr>
                <w:sz w:val="20"/>
                <w:szCs w:val="22"/>
                <w:vertAlign w:val="superscript"/>
              </w:rPr>
              <w:t>nd</w:t>
            </w:r>
          </w:p>
        </w:tc>
        <w:tc>
          <w:tcPr>
            <w:tcW w:w="3686" w:type="dxa"/>
          </w:tcPr>
          <w:p w14:paraId="4C932D89"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4 to 5 years</w:t>
            </w:r>
          </w:p>
        </w:tc>
        <w:tc>
          <w:tcPr>
            <w:tcW w:w="2106" w:type="dxa"/>
          </w:tcPr>
          <w:p w14:paraId="4546BCC8"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30-50%</w:t>
            </w:r>
          </w:p>
        </w:tc>
      </w:tr>
      <w:tr w:rsidR="00C02E5D" w:rsidRPr="00C02E5D" w14:paraId="167EDBB7" w14:textId="77777777" w:rsidTr="00181730">
        <w:trPr>
          <w:trHeight w:val="75"/>
        </w:trPr>
        <w:tc>
          <w:tcPr>
            <w:tcW w:w="1669" w:type="dxa"/>
          </w:tcPr>
          <w:p w14:paraId="36803C30"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3</w:t>
            </w:r>
            <w:r w:rsidRPr="00C02E5D">
              <w:rPr>
                <w:sz w:val="20"/>
                <w:szCs w:val="22"/>
                <w:vertAlign w:val="superscript"/>
              </w:rPr>
              <w:t>rd</w:t>
            </w:r>
          </w:p>
        </w:tc>
        <w:tc>
          <w:tcPr>
            <w:tcW w:w="3686" w:type="dxa"/>
          </w:tcPr>
          <w:p w14:paraId="7091D686"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7 years</w:t>
            </w:r>
          </w:p>
        </w:tc>
        <w:tc>
          <w:tcPr>
            <w:tcW w:w="2106" w:type="dxa"/>
          </w:tcPr>
          <w:p w14:paraId="25DFD1C3" w14:textId="77777777" w:rsidR="00C02E5D" w:rsidRPr="00C02E5D" w:rsidRDefault="00C02E5D" w:rsidP="00C02E5D">
            <w:pPr>
              <w:tabs>
                <w:tab w:val="clear" w:pos="1134"/>
                <w:tab w:val="clear" w:pos="1871"/>
                <w:tab w:val="clear" w:pos="2268"/>
              </w:tabs>
              <w:overflowPunct/>
              <w:autoSpaceDE/>
              <w:autoSpaceDN/>
              <w:adjustRightInd/>
              <w:spacing w:before="0"/>
              <w:textAlignment w:val="auto"/>
              <w:rPr>
                <w:sz w:val="20"/>
                <w:szCs w:val="22"/>
              </w:rPr>
            </w:pPr>
            <w:r w:rsidRPr="00C02E5D">
              <w:rPr>
                <w:sz w:val="20"/>
                <w:szCs w:val="22"/>
              </w:rPr>
              <w:t>90-95% /100%</w:t>
            </w:r>
          </w:p>
        </w:tc>
      </w:tr>
    </w:tbl>
    <w:p w14:paraId="1BBFC5F6" w14:textId="77777777" w:rsidR="00C02E5D" w:rsidRPr="00C02E5D" w:rsidRDefault="00C02E5D" w:rsidP="00C02E5D">
      <w:pPr>
        <w:rPr>
          <w:i/>
          <w:iCs/>
        </w:rPr>
      </w:pPr>
      <w:r w:rsidRPr="00C02E5D">
        <w:rPr>
          <w:i/>
          <w:iCs/>
        </w:rPr>
        <w:t>Note:</w:t>
      </w:r>
    </w:p>
    <w:p w14:paraId="271A36F9" w14:textId="005F4FB9" w:rsidR="00A037D2" w:rsidRDefault="00C02E5D">
      <w:r w:rsidRPr="00C02E5D">
        <w:t xml:space="preserve">The WRC-19 Conference when considering the ranges of </w:t>
      </w:r>
      <w:r w:rsidR="004D76D9" w:rsidRPr="00C02E5D">
        <w:t>m</w:t>
      </w:r>
      <w:r w:rsidRPr="00C02E5D">
        <w:t xml:space="preserve">ilestones and associated deployment </w:t>
      </w:r>
      <w:r w:rsidRPr="00595FC4">
        <w:t xml:space="preserve">factors in the above table, may consider allowing a degree of flexibility to </w:t>
      </w:r>
      <w:r w:rsidR="00EB689A" w:rsidRPr="00595FC4">
        <w:t>n</w:t>
      </w:r>
      <w:r w:rsidRPr="00595FC4">
        <w:t>on-GSO satellite operators if they missed the</w:t>
      </w:r>
      <w:r w:rsidR="004D76D9">
        <w:t xml:space="preserve"> </w:t>
      </w:r>
      <w:r w:rsidRPr="00595FC4">
        <w:t xml:space="preserve">percentage criterion in the milestone 1 or 2 above, it would need to achieve those criteria at the subsequent </w:t>
      </w:r>
      <w:r w:rsidR="009B743E" w:rsidRPr="00595FC4">
        <w:t>m</w:t>
      </w:r>
      <w:r w:rsidRPr="00595FC4">
        <w:t>ilestone.</w:t>
      </w:r>
    </w:p>
    <w:p w14:paraId="33BBC8AC" w14:textId="77777777" w:rsidR="00A037D2" w:rsidRDefault="00FD666A" w:rsidP="00C02E5D">
      <w:pPr>
        <w:pStyle w:val="Reasons"/>
      </w:pPr>
      <w:r>
        <w:rPr>
          <w:b/>
        </w:rPr>
        <w:t>Reasons:</w:t>
      </w:r>
      <w:r>
        <w:tab/>
      </w:r>
      <w:r w:rsidR="00C02E5D">
        <w:t>To satisfy WRC-19 agenda item 7, Issue A.</w:t>
      </w:r>
    </w:p>
    <w:p w14:paraId="460E3CA2" w14:textId="77777777" w:rsidR="00C02E5D" w:rsidRDefault="00C02E5D" w:rsidP="00C02E5D"/>
    <w:p w14:paraId="2B38FE00" w14:textId="77777777" w:rsidR="00C02E5D" w:rsidRDefault="00C02E5D">
      <w:pPr>
        <w:jc w:val="center"/>
      </w:pPr>
      <w:r>
        <w:t>______________</w:t>
      </w:r>
    </w:p>
    <w:sectPr w:rsidR="00C02E5D"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A4F7A" w14:textId="77777777" w:rsidR="00887EA9" w:rsidRDefault="00887EA9">
      <w:r>
        <w:separator/>
      </w:r>
    </w:p>
  </w:endnote>
  <w:endnote w:type="continuationSeparator" w:id="0">
    <w:p w14:paraId="01F7F924" w14:textId="77777777" w:rsidR="00887EA9" w:rsidRDefault="0088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85BF" w14:textId="77777777" w:rsidR="00E45D05" w:rsidRDefault="00E45D05">
    <w:pPr>
      <w:framePr w:wrap="around" w:vAnchor="text" w:hAnchor="margin" w:xAlign="right" w:y="1"/>
    </w:pPr>
    <w:r>
      <w:fldChar w:fldCharType="begin"/>
    </w:r>
    <w:r>
      <w:instrText xml:space="preserve">PAGE  </w:instrText>
    </w:r>
    <w:r>
      <w:fldChar w:fldCharType="end"/>
    </w:r>
  </w:p>
  <w:p w14:paraId="464DC235" w14:textId="6495C1C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07703">
      <w:rPr>
        <w:noProof/>
        <w:lang w:val="en-US"/>
      </w:rPr>
      <w:t>P:\ENG\ITU-R\CONF-R\CMR19\000\024ADD19ADD01E.docx</w:t>
    </w:r>
    <w:r>
      <w:fldChar w:fldCharType="end"/>
    </w:r>
    <w:r w:rsidRPr="0041348E">
      <w:rPr>
        <w:lang w:val="en-US"/>
      </w:rPr>
      <w:tab/>
    </w:r>
    <w:r>
      <w:fldChar w:fldCharType="begin"/>
    </w:r>
    <w:r>
      <w:instrText xml:space="preserve"> SAVEDATE \@ DD.MM.YY </w:instrText>
    </w:r>
    <w:r>
      <w:fldChar w:fldCharType="separate"/>
    </w:r>
    <w:r w:rsidR="00A07703">
      <w:rPr>
        <w:noProof/>
      </w:rPr>
      <w:t>30.09.19</w:t>
    </w:r>
    <w:r>
      <w:fldChar w:fldCharType="end"/>
    </w:r>
    <w:r w:rsidRPr="0041348E">
      <w:rPr>
        <w:lang w:val="en-US"/>
      </w:rPr>
      <w:tab/>
    </w:r>
    <w:r>
      <w:fldChar w:fldCharType="begin"/>
    </w:r>
    <w:r>
      <w:instrText xml:space="preserve"> PRINTDATE \@ DD.MM.YY </w:instrText>
    </w:r>
    <w:r>
      <w:fldChar w:fldCharType="separate"/>
    </w:r>
    <w:r w:rsidR="00A07703">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E41C" w14:textId="6A17751B" w:rsidR="00E45D05" w:rsidRDefault="00E45D05" w:rsidP="009B1EA1">
    <w:pPr>
      <w:pStyle w:val="Footer"/>
    </w:pPr>
    <w:r>
      <w:fldChar w:fldCharType="begin"/>
    </w:r>
    <w:r w:rsidRPr="0041348E">
      <w:rPr>
        <w:lang w:val="en-US"/>
      </w:rPr>
      <w:instrText xml:space="preserve"> FILENAME \p  \* MERGEFORMAT </w:instrText>
    </w:r>
    <w:r>
      <w:fldChar w:fldCharType="separate"/>
    </w:r>
    <w:r w:rsidR="00A07703">
      <w:rPr>
        <w:lang w:val="en-US"/>
      </w:rPr>
      <w:t>P:\ENG\ITU-R\CONF-R\CMR19\000\024ADD19ADD01E.docx</w:t>
    </w:r>
    <w:r>
      <w:fldChar w:fldCharType="end"/>
    </w:r>
    <w:r w:rsidR="000E5A23">
      <w:t xml:space="preserve"> (461132)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B991" w14:textId="60B89EE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07703">
      <w:rPr>
        <w:lang w:val="en-US"/>
      </w:rPr>
      <w:t>P:\ENG\ITU-R\CONF-R\CMR19\000\024ADD19ADD01E.docx</w:t>
    </w:r>
    <w:r>
      <w:fldChar w:fldCharType="end"/>
    </w:r>
    <w:r w:rsidR="000E5A23">
      <w:t xml:space="preserve"> (461132)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B1870" w14:textId="77777777" w:rsidR="00887EA9" w:rsidRDefault="00887EA9">
      <w:r>
        <w:rPr>
          <w:b/>
        </w:rPr>
        <w:t>_______________</w:t>
      </w:r>
    </w:p>
  </w:footnote>
  <w:footnote w:type="continuationSeparator" w:id="0">
    <w:p w14:paraId="38607037" w14:textId="77777777" w:rsidR="00887EA9" w:rsidRDefault="0088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767A" w14:textId="77777777" w:rsidR="00E45D05" w:rsidRDefault="00A066F1" w:rsidP="00187BD9">
    <w:pPr>
      <w:pStyle w:val="Header"/>
    </w:pPr>
    <w:r>
      <w:fldChar w:fldCharType="begin"/>
    </w:r>
    <w:r>
      <w:instrText xml:space="preserve"> PAGE  \* MERGEFORMAT </w:instrText>
    </w:r>
    <w:r>
      <w:fldChar w:fldCharType="separate"/>
    </w:r>
    <w:r w:rsidR="00595FC4">
      <w:rPr>
        <w:noProof/>
      </w:rPr>
      <w:t>3</w:t>
    </w:r>
    <w:r>
      <w:fldChar w:fldCharType="end"/>
    </w:r>
  </w:p>
  <w:p w14:paraId="6D78CCFB"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24(Add.19)(Add.1)</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56C79"/>
    <w:rsid w:val="000705F2"/>
    <w:rsid w:val="00076E24"/>
    <w:rsid w:val="00077239"/>
    <w:rsid w:val="0007795D"/>
    <w:rsid w:val="00085794"/>
    <w:rsid w:val="00086491"/>
    <w:rsid w:val="00091346"/>
    <w:rsid w:val="0009706C"/>
    <w:rsid w:val="000B6BA3"/>
    <w:rsid w:val="000D154B"/>
    <w:rsid w:val="000D2DAF"/>
    <w:rsid w:val="000E463E"/>
    <w:rsid w:val="000E5A23"/>
    <w:rsid w:val="000F73FF"/>
    <w:rsid w:val="00114CF7"/>
    <w:rsid w:val="00116C7A"/>
    <w:rsid w:val="00123B68"/>
    <w:rsid w:val="0012421A"/>
    <w:rsid w:val="00126F2E"/>
    <w:rsid w:val="00146F6F"/>
    <w:rsid w:val="00167A70"/>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06B0E"/>
    <w:rsid w:val="00361B37"/>
    <w:rsid w:val="00377BD3"/>
    <w:rsid w:val="00384088"/>
    <w:rsid w:val="003852CE"/>
    <w:rsid w:val="0039169B"/>
    <w:rsid w:val="003A7F8C"/>
    <w:rsid w:val="003B2284"/>
    <w:rsid w:val="003B532E"/>
    <w:rsid w:val="003D0F8B"/>
    <w:rsid w:val="003E0DB6"/>
    <w:rsid w:val="0041348E"/>
    <w:rsid w:val="00420873"/>
    <w:rsid w:val="004831D2"/>
    <w:rsid w:val="00492075"/>
    <w:rsid w:val="004969AD"/>
    <w:rsid w:val="004A26C4"/>
    <w:rsid w:val="004B13CB"/>
    <w:rsid w:val="004D26EA"/>
    <w:rsid w:val="004D2BFB"/>
    <w:rsid w:val="004D4393"/>
    <w:rsid w:val="004D5D5C"/>
    <w:rsid w:val="004D76D9"/>
    <w:rsid w:val="004F3DC0"/>
    <w:rsid w:val="0050139F"/>
    <w:rsid w:val="0055140B"/>
    <w:rsid w:val="00595FC4"/>
    <w:rsid w:val="005964AB"/>
    <w:rsid w:val="005C099A"/>
    <w:rsid w:val="005C31A5"/>
    <w:rsid w:val="005E10C9"/>
    <w:rsid w:val="005E290B"/>
    <w:rsid w:val="005E61DD"/>
    <w:rsid w:val="005F04D8"/>
    <w:rsid w:val="006023DF"/>
    <w:rsid w:val="00615426"/>
    <w:rsid w:val="00616219"/>
    <w:rsid w:val="00645B7D"/>
    <w:rsid w:val="00657DE0"/>
    <w:rsid w:val="00684CF4"/>
    <w:rsid w:val="00685313"/>
    <w:rsid w:val="00692833"/>
    <w:rsid w:val="006A6E9B"/>
    <w:rsid w:val="006B7C2A"/>
    <w:rsid w:val="006C23DA"/>
    <w:rsid w:val="006E3D45"/>
    <w:rsid w:val="006E74C7"/>
    <w:rsid w:val="0070607A"/>
    <w:rsid w:val="007149F9"/>
    <w:rsid w:val="00733A30"/>
    <w:rsid w:val="00745AEE"/>
    <w:rsid w:val="00750F10"/>
    <w:rsid w:val="007742CA"/>
    <w:rsid w:val="00790D70"/>
    <w:rsid w:val="007A6F1F"/>
    <w:rsid w:val="007D5320"/>
    <w:rsid w:val="00800972"/>
    <w:rsid w:val="00804475"/>
    <w:rsid w:val="00811633"/>
    <w:rsid w:val="00814037"/>
    <w:rsid w:val="008147FC"/>
    <w:rsid w:val="00841216"/>
    <w:rsid w:val="00842AF0"/>
    <w:rsid w:val="0086171E"/>
    <w:rsid w:val="00872FC8"/>
    <w:rsid w:val="008845D0"/>
    <w:rsid w:val="00884D60"/>
    <w:rsid w:val="00887EA9"/>
    <w:rsid w:val="008B43F2"/>
    <w:rsid w:val="008B6CFF"/>
    <w:rsid w:val="008C119E"/>
    <w:rsid w:val="008F3AB8"/>
    <w:rsid w:val="009274B4"/>
    <w:rsid w:val="00934EA2"/>
    <w:rsid w:val="00944A5C"/>
    <w:rsid w:val="00952A66"/>
    <w:rsid w:val="009B1EA1"/>
    <w:rsid w:val="009B743E"/>
    <w:rsid w:val="009B7C9A"/>
    <w:rsid w:val="009C56E5"/>
    <w:rsid w:val="009C7716"/>
    <w:rsid w:val="009E5FC8"/>
    <w:rsid w:val="009E687A"/>
    <w:rsid w:val="009F236F"/>
    <w:rsid w:val="00A037D2"/>
    <w:rsid w:val="00A066F1"/>
    <w:rsid w:val="00A07703"/>
    <w:rsid w:val="00A141AF"/>
    <w:rsid w:val="00A16D29"/>
    <w:rsid w:val="00A30305"/>
    <w:rsid w:val="00A31D2D"/>
    <w:rsid w:val="00A32654"/>
    <w:rsid w:val="00A3457A"/>
    <w:rsid w:val="00A42D52"/>
    <w:rsid w:val="00A4600A"/>
    <w:rsid w:val="00A538A6"/>
    <w:rsid w:val="00A54C25"/>
    <w:rsid w:val="00A710E7"/>
    <w:rsid w:val="00A7372E"/>
    <w:rsid w:val="00A85CD1"/>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02E5D"/>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35FAC"/>
    <w:rsid w:val="00D52FD6"/>
    <w:rsid w:val="00D54009"/>
    <w:rsid w:val="00D5651D"/>
    <w:rsid w:val="00D57A34"/>
    <w:rsid w:val="00D74898"/>
    <w:rsid w:val="00D801ED"/>
    <w:rsid w:val="00D936BC"/>
    <w:rsid w:val="00D96530"/>
    <w:rsid w:val="00DA1CB1"/>
    <w:rsid w:val="00DD44AF"/>
    <w:rsid w:val="00DD6164"/>
    <w:rsid w:val="00DE2AC3"/>
    <w:rsid w:val="00DE5692"/>
    <w:rsid w:val="00DE6300"/>
    <w:rsid w:val="00DF4BC6"/>
    <w:rsid w:val="00E03C94"/>
    <w:rsid w:val="00E205BC"/>
    <w:rsid w:val="00E26226"/>
    <w:rsid w:val="00E306A9"/>
    <w:rsid w:val="00E45D05"/>
    <w:rsid w:val="00E55816"/>
    <w:rsid w:val="00E55AEF"/>
    <w:rsid w:val="00E73181"/>
    <w:rsid w:val="00E976C1"/>
    <w:rsid w:val="00EA12E5"/>
    <w:rsid w:val="00EB55C6"/>
    <w:rsid w:val="00EB689A"/>
    <w:rsid w:val="00EE1F43"/>
    <w:rsid w:val="00EF1932"/>
    <w:rsid w:val="00EF71B6"/>
    <w:rsid w:val="00F02766"/>
    <w:rsid w:val="00F05BD4"/>
    <w:rsid w:val="00F06473"/>
    <w:rsid w:val="00F6155B"/>
    <w:rsid w:val="00F65C19"/>
    <w:rsid w:val="00FD08E2"/>
    <w:rsid w:val="00FD18DA"/>
    <w:rsid w:val="00FD2546"/>
    <w:rsid w:val="00FD666A"/>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05FFA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Strong">
    <w:name w:val="Strong"/>
    <w:basedOn w:val="DefaultParagraphFont"/>
    <w:uiPriority w:val="22"/>
    <w:qFormat/>
    <w:rsid w:val="000B6BA3"/>
    <w:rPr>
      <w:b/>
      <w:bCs/>
    </w:rPr>
  </w:style>
  <w:style w:type="table" w:customStyle="1" w:styleId="ECCTable-redheader">
    <w:name w:val="ECC Table - red header"/>
    <w:basedOn w:val="TableNormal"/>
    <w:uiPriority w:val="99"/>
    <w:rsid w:val="000B6BA3"/>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Tabletext">
    <w:name w:val="ECC Table text"/>
    <w:basedOn w:val="Normal"/>
    <w:qFormat/>
    <w:rsid w:val="000B6BA3"/>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customStyle="1" w:styleId="ECCTableHeaderwhitefont">
    <w:name w:val="ECC Table Header white font"/>
    <w:qFormat/>
    <w:rsid w:val="000B6BA3"/>
    <w:pPr>
      <w:spacing w:before="240" w:after="60"/>
      <w:jc w:val="center"/>
    </w:pPr>
    <w:rPr>
      <w:rFonts w:ascii="Arial" w:eastAsia="Calibri" w:hAnsi="Arial"/>
      <w:bCs/>
      <w:color w:val="FFFFFF" w:themeColor="background1"/>
      <w:lang w:val="en-GB" w:eastAsia="de-DE"/>
    </w:rPr>
  </w:style>
  <w:style w:type="table" w:customStyle="1" w:styleId="ECCTable-redheader1">
    <w:name w:val="ECC Table - red header1"/>
    <w:basedOn w:val="TableNormal"/>
    <w:uiPriority w:val="99"/>
    <w:rsid w:val="00C02E5D"/>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E454-04BA-4A28-8606-75F2275FC84D}">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26A79-AEEB-41D3-976B-081DE3F346E3}">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purl.org/dc/terms/"/>
    <ds:schemaRef ds:uri="32a1a8c5-2265-4ebc-b7a0-2071e2c5c9bb"/>
    <ds:schemaRef ds:uri="http://schemas.openxmlformats.org/package/2006/metadata/core-properties"/>
    <ds:schemaRef ds:uri="996b2e75-67fd-4955-a3b0-5ab9934cb50b"/>
    <ds:schemaRef ds:uri="http://www.w3.org/XML/1998/namespace"/>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112E9DBB-79F4-4194-8BD5-3B5EFD29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868</Words>
  <Characters>4817</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R16-WRC19-C-0024!A19-A1!MSW-E</vt:lpstr>
    </vt:vector>
  </TitlesOfParts>
  <Manager>General Secretariat - Pool</Manager>
  <Company>International Telecommunication Union (ITU)</Company>
  <LinksUpToDate>false</LinksUpToDate>
  <CharactersWithSpaces>5625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R16-WRC19-C-0024!A19-A1!MSW-E</dc:title>
  <dc:subject>World Radiocommunication Conference - 2019</dc:subject>
  <dc:creator>Documents Proposals Manager (DPM)</dc:creator>
  <cp:keywords>DPM_v2019.9.18.2_prod</cp:keywords>
  <dc:description>Uploaded on 2015.07.06</dc:description>
  <cp:lastModifiedBy>Currie, Jane</cp:lastModifiedBy>
  <cp:revision>7</cp:revision>
  <cp:lastPrinted>2019-09-30T16:05:00Z</cp:lastPrinted>
  <dcterms:created xsi:type="dcterms:W3CDTF">2019-09-25T12:59:00Z</dcterms:created>
  <dcterms:modified xsi:type="dcterms:W3CDTF">2019-09-30T16:12:00Z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