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0BFCBBE" w14:textId="77777777" w:rsidTr="00F55E63">
        <w:trPr>
          <w:cantSplit/>
          <w:trHeight w:val="20"/>
        </w:trPr>
        <w:tc>
          <w:tcPr>
            <w:tcW w:w="6619" w:type="dxa"/>
          </w:tcPr>
          <w:p w14:paraId="751416EE"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83479D">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83479D">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83479D">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83479D">
              <w:rPr>
                <w:rFonts w:ascii="Verdana Bold" w:hAnsi="Verdana Bold"/>
                <w:sz w:val="24"/>
                <w:szCs w:val="38"/>
                <w:lang w:bidi="ar-SY"/>
              </w:rPr>
              <w:t>2019</w:t>
            </w:r>
          </w:p>
        </w:tc>
        <w:tc>
          <w:tcPr>
            <w:tcW w:w="3053" w:type="dxa"/>
          </w:tcPr>
          <w:p w14:paraId="1EC0AD29" w14:textId="77777777" w:rsidR="00280E04" w:rsidRDefault="00A375BD" w:rsidP="00D44350">
            <w:pPr>
              <w:rPr>
                <w:rtl/>
                <w:lang w:bidi="ar-EG"/>
              </w:rPr>
            </w:pPr>
            <w:r>
              <w:rPr>
                <w:noProof/>
                <w:lang w:eastAsia="zh-CN"/>
              </w:rPr>
              <w:drawing>
                <wp:inline distT="0" distB="0" distL="0" distR="0" wp14:anchorId="11937490" wp14:editId="60EB80C4">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2AB931D5" w14:textId="77777777" w:rsidTr="00F55E63">
        <w:trPr>
          <w:cantSplit/>
          <w:trHeight w:val="20"/>
        </w:trPr>
        <w:tc>
          <w:tcPr>
            <w:tcW w:w="6619" w:type="dxa"/>
            <w:tcBorders>
              <w:bottom w:val="single" w:sz="12" w:space="0" w:color="auto"/>
            </w:tcBorders>
          </w:tcPr>
          <w:p w14:paraId="38F82DA9" w14:textId="77777777" w:rsidR="00280E04" w:rsidRPr="00960962" w:rsidRDefault="00280E04" w:rsidP="00D44350">
            <w:pPr>
              <w:rPr>
                <w:rtl/>
                <w:lang w:bidi="ar-EG"/>
              </w:rPr>
            </w:pPr>
          </w:p>
        </w:tc>
        <w:tc>
          <w:tcPr>
            <w:tcW w:w="3053" w:type="dxa"/>
            <w:tcBorders>
              <w:bottom w:val="single" w:sz="12" w:space="0" w:color="auto"/>
            </w:tcBorders>
          </w:tcPr>
          <w:p w14:paraId="23FC8CFB" w14:textId="77777777" w:rsidR="00280E04" w:rsidRPr="00A9645C" w:rsidRDefault="00280E04" w:rsidP="00D44350">
            <w:pPr>
              <w:rPr>
                <w:lang w:bidi="ar-EG"/>
              </w:rPr>
            </w:pPr>
          </w:p>
        </w:tc>
      </w:tr>
      <w:tr w:rsidR="00280E04" w14:paraId="758BC0E4" w14:textId="77777777" w:rsidTr="00F55E63">
        <w:trPr>
          <w:cantSplit/>
          <w:trHeight w:val="20"/>
        </w:trPr>
        <w:tc>
          <w:tcPr>
            <w:tcW w:w="6619" w:type="dxa"/>
            <w:tcBorders>
              <w:top w:val="single" w:sz="12" w:space="0" w:color="auto"/>
            </w:tcBorders>
          </w:tcPr>
          <w:p w14:paraId="1DB97825"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6F42ED05" w14:textId="77777777" w:rsidR="00280E04" w:rsidRPr="00BD6EF3" w:rsidRDefault="00280E04" w:rsidP="00A42709">
            <w:pPr>
              <w:pStyle w:val="Adress"/>
              <w:framePr w:hSpace="0" w:wrap="auto" w:xAlign="left" w:yAlign="inline"/>
              <w:spacing w:before="0"/>
            </w:pPr>
          </w:p>
        </w:tc>
      </w:tr>
      <w:tr w:rsidR="00A809E8" w:rsidRPr="00F545E4" w14:paraId="46DFC92B" w14:textId="77777777" w:rsidTr="00F55E63">
        <w:trPr>
          <w:cantSplit/>
        </w:trPr>
        <w:tc>
          <w:tcPr>
            <w:tcW w:w="6619" w:type="dxa"/>
          </w:tcPr>
          <w:p w14:paraId="0D73D036"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F0751F4" w14:textId="1C3A72EB" w:rsidR="00A809E8" w:rsidRPr="0083479D" w:rsidRDefault="0083479D" w:rsidP="00A42709">
            <w:pPr>
              <w:pStyle w:val="Adress"/>
              <w:framePr w:hSpace="0" w:wrap="auto" w:xAlign="left" w:yAlign="inline"/>
              <w:spacing w:before="0"/>
              <w:rPr>
                <w:rtl/>
              </w:rPr>
            </w:pPr>
            <w:r w:rsidRPr="0083479D">
              <w:rPr>
                <w:rFonts w:hint="cs"/>
                <w:rtl/>
              </w:rPr>
              <w:t xml:space="preserve">الإضافة </w:t>
            </w:r>
            <w:r w:rsidR="007C7603" w:rsidRPr="0083479D">
              <w:t>1</w:t>
            </w:r>
            <w:r w:rsidRPr="0083479D">
              <w:rPr>
                <w:rtl/>
              </w:rPr>
              <w:br/>
            </w:r>
            <w:r w:rsidRPr="0083479D">
              <w:rPr>
                <w:rFonts w:hint="cs"/>
                <w:rtl/>
              </w:rPr>
              <w:t xml:space="preserve">للوثيقة </w:t>
            </w:r>
            <w:r w:rsidR="007C7603" w:rsidRPr="0083479D">
              <w:rPr>
                <w:rFonts w:eastAsia="SimSun"/>
              </w:rPr>
              <w:t>24(Add.</w:t>
            </w:r>
            <w:proofErr w:type="gramStart"/>
            <w:r w:rsidR="007C7603" w:rsidRPr="0083479D">
              <w:rPr>
                <w:rFonts w:eastAsia="SimSun"/>
              </w:rPr>
              <w:t>19)-</w:t>
            </w:r>
            <w:proofErr w:type="gramEnd"/>
            <w:r w:rsidR="007C7603" w:rsidRPr="0083479D">
              <w:rPr>
                <w:rFonts w:eastAsia="SimSun"/>
              </w:rPr>
              <w:t>A</w:t>
            </w:r>
          </w:p>
        </w:tc>
      </w:tr>
      <w:tr w:rsidR="00A809E8" w:rsidRPr="00F545E4" w14:paraId="0155B247" w14:textId="77777777" w:rsidTr="00F55E63">
        <w:trPr>
          <w:cantSplit/>
        </w:trPr>
        <w:tc>
          <w:tcPr>
            <w:tcW w:w="6619" w:type="dxa"/>
          </w:tcPr>
          <w:p w14:paraId="1235540F" w14:textId="77777777" w:rsidR="00A809E8" w:rsidRPr="00F545E4" w:rsidRDefault="00A809E8" w:rsidP="00A42709">
            <w:pPr>
              <w:pStyle w:val="Adress"/>
              <w:framePr w:hSpace="0" w:wrap="auto" w:xAlign="left" w:yAlign="inline"/>
              <w:spacing w:before="0"/>
              <w:rPr>
                <w:rtl/>
              </w:rPr>
            </w:pPr>
          </w:p>
        </w:tc>
        <w:tc>
          <w:tcPr>
            <w:tcW w:w="3053" w:type="dxa"/>
            <w:vAlign w:val="center"/>
          </w:tcPr>
          <w:p w14:paraId="22E68A55" w14:textId="77777777" w:rsidR="00A809E8" w:rsidRPr="0083479D" w:rsidRDefault="00F55E63" w:rsidP="00A42709">
            <w:pPr>
              <w:pStyle w:val="Adress"/>
              <w:framePr w:hSpace="0" w:wrap="auto" w:xAlign="left" w:yAlign="inline"/>
              <w:spacing w:before="0"/>
              <w:rPr>
                <w:rtl/>
              </w:rPr>
            </w:pPr>
            <w:r w:rsidRPr="0083479D">
              <w:rPr>
                <w:rFonts w:eastAsia="SimSun"/>
              </w:rPr>
              <w:t>20</w:t>
            </w:r>
            <w:r w:rsidRPr="0083479D">
              <w:rPr>
                <w:rFonts w:eastAsia="SimSun"/>
                <w:rtl/>
              </w:rPr>
              <w:t xml:space="preserve"> سبتمبر </w:t>
            </w:r>
            <w:r w:rsidRPr="0083479D">
              <w:rPr>
                <w:rFonts w:eastAsia="SimSun"/>
              </w:rPr>
              <w:t>2019</w:t>
            </w:r>
          </w:p>
        </w:tc>
      </w:tr>
      <w:tr w:rsidR="00A809E8" w:rsidRPr="00F545E4" w14:paraId="192EB139" w14:textId="77777777" w:rsidTr="00F55E63">
        <w:trPr>
          <w:cantSplit/>
        </w:trPr>
        <w:tc>
          <w:tcPr>
            <w:tcW w:w="6619" w:type="dxa"/>
          </w:tcPr>
          <w:p w14:paraId="4FA507A3"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0922DAC0" w14:textId="77777777" w:rsidR="00A809E8" w:rsidRPr="0083479D" w:rsidRDefault="00F55E63" w:rsidP="00A42709">
            <w:pPr>
              <w:pStyle w:val="Adress"/>
              <w:framePr w:hSpace="0" w:wrap="auto" w:xAlign="left" w:yAlign="inline"/>
              <w:spacing w:before="0"/>
              <w:rPr>
                <w:rFonts w:eastAsia="SimSun" w:hint="eastAsia"/>
              </w:rPr>
            </w:pPr>
            <w:r w:rsidRPr="0083479D">
              <w:rPr>
                <w:rtl/>
              </w:rPr>
              <w:t>الأصل: بالإنكليزية</w:t>
            </w:r>
          </w:p>
        </w:tc>
      </w:tr>
      <w:tr w:rsidR="00764079" w14:paraId="6829E6AA" w14:textId="77777777" w:rsidTr="00F55E63">
        <w:trPr>
          <w:cantSplit/>
        </w:trPr>
        <w:tc>
          <w:tcPr>
            <w:tcW w:w="9672" w:type="dxa"/>
            <w:gridSpan w:val="2"/>
          </w:tcPr>
          <w:p w14:paraId="2F519766" w14:textId="77777777" w:rsidR="00764079" w:rsidRDefault="00764079" w:rsidP="00A42709">
            <w:pPr>
              <w:pStyle w:val="Adress"/>
              <w:framePr w:hSpace="0" w:wrap="auto" w:xAlign="left" w:yAlign="inline"/>
              <w:spacing w:before="0"/>
              <w:rPr>
                <w:rFonts w:eastAsia="SimSun" w:hint="eastAsia"/>
              </w:rPr>
            </w:pPr>
          </w:p>
        </w:tc>
      </w:tr>
      <w:tr w:rsidR="00764079" w14:paraId="7CD5BC91" w14:textId="77777777" w:rsidTr="00F55E63">
        <w:trPr>
          <w:cantSplit/>
        </w:trPr>
        <w:tc>
          <w:tcPr>
            <w:tcW w:w="9672" w:type="dxa"/>
            <w:gridSpan w:val="2"/>
          </w:tcPr>
          <w:p w14:paraId="2A82F3F5" w14:textId="77777777" w:rsidR="00764079" w:rsidRPr="00E621A3" w:rsidRDefault="00F55E63" w:rsidP="00F55E63">
            <w:pPr>
              <w:pStyle w:val="Source"/>
              <w:rPr>
                <w:rtl/>
              </w:rPr>
            </w:pPr>
            <w:r w:rsidRPr="00F55E63">
              <w:rPr>
                <w:rtl/>
              </w:rPr>
              <w:t>مقترحـات مشتركـة مقدمة من جماعة آسيا والمحيط الهادئ للاتصالات</w:t>
            </w:r>
          </w:p>
        </w:tc>
      </w:tr>
      <w:tr w:rsidR="00764079" w14:paraId="301EED6B" w14:textId="77777777" w:rsidTr="00F55E63">
        <w:trPr>
          <w:cantSplit/>
        </w:trPr>
        <w:tc>
          <w:tcPr>
            <w:tcW w:w="9672" w:type="dxa"/>
            <w:gridSpan w:val="2"/>
          </w:tcPr>
          <w:p w14:paraId="2EAFFA37" w14:textId="690794CB" w:rsidR="00764079" w:rsidRPr="0083479D" w:rsidRDefault="000E73A3" w:rsidP="0083479D">
            <w:pPr>
              <w:pStyle w:val="Title1"/>
              <w:rPr>
                <w:rtl/>
              </w:rPr>
            </w:pPr>
            <w:r w:rsidRPr="0083479D">
              <w:rPr>
                <w:rFonts w:hint="cs"/>
                <w:rtl/>
              </w:rPr>
              <w:t>مقترحات بشأن أعمال المؤتمر</w:t>
            </w:r>
          </w:p>
        </w:tc>
      </w:tr>
      <w:tr w:rsidR="00764079" w14:paraId="2B9C0783" w14:textId="77777777" w:rsidTr="00F55E63">
        <w:trPr>
          <w:cantSplit/>
        </w:trPr>
        <w:tc>
          <w:tcPr>
            <w:tcW w:w="9672" w:type="dxa"/>
            <w:gridSpan w:val="2"/>
          </w:tcPr>
          <w:p w14:paraId="2D86E8C1" w14:textId="77777777" w:rsidR="00764079" w:rsidRPr="00BD6EF3" w:rsidRDefault="00764079" w:rsidP="00F55E63">
            <w:pPr>
              <w:pStyle w:val="Title2"/>
              <w:rPr>
                <w:rtl/>
              </w:rPr>
            </w:pPr>
          </w:p>
        </w:tc>
      </w:tr>
      <w:tr w:rsidR="00764079" w14:paraId="6B0D12DA" w14:textId="77777777" w:rsidTr="00F55E63">
        <w:trPr>
          <w:cantSplit/>
        </w:trPr>
        <w:tc>
          <w:tcPr>
            <w:tcW w:w="9672" w:type="dxa"/>
            <w:gridSpan w:val="2"/>
          </w:tcPr>
          <w:p w14:paraId="1BD8E670" w14:textId="52ED71DA" w:rsidR="00764079" w:rsidRPr="0083479D" w:rsidRDefault="00DB4CC9" w:rsidP="0083479D">
            <w:pPr>
              <w:pStyle w:val="Agendaitem"/>
            </w:pPr>
            <w:r w:rsidRPr="0083479D">
              <w:rPr>
                <w:rtl/>
              </w:rPr>
              <w:t>‎‎‎‎‎‎بند جدول الأعمال</w:t>
            </w:r>
            <w:r w:rsidR="000E73A3" w:rsidRPr="0083479D">
              <w:rPr>
                <w:rFonts w:hint="cs"/>
                <w:rtl/>
              </w:rPr>
              <w:t xml:space="preserve"> </w:t>
            </w:r>
            <w:r w:rsidR="0083479D" w:rsidRPr="0083479D">
              <w:rPr>
                <w:lang w:val="en-US"/>
              </w:rPr>
              <w:t>7</w:t>
            </w:r>
            <w:r w:rsidR="00162078" w:rsidRPr="0083479D">
              <w:t>(A)</w:t>
            </w:r>
          </w:p>
        </w:tc>
      </w:tr>
    </w:tbl>
    <w:p w14:paraId="6F992FED" w14:textId="77777777" w:rsidR="001D597A" w:rsidRPr="0083479D" w:rsidRDefault="00162078" w:rsidP="00295A04">
      <w:pPr>
        <w:rPr>
          <w:rFonts w:eastAsia="SimSun"/>
          <w:szCs w:val="22"/>
          <w:rtl/>
          <w:lang w:bidi="ar-SY"/>
        </w:rPr>
      </w:pPr>
      <w:r w:rsidRPr="0083479D">
        <w:rPr>
          <w:rFonts w:eastAsia="SimSun"/>
          <w:lang w:eastAsia="zh-CN" w:bidi="ar-SY"/>
        </w:rPr>
        <w:t>7</w:t>
      </w:r>
      <w:r w:rsidRPr="0083479D">
        <w:rPr>
          <w:rFonts w:eastAsia="SimSun" w:hint="cs"/>
          <w:rtl/>
          <w:lang w:eastAsia="zh-CN"/>
        </w:rPr>
        <w:tab/>
        <w:t xml:space="preserve">النظر في أي تغييرات قد يلزم إجراؤها، وفي خيارات أخرى، تطبيقاً للقرار </w:t>
      </w:r>
      <w:r w:rsidRPr="0083479D">
        <w:rPr>
          <w:rFonts w:eastAsia="SimSun"/>
          <w:lang w:eastAsia="zh-CN" w:bidi="ar-SY"/>
        </w:rPr>
        <w:t>86</w:t>
      </w:r>
      <w:r w:rsidRPr="0083479D">
        <w:rPr>
          <w:rFonts w:eastAsia="SimSun" w:hint="cs"/>
          <w:rtl/>
          <w:lang w:eastAsia="zh-CN"/>
        </w:rPr>
        <w:t xml:space="preserve"> (المراجَع في مراكش، </w:t>
      </w:r>
      <w:r w:rsidRPr="0083479D">
        <w:rPr>
          <w:rFonts w:eastAsia="SimSun"/>
          <w:lang w:eastAsia="zh-CN" w:bidi="ar-SY"/>
        </w:rPr>
        <w:t>2002</w:t>
      </w:r>
      <w:r w:rsidRPr="0083479D">
        <w:rPr>
          <w:rFonts w:eastAsia="SimSun" w:hint="cs"/>
          <w:rtl/>
          <w:lang w:eastAsia="zh-CN" w:bidi="ar-SY"/>
        </w:rPr>
        <w:t>)</w:t>
      </w:r>
      <w:r w:rsidRPr="0083479D">
        <w:rPr>
          <w:rFonts w:eastAsia="SimSun" w:hint="cs"/>
          <w:rtl/>
          <w:lang w:eastAsia="zh-CN"/>
        </w:rPr>
        <w:t xml:space="preserve"> لمؤتمر</w:t>
      </w:r>
      <w:r w:rsidRPr="0083479D">
        <w:rPr>
          <w:rFonts w:eastAsia="SimSun" w:hint="eastAsia"/>
          <w:rtl/>
          <w:lang w:eastAsia="zh-CN"/>
        </w:rPr>
        <w:t> </w:t>
      </w:r>
      <w:r w:rsidRPr="0083479D">
        <w:rPr>
          <w:rFonts w:eastAsia="SimSun" w:hint="cs"/>
          <w:rtl/>
          <w:lang w:eastAsia="zh-CN"/>
        </w:rPr>
        <w:t>المندوبين المفوضين، بشأن "إجراءات النشر المسبق والتنسيق والتبليغ والتسجيل لتخصيصات التردد للشبكات الساتلية"، وفقاً للقرار</w:t>
      </w:r>
      <w:r w:rsidRPr="0083479D">
        <w:rPr>
          <w:rFonts w:eastAsia="SimSun" w:hint="eastAsia"/>
          <w:rtl/>
          <w:lang w:eastAsia="zh-CN"/>
        </w:rPr>
        <w:t> </w:t>
      </w:r>
      <w:r w:rsidRPr="0083479D">
        <w:rPr>
          <w:rFonts w:eastAsia="SimSun"/>
          <w:b/>
          <w:bCs/>
          <w:lang w:eastAsia="zh-CN" w:bidi="ar-SY"/>
        </w:rPr>
        <w:t>86 (Rev.WRC</w:t>
      </w:r>
      <w:r w:rsidRPr="0083479D">
        <w:rPr>
          <w:rFonts w:eastAsia="SimSun"/>
          <w:b/>
          <w:bCs/>
          <w:lang w:eastAsia="zh-CN" w:bidi="ar-SY"/>
        </w:rPr>
        <w:noBreakHyphen/>
        <w:t>07)</w:t>
      </w:r>
      <w:r w:rsidRPr="0083479D">
        <w:rPr>
          <w:rFonts w:eastAsia="SimSun" w:hint="cs"/>
          <w:rtl/>
          <w:lang w:eastAsia="zh-CN"/>
        </w:rPr>
        <w:t xml:space="preserve"> تيسيراً للاستخدام الرشيد والفعّال والاقتصادي للترددات الراديوية وأي مدارات مرتبطة بها، بما فيها مدار السواتل المستقرة بالنسبة إلى الأرض؛</w:t>
      </w:r>
    </w:p>
    <w:p w14:paraId="62D08551" w14:textId="3B34294F" w:rsidR="001D597A" w:rsidRPr="0083479D" w:rsidRDefault="0083479D" w:rsidP="00253878">
      <w:pPr>
        <w:rPr>
          <w:rtl/>
        </w:rPr>
      </w:pPr>
      <w:r w:rsidRPr="0083479D">
        <w:t>7(A)</w:t>
      </w:r>
      <w:r w:rsidRPr="0083479D">
        <w:tab/>
      </w:r>
      <w:r w:rsidR="00162078" w:rsidRPr="0083479D">
        <w:rPr>
          <w:rtl/>
        </w:rPr>
        <w:t xml:space="preserve">المسألة </w:t>
      </w:r>
      <w:r w:rsidR="00162078" w:rsidRPr="0083479D">
        <w:t>A</w:t>
      </w:r>
      <w:r w:rsidR="00162078" w:rsidRPr="0083479D">
        <w:rPr>
          <w:rtl/>
        </w:rPr>
        <w:t xml:space="preserve"> - وضع تخصيصات التردد في الخدمة من أجل جميع الأنظمة غير المستقرة بالنسبة إلى الأرض، والنظر في</w:t>
      </w:r>
      <w:r w:rsidRPr="0083479D">
        <w:rPr>
          <w:rFonts w:hint="cs"/>
          <w:rtl/>
        </w:rPr>
        <w:t> </w:t>
      </w:r>
      <w:r w:rsidR="000C5FD8" w:rsidRPr="0083479D">
        <w:rPr>
          <w:rtl/>
        </w:rPr>
        <w:t>نهج مرحلي</w:t>
      </w:r>
      <w:r w:rsidR="00162078" w:rsidRPr="0083479D">
        <w:rPr>
          <w:rtl/>
        </w:rPr>
        <w:t xml:space="preserve"> من أجل نشر الأنظمة غير المستقرة بالنسبة إلى الأرض في نطاقات تردد وخدمات محددة</w:t>
      </w:r>
      <w:r w:rsidRPr="0083479D">
        <w:rPr>
          <w:rFonts w:hint="cs"/>
          <w:rtl/>
        </w:rPr>
        <w:t>؛</w:t>
      </w:r>
    </w:p>
    <w:p w14:paraId="16704549" w14:textId="7A2B814B" w:rsidR="002F3E46" w:rsidRPr="0083479D" w:rsidRDefault="00F04185" w:rsidP="0083479D">
      <w:pPr>
        <w:pStyle w:val="Headingb"/>
        <w:rPr>
          <w:rFonts w:ascii="Times New Roman" w:hAnsi="Times New Roman"/>
          <w:rtl/>
        </w:rPr>
      </w:pPr>
      <w:r w:rsidRPr="0083479D">
        <w:rPr>
          <w:rFonts w:ascii="Times New Roman" w:hAnsi="Times New Roman" w:hint="cs"/>
          <w:rtl/>
        </w:rPr>
        <w:t>مقدمة</w:t>
      </w:r>
    </w:p>
    <w:p w14:paraId="720C088A" w14:textId="57AA4F72" w:rsidR="00F04185" w:rsidRPr="0083479D" w:rsidRDefault="00F04185" w:rsidP="0083479D">
      <w:pPr>
        <w:rPr>
          <w:rtl/>
        </w:rPr>
      </w:pPr>
      <w:r w:rsidRPr="0083479D">
        <w:rPr>
          <w:rFonts w:hint="cs"/>
          <w:rtl/>
        </w:rPr>
        <w:t xml:space="preserve">يؤيد أعضاء جماعة آسيا والمحيط الهادئ للاتصالات ما </w:t>
      </w:r>
      <w:r w:rsidR="00BB23E6" w:rsidRPr="0083479D">
        <w:rPr>
          <w:rFonts w:hint="cs"/>
          <w:rtl/>
        </w:rPr>
        <w:t>يلي من آراء بشأن المسائل الرئيسية الخاصة بهذا الموضوع.</w:t>
      </w:r>
    </w:p>
    <w:p w14:paraId="3BB6BD4E" w14:textId="7884A656" w:rsidR="00BB23E6" w:rsidRPr="0083479D" w:rsidRDefault="00BB23E6" w:rsidP="0083479D">
      <w:pPr>
        <w:pStyle w:val="Headingb"/>
        <w:rPr>
          <w:rFonts w:ascii="Times New Roman" w:hAnsi="Times New Roman"/>
          <w:rtl/>
        </w:rPr>
      </w:pPr>
      <w:r w:rsidRPr="0083479D">
        <w:rPr>
          <w:rFonts w:ascii="Times New Roman" w:hAnsi="Times New Roman" w:hint="cs"/>
          <w:rtl/>
        </w:rPr>
        <w:t>تعريف الوضع في الخدمة</w:t>
      </w:r>
    </w:p>
    <w:p w14:paraId="13EE2BC1" w14:textId="3A9F2B96" w:rsidR="00BB23E6" w:rsidRPr="0083479D" w:rsidRDefault="00BB23E6" w:rsidP="0083479D">
      <w:pPr>
        <w:rPr>
          <w:rtl/>
          <w:lang w:bidi="ar-EG"/>
        </w:rPr>
      </w:pPr>
      <w:r w:rsidRPr="0083479D">
        <w:rPr>
          <w:rFonts w:hint="cs"/>
          <w:rtl/>
        </w:rPr>
        <w:t xml:space="preserve">يرى أعضاء جماعة آسيا والمحيط الهادئ للاتصالات أن تعريف الوضع في الخدمة لتوزيعات التردد للأنظمة غير المستقرة بالنسبة إلى الأرض ينبغي أن يتماشى مع الممارسة الحالية على النحو المبين في القواعد الإجرائية، ما يعني </w:t>
      </w:r>
      <w:r w:rsidR="00EF48BB" w:rsidRPr="0083479D">
        <w:rPr>
          <w:rFonts w:hint="cs"/>
          <w:rtl/>
        </w:rPr>
        <w:t xml:space="preserve">الحفاظ على فترة مستمرة مدتها </w:t>
      </w:r>
      <w:r w:rsidR="00EF48BB" w:rsidRPr="0083479D">
        <w:t>90</w:t>
      </w:r>
      <w:r w:rsidR="00EF48BB" w:rsidRPr="0083479D">
        <w:rPr>
          <w:rFonts w:hint="cs"/>
          <w:rtl/>
        </w:rPr>
        <w:t xml:space="preserve"> يوم</w:t>
      </w:r>
      <w:r w:rsidR="0083479D" w:rsidRPr="0083479D">
        <w:rPr>
          <w:rFonts w:hint="cs"/>
          <w:rtl/>
        </w:rPr>
        <w:t>اً</w:t>
      </w:r>
      <w:r w:rsidR="00EF48BB" w:rsidRPr="0083479D">
        <w:rPr>
          <w:rFonts w:hint="cs"/>
          <w:rtl/>
        </w:rPr>
        <w:t xml:space="preserve"> لتوزيعات التردد للخدمة الثابتة الساتلية/</w:t>
      </w:r>
      <w:r w:rsidR="009C57D0" w:rsidRPr="0083479D">
        <w:rPr>
          <w:rFonts w:hint="cs"/>
          <w:rtl/>
        </w:rPr>
        <w:t>ل</w:t>
      </w:r>
      <w:r w:rsidR="00EF48BB" w:rsidRPr="0083479D">
        <w:rPr>
          <w:rFonts w:hint="cs"/>
          <w:rtl/>
        </w:rPr>
        <w:t>لخدمة المتنقلة الساتلية/</w:t>
      </w:r>
      <w:r w:rsidR="009C57D0" w:rsidRPr="0083479D">
        <w:rPr>
          <w:rFonts w:hint="cs"/>
          <w:rtl/>
        </w:rPr>
        <w:t>ل</w:t>
      </w:r>
      <w:r w:rsidR="00EF48BB" w:rsidRPr="0083479D">
        <w:rPr>
          <w:rFonts w:hint="cs"/>
          <w:rtl/>
        </w:rPr>
        <w:t>لخدمة الإذاعية الساتلية</w:t>
      </w:r>
      <w:r w:rsidR="00474070" w:rsidRPr="0083479D">
        <w:rPr>
          <w:rFonts w:hint="cs"/>
          <w:rtl/>
        </w:rPr>
        <w:t>، وفترة غير ثابتة لتوزيعات التردد بخلاف الخدمة الثابتة الساتلية/الخدمة المتنقلة الساتلية/الخدمة الإذاعية الساتلية.</w:t>
      </w:r>
    </w:p>
    <w:p w14:paraId="316E2CC8" w14:textId="2F4AF91D" w:rsidR="00474070" w:rsidRPr="0083479D" w:rsidRDefault="00474070" w:rsidP="008614B8">
      <w:pPr>
        <w:rPr>
          <w:spacing w:val="-2"/>
          <w:rtl/>
          <w:lang w:val="en-GB" w:bidi="ar-EG"/>
        </w:rPr>
      </w:pPr>
      <w:r w:rsidRPr="0083479D">
        <w:rPr>
          <w:rFonts w:hint="cs"/>
          <w:spacing w:val="-2"/>
          <w:rtl/>
          <w:lang w:val="en-GB" w:bidi="ar-EG"/>
        </w:rPr>
        <w:t xml:space="preserve">وفيما يتعلق بالحكم التنظيمي </w:t>
      </w:r>
      <w:r w:rsidR="004D5114" w:rsidRPr="0083479D">
        <w:rPr>
          <w:rFonts w:hint="cs"/>
          <w:spacing w:val="-2"/>
          <w:rtl/>
          <w:lang w:val="en-GB" w:bidi="ar-EG"/>
        </w:rPr>
        <w:t>ل</w:t>
      </w:r>
      <w:r w:rsidRPr="0083479D">
        <w:rPr>
          <w:rFonts w:hint="cs"/>
          <w:spacing w:val="-2"/>
          <w:rtl/>
          <w:lang w:val="en-GB" w:bidi="ar-EG"/>
        </w:rPr>
        <w:t xml:space="preserve">لرقم </w:t>
      </w:r>
      <w:r w:rsidRPr="0083479D">
        <w:rPr>
          <w:b/>
          <w:bCs/>
          <w:spacing w:val="-2"/>
          <w:lang w:bidi="ar-EG"/>
        </w:rPr>
        <w:t>44</w:t>
      </w:r>
      <w:r w:rsidRPr="0083479D">
        <w:rPr>
          <w:b/>
          <w:bCs/>
          <w:spacing w:val="-2"/>
          <w:lang w:val="en-GB" w:bidi="ar-EG"/>
        </w:rPr>
        <w:t>C.</w:t>
      </w:r>
      <w:r w:rsidRPr="0083479D">
        <w:rPr>
          <w:b/>
          <w:bCs/>
          <w:spacing w:val="-2"/>
          <w:lang w:bidi="ar-EG"/>
        </w:rPr>
        <w:t>11</w:t>
      </w:r>
      <w:r w:rsidRPr="0083479D">
        <w:rPr>
          <w:rFonts w:hint="cs"/>
          <w:spacing w:val="-2"/>
          <w:rtl/>
          <w:lang w:val="en-GB" w:bidi="ar-EG"/>
        </w:rPr>
        <w:t xml:space="preserve"> من لوائح الراديو </w:t>
      </w:r>
      <w:r w:rsidR="004D5114" w:rsidRPr="0083479D">
        <w:rPr>
          <w:rFonts w:hint="cs"/>
          <w:spacing w:val="-2"/>
          <w:rtl/>
          <w:lang w:val="en-GB" w:bidi="ar-EG"/>
        </w:rPr>
        <w:t xml:space="preserve">الخاص بالوضع في الخدمة، </w:t>
      </w:r>
      <w:r w:rsidR="008E5FE6" w:rsidRPr="0083479D">
        <w:rPr>
          <w:rFonts w:hint="cs"/>
          <w:spacing w:val="-2"/>
          <w:rtl/>
          <w:lang w:val="en-GB" w:bidi="ar-EG"/>
        </w:rPr>
        <w:t xml:space="preserve">المستوي المداري المبلغ عنه، يمكن أن يدعم أعضاء جماعة آسيا والمحيط الهادئ للاتصالات الخيار </w:t>
      </w:r>
      <w:r w:rsidR="008E5FE6" w:rsidRPr="0083479D">
        <w:rPr>
          <w:spacing w:val="-2"/>
          <w:lang w:bidi="ar-EG"/>
        </w:rPr>
        <w:t>2</w:t>
      </w:r>
      <w:r w:rsidR="008E5FE6" w:rsidRPr="0083479D">
        <w:rPr>
          <w:rFonts w:hint="cs"/>
          <w:spacing w:val="-2"/>
          <w:rtl/>
          <w:lang w:val="en-GB" w:bidi="ar-EG"/>
        </w:rPr>
        <w:t xml:space="preserve">، وذلك على النحو المبين في تقرير الدورة الثانية للاجتماع التحضيري للمؤتمر. </w:t>
      </w:r>
    </w:p>
    <w:p w14:paraId="6CC1CB71" w14:textId="77777777" w:rsidR="0012545F" w:rsidRPr="0083479D" w:rsidRDefault="0012545F">
      <w:pPr>
        <w:tabs>
          <w:tab w:val="clear" w:pos="1134"/>
          <w:tab w:val="clear" w:pos="1871"/>
          <w:tab w:val="clear" w:pos="2268"/>
        </w:tabs>
        <w:bidi w:val="0"/>
        <w:spacing w:before="0" w:line="240" w:lineRule="auto"/>
        <w:jc w:val="left"/>
        <w:rPr>
          <w:lang w:val="en-GB"/>
        </w:rPr>
      </w:pPr>
      <w:r w:rsidRPr="0083479D">
        <w:rPr>
          <w:rtl/>
        </w:rPr>
        <w:br w:type="page"/>
      </w:r>
    </w:p>
    <w:p w14:paraId="4AD2960E" w14:textId="3B14E177" w:rsidR="007159E0" w:rsidRPr="0083479D" w:rsidRDefault="000C5FD8" w:rsidP="00B969BC">
      <w:pPr>
        <w:pStyle w:val="Headingb"/>
        <w:rPr>
          <w:rFonts w:ascii="Times New Roman" w:hAnsi="Times New Roman"/>
        </w:rPr>
      </w:pPr>
      <w:r w:rsidRPr="0083479D">
        <w:rPr>
          <w:rFonts w:ascii="Times New Roman" w:hAnsi="Times New Roman" w:hint="cs"/>
          <w:rtl/>
        </w:rPr>
        <w:lastRenderedPageBreak/>
        <w:t>النهج المرحلي</w:t>
      </w:r>
    </w:p>
    <w:p w14:paraId="2D423EA1" w14:textId="616971F0" w:rsidR="007159E0" w:rsidRPr="0083479D" w:rsidRDefault="007159E0" w:rsidP="003209C9">
      <w:pPr>
        <w:spacing w:before="0"/>
      </w:pPr>
    </w:p>
    <w:tbl>
      <w:tblPr>
        <w:tblStyle w:val="ECCTable-redheader"/>
        <w:bidiVisual/>
        <w:tblW w:w="864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4548"/>
        <w:gridCol w:w="2679"/>
      </w:tblGrid>
      <w:tr w:rsidR="007159E0" w:rsidRPr="0083479D" w14:paraId="3378B2CB" w14:textId="77777777" w:rsidTr="009E3426">
        <w:trPr>
          <w:cnfStyle w:val="100000000000" w:firstRow="1" w:lastRow="0" w:firstColumn="0" w:lastColumn="0" w:oddVBand="0" w:evenVBand="0" w:oddHBand="0" w:evenHBand="0" w:firstRowFirstColumn="0" w:firstRowLastColumn="0" w:lastRowFirstColumn="0" w:lastRowLastColumn="0"/>
        </w:trPr>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6344E7D1" w14:textId="20533D18" w:rsidR="007159E0" w:rsidRPr="0083479D" w:rsidRDefault="00307944" w:rsidP="0083479D">
            <w:pPr>
              <w:pStyle w:val="Tablehead"/>
              <w:rPr>
                <w:color w:val="auto"/>
                <w:rtl/>
              </w:rPr>
            </w:pPr>
            <w:bookmarkStart w:id="0" w:name="_Hlk20928531"/>
            <w:r w:rsidRPr="0083479D">
              <w:rPr>
                <w:rFonts w:hint="cs"/>
                <w:color w:val="auto"/>
                <w:rtl/>
              </w:rPr>
              <w:t>المراحل</w:t>
            </w:r>
          </w:p>
        </w:tc>
        <w:tc>
          <w:tcPr>
            <w:tcW w:w="454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38C27942" w14:textId="77777777" w:rsidR="007159E0" w:rsidRPr="0083479D" w:rsidRDefault="00307944" w:rsidP="0083479D">
            <w:pPr>
              <w:pStyle w:val="Tablehead"/>
              <w:rPr>
                <w:color w:val="auto"/>
                <w:rtl/>
              </w:rPr>
            </w:pPr>
            <w:r w:rsidRPr="0083479D">
              <w:rPr>
                <w:rFonts w:hint="cs"/>
                <w:color w:val="auto"/>
                <w:rtl/>
              </w:rPr>
              <w:t xml:space="preserve">توقيت المرحلة </w:t>
            </w:r>
          </w:p>
          <w:p w14:paraId="35F6586E" w14:textId="6C80112C" w:rsidR="00307944" w:rsidRPr="0083479D" w:rsidRDefault="00307944" w:rsidP="0083479D">
            <w:pPr>
              <w:pStyle w:val="Tablehead"/>
              <w:rPr>
                <w:color w:val="auto"/>
                <w:rtl/>
              </w:rPr>
            </w:pPr>
            <w:r w:rsidRPr="0083479D">
              <w:rPr>
                <w:rFonts w:hint="cs"/>
                <w:color w:val="auto"/>
                <w:rtl/>
              </w:rPr>
              <w:t xml:space="preserve">(عدد السنوات بعد نهاية الفترة التنظيمية الممتدة إلى سبع سنوات أو بعد </w:t>
            </w:r>
            <w:r w:rsidR="004E731D" w:rsidRPr="0083479D">
              <w:rPr>
                <w:color w:val="auto"/>
              </w:rPr>
              <w:t>1</w:t>
            </w:r>
            <w:r w:rsidR="004E731D" w:rsidRPr="0083479D">
              <w:rPr>
                <w:rFonts w:hint="cs"/>
                <w:color w:val="auto"/>
                <w:rtl/>
              </w:rPr>
              <w:t xml:space="preserve"> يناير </w:t>
            </w:r>
            <w:r w:rsidR="004E731D" w:rsidRPr="0083479D">
              <w:rPr>
                <w:color w:val="auto"/>
              </w:rPr>
              <w:t>2021</w:t>
            </w:r>
            <w:r w:rsidR="004E731D" w:rsidRPr="0083479D">
              <w:rPr>
                <w:rFonts w:hint="cs"/>
                <w:color w:val="auto"/>
                <w:rtl/>
              </w:rPr>
              <w:t xml:space="preserve">، أيهما </w:t>
            </w:r>
            <w:r w:rsidR="009E3426">
              <w:rPr>
                <w:rFonts w:hint="cs"/>
                <w:color w:val="auto"/>
                <w:rtl/>
              </w:rPr>
              <w:t>أطول</w:t>
            </w:r>
            <w:r w:rsidR="004E731D" w:rsidRPr="0083479D">
              <w:rPr>
                <w:rFonts w:hint="cs"/>
                <w:color w:val="auto"/>
                <w:rtl/>
              </w:rPr>
              <w:t>)</w:t>
            </w:r>
          </w:p>
        </w:tc>
        <w:tc>
          <w:tcPr>
            <w:tcW w:w="26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46AB44BC" w14:textId="5A301027" w:rsidR="007159E0" w:rsidRPr="0083479D" w:rsidRDefault="004E731D" w:rsidP="0083479D">
            <w:pPr>
              <w:pStyle w:val="Tablehead"/>
              <w:rPr>
                <w:color w:val="auto"/>
              </w:rPr>
            </w:pPr>
            <w:r w:rsidRPr="0083479D">
              <w:rPr>
                <w:rFonts w:hint="cs"/>
                <w:color w:val="auto"/>
                <w:rtl/>
              </w:rPr>
              <w:t xml:space="preserve">النسبة المئوية الدنيا المطلوبة من السواتل المنشورة </w:t>
            </w:r>
            <w:r w:rsidR="001B74CB" w:rsidRPr="0083479D">
              <w:rPr>
                <w:rFonts w:hint="cs"/>
                <w:color w:val="auto"/>
                <w:rtl/>
              </w:rPr>
              <w:t>للوفاء بالمرحلة</w:t>
            </w:r>
          </w:p>
        </w:tc>
      </w:tr>
      <w:tr w:rsidR="007159E0" w:rsidRPr="0083479D" w14:paraId="4D15E81C" w14:textId="77777777" w:rsidTr="009E3426">
        <w:trPr>
          <w:trHeight w:val="38"/>
        </w:trPr>
        <w:tc>
          <w:tcPr>
            <w:tcW w:w="1422" w:type="dxa"/>
          </w:tcPr>
          <w:p w14:paraId="386FEF10" w14:textId="77E34B9B" w:rsidR="007159E0" w:rsidRPr="0083479D" w:rsidRDefault="008209D4" w:rsidP="003209C9">
            <w:pPr>
              <w:pStyle w:val="Tabletext"/>
            </w:pPr>
            <w:r w:rsidRPr="0083479D">
              <w:rPr>
                <w:rFonts w:hint="cs"/>
                <w:rtl/>
              </w:rPr>
              <w:t>الأولى</w:t>
            </w:r>
          </w:p>
        </w:tc>
        <w:tc>
          <w:tcPr>
            <w:tcW w:w="4548" w:type="dxa"/>
          </w:tcPr>
          <w:p w14:paraId="39330012" w14:textId="4FCF40A5" w:rsidR="007159E0" w:rsidRPr="0083479D" w:rsidRDefault="008209D4" w:rsidP="003209C9">
            <w:pPr>
              <w:pStyle w:val="Tabletext"/>
              <w:rPr>
                <w:rtl/>
                <w:lang w:bidi="ar-EG"/>
              </w:rPr>
            </w:pPr>
            <w:r w:rsidRPr="0083479D">
              <w:rPr>
                <w:rFonts w:hint="cs"/>
                <w:rtl/>
              </w:rPr>
              <w:t xml:space="preserve">من سنتين إلى ثلاث </w:t>
            </w:r>
            <w:r w:rsidR="00C2463F">
              <w:rPr>
                <w:rFonts w:hint="cs"/>
                <w:rtl/>
                <w:lang w:bidi="ar-EG"/>
              </w:rPr>
              <w:t>سنوات</w:t>
            </w:r>
          </w:p>
        </w:tc>
        <w:tc>
          <w:tcPr>
            <w:tcW w:w="2679" w:type="dxa"/>
          </w:tcPr>
          <w:p w14:paraId="74968269" w14:textId="1FB68751" w:rsidR="007159E0" w:rsidRPr="0083479D" w:rsidRDefault="003209C9" w:rsidP="003209C9">
            <w:pPr>
              <w:pStyle w:val="Tabletext"/>
              <w:rPr>
                <w:rtl/>
                <w:lang w:bidi="ar-EG"/>
              </w:rPr>
            </w:pPr>
            <w:r>
              <w:rPr>
                <w:lang w:val="en-US"/>
              </w:rPr>
              <w:t>%</w:t>
            </w:r>
            <w:r w:rsidR="008209D4" w:rsidRPr="0083479D">
              <w:rPr>
                <w:lang w:val="en-US"/>
              </w:rPr>
              <w:t>10</w:t>
            </w:r>
          </w:p>
        </w:tc>
      </w:tr>
      <w:tr w:rsidR="007159E0" w:rsidRPr="0083479D" w14:paraId="4CECB473" w14:textId="77777777" w:rsidTr="009E3426">
        <w:trPr>
          <w:trHeight w:val="16"/>
        </w:trPr>
        <w:tc>
          <w:tcPr>
            <w:tcW w:w="1422" w:type="dxa"/>
          </w:tcPr>
          <w:p w14:paraId="5C765EA6" w14:textId="400D3F99" w:rsidR="007159E0" w:rsidRPr="0083479D" w:rsidRDefault="008209D4" w:rsidP="003209C9">
            <w:pPr>
              <w:pStyle w:val="Tabletext"/>
            </w:pPr>
            <w:r w:rsidRPr="0083479D">
              <w:rPr>
                <w:rFonts w:hint="cs"/>
                <w:rtl/>
              </w:rPr>
              <w:t>الثانية</w:t>
            </w:r>
          </w:p>
        </w:tc>
        <w:tc>
          <w:tcPr>
            <w:tcW w:w="4548" w:type="dxa"/>
          </w:tcPr>
          <w:p w14:paraId="4419F666" w14:textId="443B2D75" w:rsidR="007159E0" w:rsidRPr="0083479D" w:rsidRDefault="008209D4" w:rsidP="003209C9">
            <w:pPr>
              <w:pStyle w:val="Tabletext"/>
            </w:pPr>
            <w:r w:rsidRPr="0083479D">
              <w:rPr>
                <w:rFonts w:hint="cs"/>
                <w:rtl/>
              </w:rPr>
              <w:t>من أربع إلى خمس سنوات</w:t>
            </w:r>
          </w:p>
        </w:tc>
        <w:tc>
          <w:tcPr>
            <w:tcW w:w="2679" w:type="dxa"/>
          </w:tcPr>
          <w:p w14:paraId="330E76B4" w14:textId="185CBF2E" w:rsidR="007159E0" w:rsidRPr="0083479D" w:rsidRDefault="003209C9" w:rsidP="003209C9">
            <w:pPr>
              <w:pStyle w:val="Tabletext"/>
              <w:rPr>
                <w:rtl/>
                <w:lang w:bidi="ar-EG"/>
              </w:rPr>
            </w:pPr>
            <w:r>
              <w:rPr>
                <w:lang w:val="en-US"/>
              </w:rPr>
              <w:t>%</w:t>
            </w:r>
            <w:r w:rsidR="008209D4" w:rsidRPr="0083479D">
              <w:rPr>
                <w:lang w:val="en-US"/>
              </w:rPr>
              <w:t>50</w:t>
            </w:r>
            <w:r>
              <w:rPr>
                <w:lang w:val="en-US"/>
              </w:rPr>
              <w:t>-</w:t>
            </w:r>
            <w:r w:rsidR="008209D4" w:rsidRPr="0083479D">
              <w:rPr>
                <w:lang w:val="en-US" w:bidi="ar-EG"/>
              </w:rPr>
              <w:t>3</w:t>
            </w:r>
            <w:r w:rsidR="008209D4" w:rsidRPr="0083479D">
              <w:rPr>
                <w:lang w:val="en-US"/>
              </w:rPr>
              <w:t>0</w:t>
            </w:r>
          </w:p>
        </w:tc>
      </w:tr>
      <w:tr w:rsidR="007159E0" w:rsidRPr="0083479D" w14:paraId="12C3E9BC" w14:textId="77777777" w:rsidTr="009E3426">
        <w:trPr>
          <w:trHeight w:val="75"/>
        </w:trPr>
        <w:tc>
          <w:tcPr>
            <w:tcW w:w="1422" w:type="dxa"/>
          </w:tcPr>
          <w:p w14:paraId="2FD3908C" w14:textId="49604993" w:rsidR="007159E0" w:rsidRPr="0083479D" w:rsidRDefault="008209D4" w:rsidP="003209C9">
            <w:pPr>
              <w:pStyle w:val="Tabletext"/>
            </w:pPr>
            <w:r w:rsidRPr="0083479D">
              <w:rPr>
                <w:rFonts w:hint="cs"/>
                <w:rtl/>
              </w:rPr>
              <w:t>الثالثة</w:t>
            </w:r>
          </w:p>
        </w:tc>
        <w:tc>
          <w:tcPr>
            <w:tcW w:w="4548" w:type="dxa"/>
          </w:tcPr>
          <w:p w14:paraId="625D0C7F" w14:textId="79D4F6E6" w:rsidR="007159E0" w:rsidRPr="0083479D" w:rsidRDefault="008209D4" w:rsidP="003209C9">
            <w:pPr>
              <w:pStyle w:val="Tabletext"/>
            </w:pPr>
            <w:r w:rsidRPr="0083479D">
              <w:rPr>
                <w:rFonts w:hint="cs"/>
                <w:rtl/>
              </w:rPr>
              <w:t>سبع سنوات</w:t>
            </w:r>
          </w:p>
        </w:tc>
        <w:tc>
          <w:tcPr>
            <w:tcW w:w="2679" w:type="dxa"/>
          </w:tcPr>
          <w:p w14:paraId="26B54279" w14:textId="6DF8A49A" w:rsidR="007159E0" w:rsidRPr="0083479D" w:rsidRDefault="003209C9" w:rsidP="003209C9">
            <w:pPr>
              <w:pStyle w:val="Tabletext"/>
              <w:rPr>
                <w:rtl/>
                <w:lang w:bidi="ar-EG"/>
              </w:rPr>
            </w:pPr>
            <w:r>
              <w:rPr>
                <w:lang w:val="en-US" w:bidi="ar-EG"/>
              </w:rPr>
              <w:t>%</w:t>
            </w:r>
            <w:r w:rsidR="008209D4" w:rsidRPr="0083479D">
              <w:rPr>
                <w:lang w:val="en-US" w:bidi="ar-EG"/>
              </w:rPr>
              <w:t>100</w:t>
            </w:r>
            <w:r>
              <w:rPr>
                <w:lang w:val="en-US" w:bidi="ar-EG"/>
              </w:rPr>
              <w:t xml:space="preserve"> / </w:t>
            </w:r>
            <w:r>
              <w:rPr>
                <w:lang w:val="en-US"/>
              </w:rPr>
              <w:t>%</w:t>
            </w:r>
            <w:r w:rsidRPr="0083479D">
              <w:rPr>
                <w:lang w:val="en-US"/>
              </w:rPr>
              <w:t>95</w:t>
            </w:r>
            <w:r w:rsidRPr="0083479D">
              <w:t>-</w:t>
            </w:r>
            <w:r w:rsidRPr="0083479D">
              <w:rPr>
                <w:lang w:val="en-US"/>
              </w:rPr>
              <w:t>90</w:t>
            </w:r>
          </w:p>
        </w:tc>
      </w:tr>
    </w:tbl>
    <w:bookmarkEnd w:id="0"/>
    <w:p w14:paraId="5898A6C6" w14:textId="3476AB29" w:rsidR="007159E0" w:rsidRPr="0083479D" w:rsidRDefault="007159E0" w:rsidP="009E3426">
      <w:pPr>
        <w:spacing w:before="240"/>
        <w:rPr>
          <w:i/>
          <w:iCs/>
          <w:rtl/>
        </w:rPr>
      </w:pPr>
      <w:r w:rsidRPr="0083479D">
        <w:rPr>
          <w:rFonts w:hint="cs"/>
          <w:i/>
          <w:iCs/>
          <w:rtl/>
        </w:rPr>
        <w:t>ملاحظة:</w:t>
      </w:r>
    </w:p>
    <w:p w14:paraId="47912154" w14:textId="0F98B089" w:rsidR="007159E0" w:rsidRPr="0083479D" w:rsidRDefault="00D303FE" w:rsidP="009E3426">
      <w:pPr>
        <w:rPr>
          <w:rtl/>
          <w:lang w:val="en-GB" w:bidi="ar-EG"/>
        </w:rPr>
      </w:pPr>
      <w:r w:rsidRPr="0083479D">
        <w:rPr>
          <w:rFonts w:hint="cs"/>
          <w:rtl/>
        </w:rPr>
        <w:t xml:space="preserve">يجوز للمؤتمر العالمي للاتصالات الراديوية لعام </w:t>
      </w:r>
      <w:r w:rsidRPr="0083479D">
        <w:t>2019</w:t>
      </w:r>
      <w:r w:rsidRPr="0083479D">
        <w:rPr>
          <w:rFonts w:hint="cs"/>
          <w:rtl/>
          <w:lang w:val="en-GB" w:bidi="ar-EG"/>
        </w:rPr>
        <w:t xml:space="preserve"> </w:t>
      </w:r>
      <w:r w:rsidR="009E3426">
        <w:rPr>
          <w:lang w:val="en-GB" w:bidi="ar-EG"/>
        </w:rPr>
        <w:t>(</w:t>
      </w:r>
      <w:r w:rsidRPr="0083479D">
        <w:rPr>
          <w:lang w:val="en-GB" w:bidi="ar-EG"/>
        </w:rPr>
        <w:t>WRC-</w:t>
      </w:r>
      <w:r w:rsidRPr="0083479D">
        <w:rPr>
          <w:lang w:bidi="ar-EG"/>
        </w:rPr>
        <w:t>19</w:t>
      </w:r>
      <w:r w:rsidR="009E3426">
        <w:rPr>
          <w:lang w:bidi="ar-EG"/>
        </w:rPr>
        <w:t>)</w:t>
      </w:r>
      <w:r w:rsidRPr="0083479D">
        <w:rPr>
          <w:rFonts w:hint="cs"/>
          <w:rtl/>
          <w:lang w:val="en-GB" w:bidi="ar-EG"/>
        </w:rPr>
        <w:t xml:space="preserve">، عند النظر في مديات المراحل وما يصاحبها من </w:t>
      </w:r>
      <w:r w:rsidR="009E3426">
        <w:rPr>
          <w:rFonts w:hint="cs"/>
          <w:rtl/>
          <w:lang w:val="en-GB" w:bidi="ar-EG"/>
        </w:rPr>
        <w:t>عوامل</w:t>
      </w:r>
      <w:r w:rsidRPr="0083479D">
        <w:rPr>
          <w:rFonts w:hint="cs"/>
          <w:rtl/>
          <w:lang w:val="en-GB" w:bidi="ar-EG"/>
        </w:rPr>
        <w:t xml:space="preserve"> النشر في الجدول أعلاه، أن ينظر في </w:t>
      </w:r>
      <w:r w:rsidR="009E3426">
        <w:rPr>
          <w:rFonts w:hint="cs"/>
          <w:rtl/>
          <w:lang w:val="en-GB" w:bidi="ar-EG"/>
        </w:rPr>
        <w:t xml:space="preserve">منح </w:t>
      </w:r>
      <w:r w:rsidRPr="0083479D">
        <w:rPr>
          <w:rFonts w:hint="cs"/>
          <w:rtl/>
          <w:lang w:val="en-GB" w:bidi="ar-EG"/>
        </w:rPr>
        <w:t xml:space="preserve">درجة من المرونة </w:t>
      </w:r>
      <w:r w:rsidR="00746B3A" w:rsidRPr="0083479D">
        <w:rPr>
          <w:rFonts w:hint="cs"/>
          <w:rtl/>
          <w:lang w:val="en-GB" w:bidi="ar-EG"/>
        </w:rPr>
        <w:t xml:space="preserve">للجهات التي تتولى تشغيل السواتل غير المستقرة بالنسبة إلى الأرض إذا </w:t>
      </w:r>
      <w:r w:rsidR="009E3426">
        <w:rPr>
          <w:rFonts w:hint="cs"/>
          <w:rtl/>
          <w:lang w:val="en-GB" w:bidi="ar-EG"/>
        </w:rPr>
        <w:t xml:space="preserve">أخفقت في تحقيق </w:t>
      </w:r>
      <w:r w:rsidR="00746B3A" w:rsidRPr="0083479D">
        <w:rPr>
          <w:rFonts w:hint="cs"/>
          <w:rtl/>
          <w:lang w:val="en-GB" w:bidi="ar-EG"/>
        </w:rPr>
        <w:t xml:space="preserve">معيار النسبة المئوية في المرحلتين </w:t>
      </w:r>
      <w:r w:rsidR="00746B3A" w:rsidRPr="0083479D">
        <w:rPr>
          <w:lang w:bidi="ar-EG"/>
        </w:rPr>
        <w:t>1</w:t>
      </w:r>
      <w:r w:rsidR="00746B3A" w:rsidRPr="0083479D">
        <w:rPr>
          <w:rFonts w:hint="cs"/>
          <w:rtl/>
          <w:lang w:val="en-GB" w:bidi="ar-EG"/>
        </w:rPr>
        <w:t xml:space="preserve"> و</w:t>
      </w:r>
      <w:r w:rsidR="00746B3A" w:rsidRPr="0083479D">
        <w:rPr>
          <w:lang w:bidi="ar-EG"/>
        </w:rPr>
        <w:t>2</w:t>
      </w:r>
      <w:r w:rsidR="00746B3A" w:rsidRPr="0083479D">
        <w:rPr>
          <w:rFonts w:hint="cs"/>
          <w:rtl/>
          <w:lang w:val="en-GB" w:bidi="ar-EG"/>
        </w:rPr>
        <w:t xml:space="preserve"> أعلاه، </w:t>
      </w:r>
      <w:r w:rsidR="00936571" w:rsidRPr="0083479D">
        <w:rPr>
          <w:rFonts w:hint="cs"/>
          <w:rtl/>
          <w:lang w:val="en-GB" w:bidi="ar-EG"/>
        </w:rPr>
        <w:t>و</w:t>
      </w:r>
      <w:r w:rsidR="00651B35" w:rsidRPr="0083479D">
        <w:rPr>
          <w:rFonts w:hint="cs"/>
          <w:rtl/>
          <w:lang w:val="en-GB" w:bidi="ar-EG"/>
        </w:rPr>
        <w:t>أ</w:t>
      </w:r>
      <w:r w:rsidR="00936571" w:rsidRPr="0083479D">
        <w:rPr>
          <w:rFonts w:hint="cs"/>
          <w:rtl/>
          <w:lang w:val="en-GB" w:bidi="ar-EG"/>
        </w:rPr>
        <w:t>نه</w:t>
      </w:r>
      <w:r w:rsidR="00DD7807" w:rsidRPr="0083479D">
        <w:rPr>
          <w:rFonts w:hint="cs"/>
          <w:rtl/>
          <w:lang w:val="en-GB" w:bidi="ar-EG"/>
        </w:rPr>
        <w:t xml:space="preserve"> </w:t>
      </w:r>
      <w:r w:rsidR="00651B35" w:rsidRPr="0083479D">
        <w:rPr>
          <w:rFonts w:hint="cs"/>
          <w:rtl/>
          <w:lang w:val="en-GB" w:bidi="ar-EG"/>
        </w:rPr>
        <w:t xml:space="preserve">سيتعين عليها </w:t>
      </w:r>
      <w:r w:rsidR="00DD7807" w:rsidRPr="0083479D">
        <w:rPr>
          <w:rFonts w:hint="cs"/>
          <w:rtl/>
          <w:lang w:val="en-GB" w:bidi="ar-EG"/>
        </w:rPr>
        <w:t xml:space="preserve">تحقيق هذه المعايير في المرحلة التالية. </w:t>
      </w:r>
    </w:p>
    <w:p w14:paraId="616D235D" w14:textId="1C836602" w:rsidR="00DD7807" w:rsidRPr="009E3426" w:rsidRDefault="00DD7807" w:rsidP="009E3426">
      <w:pPr>
        <w:pStyle w:val="Headingb"/>
        <w:rPr>
          <w:rFonts w:ascii="Times New Roman" w:hAnsi="Times New Roman"/>
          <w:rtl/>
        </w:rPr>
      </w:pPr>
      <w:r w:rsidRPr="009E3426">
        <w:rPr>
          <w:rFonts w:ascii="Times New Roman" w:hAnsi="Times New Roman" w:hint="cs"/>
          <w:rtl/>
        </w:rPr>
        <w:t>تدابير انتقالية</w:t>
      </w:r>
    </w:p>
    <w:p w14:paraId="77ED1B04" w14:textId="50AA0BD3" w:rsidR="00DD7807" w:rsidRPr="0083479D" w:rsidRDefault="009E3426" w:rsidP="007159E0">
      <w:pPr>
        <w:rPr>
          <w:rtl/>
          <w:lang w:val="en-GB" w:bidi="ar-EG"/>
        </w:rPr>
      </w:pPr>
      <w:r>
        <w:rPr>
          <w:rFonts w:hint="cs"/>
          <w:rtl/>
          <w:lang w:val="en-GB" w:bidi="ar-EG"/>
        </w:rPr>
        <w:t xml:space="preserve">ربما </w:t>
      </w:r>
      <w:r w:rsidR="005F796A" w:rsidRPr="0083479D">
        <w:rPr>
          <w:rFonts w:hint="cs"/>
          <w:rtl/>
          <w:lang w:val="en-GB" w:bidi="ar-EG"/>
        </w:rPr>
        <w:t xml:space="preserve">يؤيد أعضاء جماعة آسيا والمحيط الهادئ للاتصالات، في هذه المرحلة، الخيار </w:t>
      </w:r>
      <w:r w:rsidR="005F796A" w:rsidRPr="0083479D">
        <w:rPr>
          <w:lang w:bidi="ar-EG"/>
        </w:rPr>
        <w:t>1</w:t>
      </w:r>
      <w:r w:rsidR="005F796A" w:rsidRPr="0083479D">
        <w:rPr>
          <w:rFonts w:hint="cs"/>
          <w:rtl/>
          <w:lang w:val="en-GB" w:bidi="ar-EG"/>
        </w:rPr>
        <w:t xml:space="preserve">، على أن يكون تاريخ بدء </w:t>
      </w:r>
      <w:r>
        <w:rPr>
          <w:rFonts w:hint="cs"/>
          <w:rtl/>
          <w:lang w:val="en-GB" w:bidi="ar-EG"/>
        </w:rPr>
        <w:t>ال</w:t>
      </w:r>
      <w:r w:rsidR="005F796A" w:rsidRPr="0083479D">
        <w:rPr>
          <w:rFonts w:hint="cs"/>
          <w:rtl/>
          <w:lang w:val="en-GB" w:bidi="ar-EG"/>
        </w:rPr>
        <w:t>عملية المرحل</w:t>
      </w:r>
      <w:r>
        <w:rPr>
          <w:rFonts w:hint="cs"/>
          <w:rtl/>
          <w:lang w:val="en-GB" w:bidi="ar-EG"/>
        </w:rPr>
        <w:t>ي</w:t>
      </w:r>
      <w:r w:rsidR="005F796A" w:rsidRPr="0083479D">
        <w:rPr>
          <w:rFonts w:hint="cs"/>
          <w:rtl/>
          <w:lang w:val="en-GB" w:bidi="ar-EG"/>
        </w:rPr>
        <w:t>ة</w:t>
      </w:r>
      <w:r>
        <w:rPr>
          <w:rFonts w:hint="eastAsia"/>
          <w:rtl/>
          <w:lang w:val="en-GB" w:bidi="ar-EG"/>
        </w:rPr>
        <w:t> </w:t>
      </w:r>
      <w:r w:rsidR="005F796A" w:rsidRPr="0083479D">
        <w:rPr>
          <w:lang w:bidi="ar-EG"/>
        </w:rPr>
        <w:t>1</w:t>
      </w:r>
      <w:r>
        <w:rPr>
          <w:rFonts w:hint="eastAsia"/>
          <w:rtl/>
          <w:lang w:bidi="ar-EG"/>
        </w:rPr>
        <w:t> </w:t>
      </w:r>
      <w:r w:rsidR="005F796A" w:rsidRPr="0083479D">
        <w:rPr>
          <w:rFonts w:hint="cs"/>
          <w:rtl/>
          <w:lang w:val="en-GB" w:bidi="ar-EG"/>
        </w:rPr>
        <w:t>يناير</w:t>
      </w:r>
      <w:r>
        <w:rPr>
          <w:rFonts w:hint="eastAsia"/>
          <w:rtl/>
          <w:lang w:val="en-GB" w:bidi="ar-EG"/>
        </w:rPr>
        <w:t> </w:t>
      </w:r>
      <w:r w:rsidR="005F796A" w:rsidRPr="0083479D">
        <w:rPr>
          <w:lang w:bidi="ar-EG"/>
        </w:rPr>
        <w:t>2021</w:t>
      </w:r>
      <w:r w:rsidR="005F796A" w:rsidRPr="0083479D">
        <w:rPr>
          <w:rFonts w:hint="cs"/>
          <w:rtl/>
          <w:lang w:val="en-GB" w:bidi="ar-EG"/>
        </w:rPr>
        <w:t>.</w:t>
      </w:r>
    </w:p>
    <w:p w14:paraId="30A7BC00" w14:textId="2F01681A" w:rsidR="007159E0" w:rsidRPr="009E3426" w:rsidRDefault="007159E0" w:rsidP="009E3426">
      <w:pPr>
        <w:pStyle w:val="Headingb"/>
        <w:rPr>
          <w:rFonts w:ascii="Times New Roman" w:hAnsi="Times New Roman"/>
          <w:rtl/>
        </w:rPr>
      </w:pPr>
      <w:r w:rsidRPr="0083479D">
        <w:rPr>
          <w:rFonts w:ascii="Times New Roman" w:hAnsi="Times New Roman"/>
          <w:rtl/>
        </w:rPr>
        <w:t xml:space="preserve">نطاقات التردد والخدمات لتطبيق </w:t>
      </w:r>
      <w:r w:rsidR="000C5FD8" w:rsidRPr="0083479D">
        <w:rPr>
          <w:rFonts w:ascii="Times New Roman" w:hAnsi="Times New Roman"/>
          <w:rtl/>
        </w:rPr>
        <w:t>النهج المرحلي</w:t>
      </w:r>
    </w:p>
    <w:p w14:paraId="17F949A2" w14:textId="73C64B95" w:rsidR="007159E0" w:rsidRPr="0083479D" w:rsidRDefault="00306DCA" w:rsidP="007159E0">
      <w:pPr>
        <w:rPr>
          <w:rtl/>
          <w:lang w:bidi="ar-EG"/>
        </w:rPr>
      </w:pPr>
      <w:r w:rsidRPr="0083479D">
        <w:rPr>
          <w:rFonts w:hint="cs"/>
          <w:rtl/>
          <w:lang w:bidi="ar-EG"/>
        </w:rPr>
        <w:t xml:space="preserve">يؤيد أعضاء جماعة آسيا والمحيط الهادئ للاتصالات تطبيق </w:t>
      </w:r>
      <w:r w:rsidR="000C5FD8" w:rsidRPr="0083479D">
        <w:rPr>
          <w:rFonts w:hint="cs"/>
          <w:rtl/>
          <w:lang w:bidi="ar-EG"/>
        </w:rPr>
        <w:t>النهج المرحلي</w:t>
      </w:r>
      <w:r w:rsidRPr="0083479D">
        <w:rPr>
          <w:rFonts w:hint="cs"/>
          <w:rtl/>
          <w:lang w:bidi="ar-EG"/>
        </w:rPr>
        <w:t xml:space="preserve"> على الأنظمة غير المستقرة بالنسبة إلى الأرض العاملة في الخدمة الثابتة الساتلية، والخدمة الإذاعية الساتلية، والخدمة المتنقلة الساتلية، ولكن ليس على الأنظمة العاملة في خدمة الملاحة الراديوية الساتلية.</w:t>
      </w:r>
    </w:p>
    <w:p w14:paraId="3597C4D5" w14:textId="10806ED5" w:rsidR="00306DCA" w:rsidRPr="009E3426" w:rsidRDefault="00306DCA" w:rsidP="009E3426">
      <w:pPr>
        <w:rPr>
          <w:rtl/>
          <w:lang w:bidi="ar-EG"/>
        </w:rPr>
      </w:pPr>
      <w:r w:rsidRPr="009E3426">
        <w:rPr>
          <w:rFonts w:hint="cs"/>
          <w:spacing w:val="-2"/>
          <w:rtl/>
        </w:rPr>
        <w:t xml:space="preserve">ولا يعترض أعضاء جماعة آسيا والمحيط الهادئ للاتصالات، في هذه المرحلة، </w:t>
      </w:r>
      <w:r w:rsidR="00BA6429" w:rsidRPr="009E3426">
        <w:rPr>
          <w:rFonts w:hint="cs"/>
          <w:spacing w:val="-2"/>
          <w:rtl/>
        </w:rPr>
        <w:t xml:space="preserve">على تطبيق النهج </w:t>
      </w:r>
      <w:r w:rsidR="00651B35" w:rsidRPr="009E3426">
        <w:rPr>
          <w:rFonts w:hint="cs"/>
          <w:spacing w:val="-2"/>
          <w:rtl/>
        </w:rPr>
        <w:t xml:space="preserve">المرحلي </w:t>
      </w:r>
      <w:r w:rsidR="00BA6429" w:rsidRPr="009E3426">
        <w:rPr>
          <w:rFonts w:hint="cs"/>
          <w:spacing w:val="-2"/>
          <w:rtl/>
        </w:rPr>
        <w:t>على النطاقات التالية في</w:t>
      </w:r>
      <w:r w:rsidR="009E3426" w:rsidRPr="009E3426">
        <w:rPr>
          <w:rFonts w:hint="eastAsia"/>
          <w:spacing w:val="-2"/>
          <w:rtl/>
        </w:rPr>
        <w:t> </w:t>
      </w:r>
      <w:r w:rsidR="00BA6429" w:rsidRPr="009E3426">
        <w:rPr>
          <w:rFonts w:hint="cs"/>
          <w:spacing w:val="-2"/>
          <w:rtl/>
        </w:rPr>
        <w:t xml:space="preserve">الخدمة المتنقلة الساتلية </w:t>
      </w:r>
      <w:r w:rsidR="009E3426">
        <w:rPr>
          <w:rFonts w:hint="cs"/>
          <w:spacing w:val="-2"/>
          <w:rtl/>
        </w:rPr>
        <w:t xml:space="preserve">التي </w:t>
      </w:r>
      <w:r w:rsidR="00BA6429" w:rsidRPr="009E3426">
        <w:rPr>
          <w:rFonts w:hint="cs"/>
          <w:spacing w:val="-2"/>
          <w:rtl/>
        </w:rPr>
        <w:t xml:space="preserve">لم يتم التوصل إلى </w:t>
      </w:r>
      <w:r w:rsidR="009E3426">
        <w:rPr>
          <w:rFonts w:hint="cs"/>
          <w:spacing w:val="-2"/>
          <w:rtl/>
        </w:rPr>
        <w:t xml:space="preserve">توافق في الآراء </w:t>
      </w:r>
      <w:r w:rsidR="00BA6429" w:rsidRPr="009E3426">
        <w:rPr>
          <w:rFonts w:hint="cs"/>
          <w:spacing w:val="-2"/>
          <w:rtl/>
        </w:rPr>
        <w:t>بشأنها وأدرجت في تقرير الاجتماع التحضيري للمؤتمر</w:t>
      </w:r>
      <w:r w:rsidR="00651B35" w:rsidRPr="009E3426">
        <w:rPr>
          <w:rFonts w:hint="cs"/>
          <w:spacing w:val="-2"/>
          <w:rtl/>
        </w:rPr>
        <w:t>، وهي</w:t>
      </w:r>
      <w:r w:rsidR="00BA6429" w:rsidRPr="009E3426">
        <w:rPr>
          <w:rFonts w:hint="cs"/>
          <w:spacing w:val="-2"/>
          <w:rtl/>
        </w:rPr>
        <w:t xml:space="preserve">: </w:t>
      </w:r>
      <w:r w:rsidR="007F542D" w:rsidRPr="009E3426">
        <w:rPr>
          <w:spacing w:val="-2"/>
        </w:rPr>
        <w:t>MHz</w:t>
      </w:r>
      <w:r w:rsidR="009E3426" w:rsidRPr="009E3426">
        <w:rPr>
          <w:spacing w:val="-2"/>
        </w:rPr>
        <w:t> 137,025</w:t>
      </w:r>
      <w:r w:rsidR="009E3426" w:rsidRPr="009E3426">
        <w:rPr>
          <w:spacing w:val="-2"/>
        </w:rPr>
        <w:noBreakHyphen/>
        <w:t>137</w:t>
      </w:r>
      <w:r w:rsidR="007F542D" w:rsidRPr="009E3426">
        <w:rPr>
          <w:rFonts w:hint="cs"/>
          <w:spacing w:val="-2"/>
          <w:rtl/>
        </w:rPr>
        <w:t>،</w:t>
      </w:r>
      <w:r w:rsidR="00093A34" w:rsidRPr="009E3426">
        <w:rPr>
          <w:rFonts w:hint="cs"/>
          <w:spacing w:val="-2"/>
          <w:rtl/>
        </w:rPr>
        <w:t xml:space="preserve"> و</w:t>
      </w:r>
      <w:r w:rsidR="007F542D" w:rsidRPr="009E3426">
        <w:rPr>
          <w:spacing w:val="-2"/>
        </w:rPr>
        <w:t>MHz</w:t>
      </w:r>
      <w:r w:rsidR="009E3426" w:rsidRPr="009E3426">
        <w:rPr>
          <w:spacing w:val="-2"/>
        </w:rPr>
        <w:t> 137,175-137,025</w:t>
      </w:r>
      <w:r w:rsidR="007F542D" w:rsidRPr="009E3426">
        <w:rPr>
          <w:rFonts w:hint="cs"/>
          <w:spacing w:val="-2"/>
          <w:rtl/>
        </w:rPr>
        <w:t xml:space="preserve">، </w:t>
      </w:r>
      <w:r w:rsidR="00093A34" w:rsidRPr="009E3426">
        <w:rPr>
          <w:rFonts w:hint="cs"/>
          <w:spacing w:val="-2"/>
          <w:rtl/>
        </w:rPr>
        <w:t>و</w:t>
      </w:r>
      <w:r w:rsidR="007F542D" w:rsidRPr="009E3426">
        <w:rPr>
          <w:spacing w:val="-2"/>
        </w:rPr>
        <w:t>MHz</w:t>
      </w:r>
      <w:r w:rsidR="009E3426" w:rsidRPr="009E3426">
        <w:rPr>
          <w:spacing w:val="-2"/>
        </w:rPr>
        <w:t> 137,825-137,175</w:t>
      </w:r>
      <w:r w:rsidR="007F542D" w:rsidRPr="009E3426">
        <w:rPr>
          <w:rFonts w:hint="cs"/>
          <w:spacing w:val="-2"/>
          <w:rtl/>
        </w:rPr>
        <w:t xml:space="preserve">، </w:t>
      </w:r>
      <w:r w:rsidR="00093A34" w:rsidRPr="009E3426">
        <w:rPr>
          <w:rFonts w:hint="cs"/>
          <w:spacing w:val="-2"/>
          <w:rtl/>
        </w:rPr>
        <w:t>و</w:t>
      </w:r>
      <w:r w:rsidR="007F542D" w:rsidRPr="009E3426">
        <w:rPr>
          <w:spacing w:val="-2"/>
        </w:rPr>
        <w:t>MHz</w:t>
      </w:r>
      <w:r w:rsidR="009E3426" w:rsidRPr="009E3426">
        <w:rPr>
          <w:spacing w:val="-2"/>
        </w:rPr>
        <w:t> 138-137,825</w:t>
      </w:r>
      <w:r w:rsidR="007F542D" w:rsidRPr="009E3426">
        <w:rPr>
          <w:rFonts w:hint="cs"/>
          <w:spacing w:val="-2"/>
          <w:rtl/>
        </w:rPr>
        <w:t>،</w:t>
      </w:r>
      <w:r w:rsidR="00093A34" w:rsidRPr="009E3426">
        <w:rPr>
          <w:rFonts w:hint="cs"/>
          <w:spacing w:val="-2"/>
          <w:rtl/>
        </w:rPr>
        <w:t xml:space="preserve"> و</w:t>
      </w:r>
      <w:r w:rsidR="007F542D" w:rsidRPr="009E3426">
        <w:rPr>
          <w:spacing w:val="-2"/>
        </w:rPr>
        <w:t>MHz</w:t>
      </w:r>
      <w:r w:rsidR="009E3426" w:rsidRPr="009E3426">
        <w:rPr>
          <w:spacing w:val="-2"/>
        </w:rPr>
        <w:t> 149,9</w:t>
      </w:r>
      <w:r w:rsidR="009E3426" w:rsidRPr="009E3426">
        <w:rPr>
          <w:spacing w:val="-2"/>
        </w:rPr>
        <w:noBreakHyphen/>
        <w:t>148</w:t>
      </w:r>
      <w:r w:rsidR="007F542D" w:rsidRPr="009E3426">
        <w:rPr>
          <w:rFonts w:hint="cs"/>
          <w:spacing w:val="-2"/>
          <w:rtl/>
        </w:rPr>
        <w:t xml:space="preserve">، </w:t>
      </w:r>
      <w:r w:rsidR="00093A34" w:rsidRPr="009E3426">
        <w:rPr>
          <w:rFonts w:hint="cs"/>
          <w:rtl/>
        </w:rPr>
        <w:t>و</w:t>
      </w:r>
      <w:r w:rsidR="00540112" w:rsidRPr="009E3426">
        <w:t>MHz</w:t>
      </w:r>
      <w:r w:rsidR="009E3426" w:rsidRPr="009E3426">
        <w:t> 150,05-149,9</w:t>
      </w:r>
      <w:r w:rsidR="007F542D" w:rsidRPr="009E3426">
        <w:rPr>
          <w:rFonts w:hint="cs"/>
          <w:rtl/>
        </w:rPr>
        <w:t xml:space="preserve"> (</w:t>
      </w:r>
      <w:r w:rsidR="00093A34" w:rsidRPr="009E3426">
        <w:rPr>
          <w:rFonts w:hint="cs"/>
          <w:rtl/>
        </w:rPr>
        <w:t xml:space="preserve">يبدو أن </w:t>
      </w:r>
      <w:r w:rsidR="007F542D" w:rsidRPr="009E3426">
        <w:rPr>
          <w:rFonts w:hint="cs"/>
          <w:rtl/>
        </w:rPr>
        <w:t>هذا النطاق</w:t>
      </w:r>
      <w:r w:rsidR="00093A34" w:rsidRPr="009E3426">
        <w:rPr>
          <w:rFonts w:hint="cs"/>
          <w:rtl/>
        </w:rPr>
        <w:t xml:space="preserve"> </w:t>
      </w:r>
      <w:r w:rsidR="00093A34" w:rsidRPr="009E3426">
        <w:t>MHz</w:t>
      </w:r>
      <w:r w:rsidR="009E3426" w:rsidRPr="009E3426">
        <w:t> 150,05-149,9</w:t>
      </w:r>
      <w:r w:rsidR="00093A34" w:rsidRPr="009E3426">
        <w:rPr>
          <w:rFonts w:hint="cs"/>
          <w:rtl/>
        </w:rPr>
        <w:t xml:space="preserve"> قد أدرج بالخطأ في تقرير الاجتماع التحضيري للمؤتمر على اعتبار أنه النطاق </w:t>
      </w:r>
      <w:r w:rsidR="00093A34" w:rsidRPr="009E3426">
        <w:t>MHz</w:t>
      </w:r>
      <w:r w:rsidR="009E3426" w:rsidRPr="009E3426">
        <w:t> 138</w:t>
      </w:r>
      <w:r w:rsidR="009E3426" w:rsidRPr="009E3426">
        <w:noBreakHyphen/>
        <w:t>137</w:t>
      </w:r>
      <w:r w:rsidR="00093A34" w:rsidRPr="009E3426">
        <w:rPr>
          <w:rFonts w:hint="cs"/>
          <w:rtl/>
        </w:rPr>
        <w:t xml:space="preserve">)، </w:t>
      </w:r>
      <w:r w:rsidR="00FF7E7B" w:rsidRPr="009E3426">
        <w:rPr>
          <w:rFonts w:hint="cs"/>
          <w:rtl/>
        </w:rPr>
        <w:t>و</w:t>
      </w:r>
      <w:r w:rsidR="00FF7E7B" w:rsidRPr="009E3426">
        <w:t>MHz</w:t>
      </w:r>
      <w:r w:rsidR="009E3426" w:rsidRPr="009E3426">
        <w:t> 400,05-399,9</w:t>
      </w:r>
      <w:r w:rsidR="00FF7E7B" w:rsidRPr="009E3426">
        <w:rPr>
          <w:rFonts w:hint="cs"/>
          <w:rtl/>
        </w:rPr>
        <w:t>، و</w:t>
      </w:r>
      <w:r w:rsidR="00FF7E7B" w:rsidRPr="009E3426">
        <w:t>MHz</w:t>
      </w:r>
      <w:r w:rsidR="009E3426" w:rsidRPr="009E3426">
        <w:t> 401-400</w:t>
      </w:r>
      <w:r w:rsidR="009E3426">
        <w:t>,</w:t>
      </w:r>
      <w:r w:rsidR="009E3426" w:rsidRPr="009E3426">
        <w:t>15</w:t>
      </w:r>
      <w:r w:rsidR="00FF7E7B" w:rsidRPr="009E3426">
        <w:rPr>
          <w:rFonts w:hint="cs"/>
          <w:rtl/>
        </w:rPr>
        <w:t>.</w:t>
      </w:r>
    </w:p>
    <w:p w14:paraId="3D65795C" w14:textId="0CD3B9C4" w:rsidR="00FF7E7B" w:rsidRPr="009E3426" w:rsidRDefault="000C5FD8" w:rsidP="00462D95">
      <w:pPr>
        <w:pStyle w:val="Headingb"/>
        <w:rPr>
          <w:rFonts w:ascii="Times New Roman" w:hAnsi="Times New Roman"/>
          <w:rtl/>
        </w:rPr>
      </w:pPr>
      <w:r w:rsidRPr="009E3426">
        <w:rPr>
          <w:rFonts w:ascii="Times New Roman" w:hAnsi="Times New Roman" w:hint="cs"/>
          <w:rtl/>
        </w:rPr>
        <w:t>النهج المرحلي</w:t>
      </w:r>
      <w:r w:rsidR="00FF7E7B" w:rsidRPr="009E3426">
        <w:rPr>
          <w:rFonts w:ascii="Times New Roman" w:hAnsi="Times New Roman" w:hint="cs"/>
          <w:rtl/>
        </w:rPr>
        <w:t xml:space="preserve"> </w:t>
      </w:r>
      <w:r w:rsidR="00462D95">
        <w:rPr>
          <w:rFonts w:ascii="Times New Roman" w:hAnsi="Times New Roman" w:hint="cs"/>
          <w:rtl/>
        </w:rPr>
        <w:t>-</w:t>
      </w:r>
      <w:r w:rsidR="00FF7E7B" w:rsidRPr="009E3426">
        <w:rPr>
          <w:rFonts w:ascii="Times New Roman" w:hAnsi="Times New Roman" w:hint="cs"/>
          <w:rtl/>
        </w:rPr>
        <w:t xml:space="preserve"> عواقب عدم تقديم معلومات المراحل</w:t>
      </w:r>
      <w:r w:rsidR="00462D95">
        <w:rPr>
          <w:rFonts w:ascii="Times New Roman" w:hAnsi="Times New Roman" w:hint="cs"/>
          <w:rtl/>
        </w:rPr>
        <w:t xml:space="preserve"> </w:t>
      </w:r>
      <w:r w:rsidR="00FF7E7B" w:rsidRPr="009E3426">
        <w:rPr>
          <w:rFonts w:ascii="Times New Roman" w:hAnsi="Times New Roman" w:hint="cs"/>
          <w:rtl/>
        </w:rPr>
        <w:t>(</w:t>
      </w:r>
      <w:r w:rsidR="00600326" w:rsidRPr="009E3426">
        <w:rPr>
          <w:rFonts w:ascii="Times New Roman" w:hAnsi="Times New Roman" w:hint="cs"/>
          <w:rtl/>
        </w:rPr>
        <w:t xml:space="preserve">الفقرات </w:t>
      </w:r>
      <w:r w:rsidR="00600326" w:rsidRPr="0083479D">
        <w:rPr>
          <w:rFonts w:ascii="Times New Roman" w:hAnsi="Times New Roman"/>
        </w:rPr>
        <w:t>11</w:t>
      </w:r>
      <w:r w:rsidR="009E3426">
        <w:rPr>
          <w:rFonts w:ascii="Times New Roman" w:hAnsi="Times New Roman"/>
        </w:rPr>
        <w:t>-</w:t>
      </w:r>
      <w:r w:rsidR="009E3426" w:rsidRPr="0083479D">
        <w:rPr>
          <w:rFonts w:ascii="Times New Roman" w:hAnsi="Times New Roman"/>
        </w:rPr>
        <w:t>11</w:t>
      </w:r>
      <w:r w:rsidR="00600326" w:rsidRPr="00462D95">
        <w:rPr>
          <w:rFonts w:ascii="Times New Roman" w:hAnsi="Times New Roman" w:hint="cs"/>
          <w:i/>
          <w:iCs/>
          <w:rtl/>
        </w:rPr>
        <w:t>مكرر</w:t>
      </w:r>
      <w:r w:rsidR="0083479D" w:rsidRPr="00462D95">
        <w:rPr>
          <w:rFonts w:ascii="Times New Roman" w:hAnsi="Times New Roman" w:hint="cs"/>
          <w:i/>
          <w:iCs/>
          <w:rtl/>
        </w:rPr>
        <w:t>اً</w:t>
      </w:r>
      <w:r w:rsidR="00600326" w:rsidRPr="00462D95">
        <w:rPr>
          <w:rFonts w:ascii="Times New Roman" w:hAnsi="Times New Roman" w:hint="cs"/>
          <w:i/>
          <w:iCs/>
          <w:rtl/>
        </w:rPr>
        <w:t xml:space="preserve"> ثاني</w:t>
      </w:r>
      <w:r w:rsidR="0083479D" w:rsidRPr="00462D95">
        <w:rPr>
          <w:rFonts w:ascii="Times New Roman" w:hAnsi="Times New Roman" w:hint="cs"/>
          <w:i/>
          <w:iCs/>
          <w:rtl/>
        </w:rPr>
        <w:t>اً</w:t>
      </w:r>
      <w:r w:rsidR="00600326" w:rsidRPr="009E3426">
        <w:rPr>
          <w:rFonts w:ascii="Times New Roman" w:hAnsi="Times New Roman" w:hint="cs"/>
          <w:rtl/>
        </w:rPr>
        <w:t xml:space="preserve"> من </w:t>
      </w:r>
      <w:r w:rsidR="00600326" w:rsidRPr="00462D95">
        <w:rPr>
          <w:rFonts w:ascii="Times New Roman" w:hAnsi="Times New Roman" w:hint="cs"/>
          <w:i/>
          <w:iCs/>
          <w:rtl/>
        </w:rPr>
        <w:t>"يقرر"</w:t>
      </w:r>
      <w:r w:rsidR="00600326" w:rsidRPr="009E3426">
        <w:rPr>
          <w:rFonts w:ascii="Times New Roman" w:hAnsi="Times New Roman" w:hint="cs"/>
          <w:rtl/>
        </w:rPr>
        <w:t>)</w:t>
      </w:r>
    </w:p>
    <w:p w14:paraId="7A3D44C1" w14:textId="46C4C9F8" w:rsidR="00600326" w:rsidRPr="0083479D" w:rsidRDefault="00600326" w:rsidP="00FF7E7B">
      <w:pPr>
        <w:rPr>
          <w:rtl/>
          <w:lang w:val="en-GB" w:bidi="ar-EG"/>
        </w:rPr>
      </w:pPr>
      <w:r w:rsidRPr="0083479D">
        <w:rPr>
          <w:rFonts w:hint="cs"/>
          <w:rtl/>
          <w:lang w:val="en-GB" w:bidi="ar-EG"/>
        </w:rPr>
        <w:t xml:space="preserve">أعرب أعضاء جماعة آسيا والمحيط الهادئ للاتصالات عن تفضيلهم الخيار </w:t>
      </w:r>
      <w:r w:rsidRPr="0083479D">
        <w:rPr>
          <w:lang w:bidi="ar-EG"/>
        </w:rPr>
        <w:t>1</w:t>
      </w:r>
      <w:r w:rsidRPr="0083479D">
        <w:rPr>
          <w:rFonts w:hint="cs"/>
          <w:rtl/>
          <w:lang w:val="en-GB" w:bidi="ar-EG"/>
        </w:rPr>
        <w:t>.</w:t>
      </w:r>
    </w:p>
    <w:p w14:paraId="06851C0B" w14:textId="20E77B4A" w:rsidR="00600326" w:rsidRPr="009E3426" w:rsidRDefault="000C5FD8" w:rsidP="009E3426">
      <w:pPr>
        <w:pStyle w:val="Headingb"/>
        <w:rPr>
          <w:rFonts w:ascii="Times New Roman" w:hAnsi="Times New Roman"/>
          <w:rtl/>
        </w:rPr>
      </w:pPr>
      <w:r w:rsidRPr="009E3426">
        <w:rPr>
          <w:rFonts w:ascii="Times New Roman" w:hAnsi="Times New Roman" w:hint="cs"/>
          <w:rtl/>
        </w:rPr>
        <w:t>النهج المرحلي</w:t>
      </w:r>
      <w:r w:rsidR="00600326" w:rsidRPr="009E3426">
        <w:rPr>
          <w:rFonts w:ascii="Times New Roman" w:hAnsi="Times New Roman" w:hint="cs"/>
          <w:rtl/>
        </w:rPr>
        <w:t xml:space="preserve"> </w:t>
      </w:r>
      <w:r w:rsidR="00462D95">
        <w:rPr>
          <w:rFonts w:ascii="Times New Roman" w:hAnsi="Times New Roman" w:hint="cs"/>
          <w:rtl/>
        </w:rPr>
        <w:t>-</w:t>
      </w:r>
      <w:r w:rsidR="00600326" w:rsidRPr="009E3426">
        <w:rPr>
          <w:rFonts w:ascii="Times New Roman" w:hAnsi="Times New Roman" w:hint="cs"/>
          <w:rtl/>
        </w:rPr>
        <w:t xml:space="preserve"> </w:t>
      </w:r>
      <w:r w:rsidR="0054794D" w:rsidRPr="009E3426">
        <w:rPr>
          <w:rFonts w:ascii="Times New Roman" w:hAnsi="Times New Roman" w:hint="cs"/>
          <w:rtl/>
        </w:rPr>
        <w:t>إعادة استخدام المركبة الفضائية للوضع في الخدمة أو الاحتساب ضمن مراحل أنظمة أخرى (الفقرة</w:t>
      </w:r>
      <w:r w:rsidR="00462D95">
        <w:rPr>
          <w:rFonts w:ascii="Times New Roman" w:hAnsi="Times New Roman" w:hint="eastAsia"/>
          <w:rtl/>
        </w:rPr>
        <w:t> </w:t>
      </w:r>
      <w:r w:rsidR="0054794D" w:rsidRPr="0083479D">
        <w:rPr>
          <w:rFonts w:ascii="Times New Roman" w:hAnsi="Times New Roman"/>
        </w:rPr>
        <w:t>12</w:t>
      </w:r>
      <w:r w:rsidR="0054794D" w:rsidRPr="009E3426">
        <w:rPr>
          <w:rFonts w:ascii="Times New Roman" w:hAnsi="Times New Roman" w:hint="cs"/>
          <w:rtl/>
        </w:rPr>
        <w:t xml:space="preserve"> من </w:t>
      </w:r>
      <w:r w:rsidR="0054794D" w:rsidRPr="00462D95">
        <w:rPr>
          <w:rFonts w:ascii="Times New Roman" w:hAnsi="Times New Roman" w:hint="cs"/>
          <w:i/>
          <w:iCs/>
          <w:rtl/>
        </w:rPr>
        <w:t>"يقرر"</w:t>
      </w:r>
      <w:r w:rsidR="0054794D" w:rsidRPr="009E3426">
        <w:rPr>
          <w:rFonts w:ascii="Times New Roman" w:hAnsi="Times New Roman" w:hint="cs"/>
          <w:rtl/>
        </w:rPr>
        <w:t>)</w:t>
      </w:r>
    </w:p>
    <w:p w14:paraId="485AB5AA" w14:textId="05544D81" w:rsidR="007159E0" w:rsidRPr="0083479D" w:rsidRDefault="00BA21FB" w:rsidP="007159E0">
      <w:pPr>
        <w:rPr>
          <w:rtl/>
          <w:lang w:val="en-GB" w:bidi="ar-EG"/>
        </w:rPr>
      </w:pPr>
      <w:r w:rsidRPr="0083479D">
        <w:rPr>
          <w:rFonts w:hint="cs"/>
          <w:rtl/>
          <w:lang w:bidi="ar-EG"/>
        </w:rPr>
        <w:t>أعرب أعضاء جماعة آسيا والمحيط الهادئ للات</w:t>
      </w:r>
      <w:bookmarkStart w:id="1" w:name="_GoBack"/>
      <w:bookmarkEnd w:id="1"/>
      <w:r w:rsidRPr="0083479D">
        <w:rPr>
          <w:rFonts w:hint="cs"/>
          <w:rtl/>
          <w:lang w:bidi="ar-EG"/>
        </w:rPr>
        <w:t xml:space="preserve">صالات عن تفضيل طفيف للبديل </w:t>
      </w:r>
      <w:r w:rsidRPr="0083479D">
        <w:rPr>
          <w:lang w:bidi="ar-EG"/>
        </w:rPr>
        <w:t>2</w:t>
      </w:r>
      <w:r w:rsidRPr="0083479D">
        <w:rPr>
          <w:rFonts w:hint="cs"/>
          <w:rtl/>
          <w:lang w:val="en-GB" w:bidi="ar-EG"/>
        </w:rPr>
        <w:t xml:space="preserve"> (</w:t>
      </w:r>
      <w:r w:rsidR="00833EC3" w:rsidRPr="0083479D">
        <w:rPr>
          <w:rFonts w:hint="cs"/>
          <w:rtl/>
          <w:lang w:val="en-GB" w:bidi="ar-EG"/>
        </w:rPr>
        <w:t>لا تغيير</w:t>
      </w:r>
      <w:r w:rsidRPr="0083479D">
        <w:rPr>
          <w:rFonts w:hint="cs"/>
          <w:rtl/>
          <w:lang w:val="en-GB" w:bidi="ar-EG"/>
        </w:rPr>
        <w:t>)</w:t>
      </w:r>
      <w:r w:rsidR="00833EC3" w:rsidRPr="0083479D">
        <w:rPr>
          <w:rFonts w:hint="cs"/>
          <w:rtl/>
          <w:lang w:val="en-GB" w:bidi="ar-EG"/>
        </w:rPr>
        <w:t>، في هذه المرحلة.</w:t>
      </w:r>
    </w:p>
    <w:p w14:paraId="0E2DFAD3" w14:textId="008AD393" w:rsidR="00833EC3" w:rsidRPr="009E3426" w:rsidRDefault="00833EC3" w:rsidP="009E3426">
      <w:pPr>
        <w:pStyle w:val="Headingb"/>
        <w:rPr>
          <w:rFonts w:ascii="Times New Roman" w:hAnsi="Times New Roman"/>
          <w:rtl/>
        </w:rPr>
      </w:pPr>
      <w:r w:rsidRPr="009E3426">
        <w:rPr>
          <w:rFonts w:ascii="Times New Roman" w:hAnsi="Times New Roman" w:hint="cs"/>
          <w:rtl/>
        </w:rPr>
        <w:t xml:space="preserve">الوضع في الخدمة </w:t>
      </w:r>
      <w:r w:rsidR="00462D95">
        <w:rPr>
          <w:rFonts w:ascii="Times New Roman" w:hAnsi="Times New Roman" w:hint="cs"/>
          <w:rtl/>
        </w:rPr>
        <w:t>-</w:t>
      </w:r>
      <w:r w:rsidRPr="009E3426">
        <w:rPr>
          <w:rFonts w:ascii="Times New Roman" w:hAnsi="Times New Roman" w:hint="cs"/>
          <w:rtl/>
        </w:rPr>
        <w:t xml:space="preserve"> التفاوت المسموح به في قيم الخصائص المدارية</w:t>
      </w:r>
    </w:p>
    <w:p w14:paraId="2650997F" w14:textId="309AA258" w:rsidR="007159E0" w:rsidRDefault="00896867" w:rsidP="00C30921">
      <w:pPr>
        <w:rPr>
          <w:rtl/>
        </w:rPr>
      </w:pPr>
      <w:r w:rsidRPr="00462D95">
        <w:rPr>
          <w:rFonts w:hint="cs"/>
          <w:rtl/>
        </w:rPr>
        <w:t>لا يؤيد أعضاء جماعة آسيا والمحيط الهادئ للاتصالات تطبيق قيم التفاوت المسموح به في هذه المرحلة، نظر</w:t>
      </w:r>
      <w:r w:rsidR="0083479D" w:rsidRPr="00462D95">
        <w:rPr>
          <w:rFonts w:hint="cs"/>
          <w:rtl/>
          <w:lang w:bidi="ar-EG"/>
        </w:rPr>
        <w:t>اً</w:t>
      </w:r>
      <w:r w:rsidRPr="00462D95">
        <w:rPr>
          <w:rFonts w:hint="cs"/>
          <w:rtl/>
        </w:rPr>
        <w:t xml:space="preserve"> إلى عدم وضع أي أساس تقني داخل </w:t>
      </w:r>
      <w:r w:rsidR="00C30921" w:rsidRPr="00462D95">
        <w:rPr>
          <w:rFonts w:hint="cs"/>
          <w:rtl/>
        </w:rPr>
        <w:t xml:space="preserve">قطاع الاتصالات الراديوية </w:t>
      </w:r>
      <w:r w:rsidR="007159E0" w:rsidRPr="00462D95">
        <w:rPr>
          <w:rtl/>
        </w:rPr>
        <w:t xml:space="preserve">خلال فترة </w:t>
      </w:r>
      <w:r w:rsidR="007159E0" w:rsidRPr="00462D95">
        <w:rPr>
          <w:rFonts w:hint="eastAsia"/>
          <w:rtl/>
        </w:rPr>
        <w:t>الدراسة</w:t>
      </w:r>
      <w:r w:rsidR="007159E0" w:rsidRPr="00462D95">
        <w:rPr>
          <w:rtl/>
        </w:rPr>
        <w:t xml:space="preserve"> هذه لتحديد مقدار </w:t>
      </w:r>
      <w:r w:rsidR="007159E0" w:rsidRPr="00462D95">
        <w:rPr>
          <w:rFonts w:hint="eastAsia"/>
          <w:rtl/>
        </w:rPr>
        <w:t>التفاوت</w:t>
      </w:r>
      <w:r w:rsidR="007159E0" w:rsidRPr="00462D95">
        <w:rPr>
          <w:rtl/>
        </w:rPr>
        <w:t xml:space="preserve"> </w:t>
      </w:r>
      <w:r w:rsidR="007159E0" w:rsidRPr="00462D95">
        <w:rPr>
          <w:rFonts w:hint="eastAsia"/>
          <w:rtl/>
        </w:rPr>
        <w:t>الذي</w:t>
      </w:r>
      <w:r w:rsidR="007159E0" w:rsidRPr="00462D95">
        <w:rPr>
          <w:rtl/>
        </w:rPr>
        <w:t xml:space="preserve"> </w:t>
      </w:r>
      <w:r w:rsidR="007159E0" w:rsidRPr="00462D95">
        <w:rPr>
          <w:rFonts w:hint="eastAsia"/>
          <w:rtl/>
        </w:rPr>
        <w:t>يمكن</w:t>
      </w:r>
      <w:r w:rsidR="007159E0" w:rsidRPr="00462D95">
        <w:rPr>
          <w:rtl/>
        </w:rPr>
        <w:t xml:space="preserve"> </w:t>
      </w:r>
      <w:r w:rsidR="007159E0" w:rsidRPr="00462D95">
        <w:rPr>
          <w:rFonts w:hint="eastAsia"/>
          <w:rtl/>
        </w:rPr>
        <w:t>السماح</w:t>
      </w:r>
      <w:r w:rsidR="007159E0" w:rsidRPr="00462D95">
        <w:rPr>
          <w:rtl/>
        </w:rPr>
        <w:t xml:space="preserve"> </w:t>
      </w:r>
      <w:r w:rsidR="007159E0" w:rsidRPr="00462D95">
        <w:rPr>
          <w:rFonts w:hint="eastAsia"/>
          <w:rtl/>
        </w:rPr>
        <w:t>به</w:t>
      </w:r>
      <w:r w:rsidR="007159E0" w:rsidRPr="00462D95">
        <w:rPr>
          <w:rtl/>
        </w:rPr>
        <w:t xml:space="preserve"> بين خصائص المستويات المدارية المبلَّغ عنها وخصائص المستويات المدارية </w:t>
      </w:r>
      <w:r w:rsidR="00C30921" w:rsidRPr="00462D95">
        <w:rPr>
          <w:rFonts w:hint="cs"/>
          <w:rtl/>
        </w:rPr>
        <w:t xml:space="preserve">المرتبطة بأي </w:t>
      </w:r>
      <w:r w:rsidR="007159E0" w:rsidRPr="00462D95">
        <w:rPr>
          <w:rtl/>
        </w:rPr>
        <w:t>محطات فضائية منشورة.</w:t>
      </w:r>
    </w:p>
    <w:p w14:paraId="0C0C692D" w14:textId="7CF7D5D0" w:rsidR="00B969BC" w:rsidRPr="0083479D" w:rsidRDefault="00B969BC" w:rsidP="00B969BC">
      <w:pPr>
        <w:pStyle w:val="Headingb"/>
        <w:rPr>
          <w:rFonts w:ascii="Times New Roman" w:hAnsi="Times New Roman"/>
          <w:rtl/>
        </w:rPr>
      </w:pPr>
      <w:r w:rsidRPr="0083479D">
        <w:rPr>
          <w:rFonts w:ascii="Times New Roman" w:hAnsi="Times New Roman" w:hint="cs"/>
          <w:rtl/>
        </w:rPr>
        <w:lastRenderedPageBreak/>
        <w:t>المقترحات</w:t>
      </w:r>
    </w:p>
    <w:p w14:paraId="0E004E15" w14:textId="0DBC4E16" w:rsidR="00F2326E" w:rsidRPr="0083479D" w:rsidRDefault="00162078">
      <w:pPr>
        <w:pStyle w:val="Proposal"/>
        <w:rPr>
          <w:rFonts w:ascii="Times New Roman" w:hAnsi="Times New Roman"/>
        </w:rPr>
      </w:pPr>
      <w:r w:rsidRPr="0083479D">
        <w:rPr>
          <w:rFonts w:ascii="Times New Roman" w:hAnsi="Times New Roman"/>
        </w:rPr>
        <w:tab/>
        <w:t>ACP/24A19A1/1</w:t>
      </w:r>
    </w:p>
    <w:p w14:paraId="0929594E" w14:textId="59068CC6" w:rsidR="00162078" w:rsidRPr="0083479D" w:rsidRDefault="00C2463F" w:rsidP="00462D95">
      <w:pPr>
        <w:rPr>
          <w:rtl/>
          <w:lang w:bidi="ar-EG"/>
        </w:rPr>
      </w:pPr>
      <w:r>
        <w:rPr>
          <w:rFonts w:hint="cs"/>
          <w:rtl/>
          <w:lang w:bidi="ar-EG"/>
        </w:rPr>
        <w:t>تعد</w:t>
      </w:r>
      <w:r w:rsidR="00462D95">
        <w:rPr>
          <w:rFonts w:hint="cs"/>
          <w:rtl/>
          <w:lang w:bidi="ar-EG"/>
        </w:rPr>
        <w:t xml:space="preserve"> </w:t>
      </w:r>
      <w:r w:rsidR="000B4157" w:rsidRPr="00462D95">
        <w:rPr>
          <w:rFonts w:hint="cs"/>
          <w:rtl/>
          <w:lang w:bidi="ar-EG"/>
        </w:rPr>
        <w:t xml:space="preserve">هذه المسألة </w:t>
      </w:r>
      <w:r w:rsidR="00462D95">
        <w:rPr>
          <w:rFonts w:hint="cs"/>
          <w:rtl/>
          <w:lang w:bidi="ar-EG"/>
        </w:rPr>
        <w:t xml:space="preserve">من بين </w:t>
      </w:r>
      <w:r w:rsidR="000B4157" w:rsidRPr="00462D95">
        <w:rPr>
          <w:rFonts w:hint="cs"/>
          <w:rtl/>
          <w:lang w:bidi="ar-EG"/>
        </w:rPr>
        <w:t xml:space="preserve">أعقد الموضوعات وأكثرها أهمية </w:t>
      </w:r>
      <w:r w:rsidR="00D71545" w:rsidRPr="00462D95">
        <w:rPr>
          <w:rFonts w:hint="cs"/>
          <w:rtl/>
          <w:lang w:bidi="ar-EG"/>
        </w:rPr>
        <w:t>مما</w:t>
      </w:r>
      <w:r w:rsidR="005C06EC" w:rsidRPr="00462D95">
        <w:rPr>
          <w:rFonts w:hint="cs"/>
          <w:rtl/>
          <w:lang w:bidi="ar-EG"/>
        </w:rPr>
        <w:t xml:space="preserve"> </w:t>
      </w:r>
      <w:r w:rsidR="00462D95">
        <w:rPr>
          <w:rFonts w:hint="cs"/>
          <w:rtl/>
          <w:lang w:bidi="ar-EG"/>
        </w:rPr>
        <w:t xml:space="preserve">يستوجب تناولها والبت فيها من جانب </w:t>
      </w:r>
      <w:r w:rsidR="000B4157" w:rsidRPr="00462D95">
        <w:rPr>
          <w:rFonts w:hint="cs"/>
          <w:rtl/>
          <w:lang w:bidi="ar-EG"/>
        </w:rPr>
        <w:t xml:space="preserve">المؤتمر العالمي للاتصالات الراديوية لعام </w:t>
      </w:r>
      <w:r w:rsidR="000B4157" w:rsidRPr="00462D95">
        <w:rPr>
          <w:lang w:bidi="ar-EG"/>
        </w:rPr>
        <w:t>2019</w:t>
      </w:r>
      <w:r w:rsidR="005C06EC" w:rsidRPr="0083479D">
        <w:rPr>
          <w:rFonts w:hint="cs"/>
          <w:rtl/>
          <w:lang w:bidi="ar-EG"/>
        </w:rPr>
        <w:t xml:space="preserve"> </w:t>
      </w:r>
      <w:r w:rsidR="00462D95">
        <w:rPr>
          <w:lang w:bidi="ar-EG"/>
        </w:rPr>
        <w:t>(</w:t>
      </w:r>
      <w:r w:rsidR="005C06EC" w:rsidRPr="00462D95">
        <w:rPr>
          <w:lang w:bidi="ar-EG"/>
        </w:rPr>
        <w:t>WRC-</w:t>
      </w:r>
      <w:r w:rsidR="005C06EC" w:rsidRPr="0083479D">
        <w:rPr>
          <w:lang w:bidi="ar-EG"/>
        </w:rPr>
        <w:t>19</w:t>
      </w:r>
      <w:r w:rsidR="00462D95">
        <w:rPr>
          <w:lang w:bidi="ar-EG"/>
        </w:rPr>
        <w:t>)</w:t>
      </w:r>
      <w:r w:rsidR="005C06EC" w:rsidRPr="0083479D">
        <w:rPr>
          <w:rFonts w:hint="cs"/>
          <w:rtl/>
          <w:lang w:bidi="ar-EG"/>
        </w:rPr>
        <w:t>.</w:t>
      </w:r>
    </w:p>
    <w:p w14:paraId="70ABE644" w14:textId="6B5370C1" w:rsidR="005C06EC" w:rsidRPr="00462D95" w:rsidRDefault="005C06EC" w:rsidP="000463E1">
      <w:pPr>
        <w:rPr>
          <w:rtl/>
        </w:rPr>
      </w:pPr>
      <w:r w:rsidRPr="00462D95">
        <w:rPr>
          <w:rFonts w:hint="cs"/>
          <w:spacing w:val="-2"/>
          <w:rtl/>
        </w:rPr>
        <w:t>ونظر</w:t>
      </w:r>
      <w:r w:rsidR="0083479D" w:rsidRPr="00462D95">
        <w:rPr>
          <w:rFonts w:hint="cs"/>
          <w:spacing w:val="-2"/>
          <w:rtl/>
          <w:lang w:bidi="ar-EG"/>
        </w:rPr>
        <w:t>اً</w:t>
      </w:r>
      <w:r w:rsidRPr="00462D95">
        <w:rPr>
          <w:rFonts w:hint="cs"/>
          <w:spacing w:val="-2"/>
          <w:rtl/>
        </w:rPr>
        <w:t xml:space="preserve"> للطبيعة المؤقتة لعدة بنود مرتبطة ب</w:t>
      </w:r>
      <w:r w:rsidR="000C5FD8" w:rsidRPr="00462D95">
        <w:rPr>
          <w:rFonts w:hint="cs"/>
          <w:spacing w:val="-2"/>
          <w:rtl/>
        </w:rPr>
        <w:t>النهج المرحلي</w:t>
      </w:r>
      <w:r w:rsidRPr="00462D95">
        <w:rPr>
          <w:rFonts w:hint="cs"/>
          <w:spacing w:val="-2"/>
          <w:rtl/>
        </w:rPr>
        <w:t xml:space="preserve"> وبسبب قوة تفاعل بعض هذه العوامل مع بعضها البعض، يبدو من غير الملائم اتخاذ قرار فردي بشأن عنصر واحد دون الاتفاق على ال</w:t>
      </w:r>
      <w:r w:rsidR="00AE5A53" w:rsidRPr="00462D95">
        <w:rPr>
          <w:rFonts w:hint="cs"/>
          <w:spacing w:val="-2"/>
          <w:rtl/>
        </w:rPr>
        <w:t xml:space="preserve">عنصر الآخر (أو العناصر الأخرى)، الأمر الذي سيؤدي إلى نتائج عكسية بما أن مثل هذا القرار سيقوض من </w:t>
      </w:r>
      <w:r w:rsidR="00BD352B" w:rsidRPr="00462D95">
        <w:rPr>
          <w:rFonts w:hint="cs"/>
          <w:spacing w:val="-2"/>
          <w:rtl/>
        </w:rPr>
        <w:t>المرونة التي ينبغي أن تتسنى للمؤتمر العالمي للاتصالات الراديوية لعام</w:t>
      </w:r>
      <w:r w:rsidR="00462D95" w:rsidRPr="00462D95">
        <w:rPr>
          <w:rFonts w:hint="eastAsia"/>
          <w:spacing w:val="-2"/>
          <w:rtl/>
        </w:rPr>
        <w:t> </w:t>
      </w:r>
      <w:r w:rsidR="00462D95" w:rsidRPr="00462D95">
        <w:rPr>
          <w:spacing w:val="-2"/>
        </w:rPr>
        <w:t>(WRC</w:t>
      </w:r>
      <w:r w:rsidR="00462D95" w:rsidRPr="00462D95">
        <w:rPr>
          <w:spacing w:val="-2"/>
        </w:rPr>
        <w:noBreakHyphen/>
        <w:t>19) </w:t>
      </w:r>
      <w:r w:rsidR="00BD352B" w:rsidRPr="00462D95">
        <w:rPr>
          <w:spacing w:val="-2"/>
        </w:rPr>
        <w:t>2019</w:t>
      </w:r>
      <w:r w:rsidR="00BD352B" w:rsidRPr="00462D95">
        <w:rPr>
          <w:rFonts w:hint="cs"/>
          <w:spacing w:val="-2"/>
          <w:rtl/>
        </w:rPr>
        <w:t xml:space="preserve"> </w:t>
      </w:r>
      <w:r w:rsidR="00BD352B" w:rsidRPr="00462D95">
        <w:rPr>
          <w:rFonts w:hint="cs"/>
          <w:rtl/>
        </w:rPr>
        <w:t xml:space="preserve">للتوصل إلى تقييم إجمالي لكل عناصر </w:t>
      </w:r>
      <w:r w:rsidR="000C5FD8" w:rsidRPr="00462D95">
        <w:rPr>
          <w:rFonts w:hint="cs"/>
          <w:rtl/>
        </w:rPr>
        <w:t>النهج المرحلي</w:t>
      </w:r>
      <w:r w:rsidR="0024412C" w:rsidRPr="00462D95">
        <w:rPr>
          <w:rFonts w:hint="cs"/>
          <w:rtl/>
        </w:rPr>
        <w:t xml:space="preserve">، مع مراعاة اعتماد كل من العناصر على العناصر الأخرى فضلاً عن </w:t>
      </w:r>
      <w:r w:rsidR="005D3535" w:rsidRPr="00462D95">
        <w:rPr>
          <w:rFonts w:hint="cs"/>
          <w:rtl/>
        </w:rPr>
        <w:t>تحليل أقصى البدائل إمكان</w:t>
      </w:r>
      <w:r w:rsidR="0083479D" w:rsidRPr="00462D95">
        <w:rPr>
          <w:rFonts w:hint="cs"/>
          <w:rtl/>
          <w:lang w:bidi="ar-EG"/>
        </w:rPr>
        <w:t>اً</w:t>
      </w:r>
      <w:r w:rsidR="005D3535" w:rsidRPr="00462D95">
        <w:rPr>
          <w:rFonts w:hint="cs"/>
          <w:rtl/>
        </w:rPr>
        <w:t>.</w:t>
      </w:r>
    </w:p>
    <w:p w14:paraId="60AC53B0" w14:textId="174015B2" w:rsidR="005D3535" w:rsidRPr="00462D95" w:rsidRDefault="005D3535" w:rsidP="00162078">
      <w:pPr>
        <w:rPr>
          <w:rtl/>
        </w:rPr>
      </w:pPr>
      <w:r w:rsidRPr="00462D95">
        <w:rPr>
          <w:rFonts w:hint="cs"/>
          <w:rtl/>
        </w:rPr>
        <w:t xml:space="preserve">وقد قرر أعضاء جماعة آسيا والمحيط الهادئ للاتصالات تقديم مدى من الخيارات </w:t>
      </w:r>
      <w:r w:rsidR="00E70F9D" w:rsidRPr="00462D95">
        <w:rPr>
          <w:rFonts w:hint="cs"/>
          <w:rtl/>
        </w:rPr>
        <w:t xml:space="preserve">الأكثر احتمالاً بغية السماح للمؤتمر العالمي للاتصالات الراديوية لعام </w:t>
      </w:r>
      <w:r w:rsidR="00E70F9D" w:rsidRPr="00462D95">
        <w:t>2019</w:t>
      </w:r>
      <w:r w:rsidR="00E70F9D" w:rsidRPr="00462D95">
        <w:rPr>
          <w:rFonts w:hint="cs"/>
          <w:rtl/>
        </w:rPr>
        <w:t xml:space="preserve"> بتحليل الوضع بحرية ووضوح دون الانحياز لأي خيار بعينه، وإجراء التحليل الشامل للموقف، واتخاذ القرار تبع</w:t>
      </w:r>
      <w:r w:rsidR="0083479D" w:rsidRPr="00462D95">
        <w:rPr>
          <w:rFonts w:hint="cs"/>
          <w:rtl/>
          <w:lang w:bidi="ar-EG"/>
        </w:rPr>
        <w:t>اً</w:t>
      </w:r>
      <w:r w:rsidR="00E70F9D" w:rsidRPr="00462D95">
        <w:rPr>
          <w:rFonts w:hint="cs"/>
          <w:rtl/>
        </w:rPr>
        <w:t xml:space="preserve"> لذلك، مع مراعاة نتائج المفاوضات المقرر عقدها بين مستخدمي/مشغل</w:t>
      </w:r>
      <w:r w:rsidR="004060C9" w:rsidRPr="00462D95">
        <w:rPr>
          <w:rFonts w:hint="cs"/>
          <w:rtl/>
        </w:rPr>
        <w:t xml:space="preserve">ي </w:t>
      </w:r>
      <w:r w:rsidR="000463E1" w:rsidRPr="00462D95">
        <w:rPr>
          <w:rFonts w:hint="cs"/>
          <w:rtl/>
        </w:rPr>
        <w:t>السواتل</w:t>
      </w:r>
      <w:r w:rsidR="000C5FD8" w:rsidRPr="00462D95">
        <w:rPr>
          <w:rFonts w:hint="cs"/>
          <w:rtl/>
        </w:rPr>
        <w:t xml:space="preserve"> غير المستقرة بالنسبة إلى الأرض، </w:t>
      </w:r>
      <w:r w:rsidR="00462D95">
        <w:rPr>
          <w:rFonts w:hint="cs"/>
          <w:rtl/>
        </w:rPr>
        <w:t>الحاليين</w:t>
      </w:r>
      <w:r w:rsidR="000C5FD8" w:rsidRPr="00462D95">
        <w:rPr>
          <w:rFonts w:hint="cs"/>
          <w:rtl/>
        </w:rPr>
        <w:t xml:space="preserve"> والمحتملين </w:t>
      </w:r>
      <w:r w:rsidR="00462D95">
        <w:rPr>
          <w:rFonts w:hint="cs"/>
          <w:rtl/>
        </w:rPr>
        <w:t>في المستقبل القريب</w:t>
      </w:r>
      <w:r w:rsidR="000C5FD8" w:rsidRPr="00462D95">
        <w:rPr>
          <w:rFonts w:hint="cs"/>
          <w:rtl/>
        </w:rPr>
        <w:t>، وذلك على أساس النهج المرحلي.</w:t>
      </w:r>
    </w:p>
    <w:p w14:paraId="3649D740" w14:textId="163EEFB8" w:rsidR="007159E0" w:rsidRPr="00462D95" w:rsidRDefault="000C5FD8" w:rsidP="00162078">
      <w:r w:rsidRPr="00462D95">
        <w:rPr>
          <w:rFonts w:hint="cs"/>
          <w:rtl/>
        </w:rPr>
        <w:t>ويبين الجدول هذا المدى من الخيارات الأكثر احتمالاً</w:t>
      </w:r>
      <w:r w:rsidR="002E1C83" w:rsidRPr="00462D95">
        <w:rPr>
          <w:rFonts w:hint="cs"/>
          <w:rtl/>
        </w:rPr>
        <w:t>:</w:t>
      </w:r>
    </w:p>
    <w:p w14:paraId="020F5C58" w14:textId="77777777" w:rsidR="009E3426" w:rsidRPr="0083479D" w:rsidRDefault="009E3426" w:rsidP="009E3426">
      <w:pPr>
        <w:spacing w:before="0"/>
      </w:pPr>
    </w:p>
    <w:tbl>
      <w:tblPr>
        <w:tblStyle w:val="ECCTable-redheader"/>
        <w:bidiVisual/>
        <w:tblW w:w="864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4548"/>
        <w:gridCol w:w="2679"/>
      </w:tblGrid>
      <w:tr w:rsidR="009E3426" w:rsidRPr="0083479D" w14:paraId="55AF97C5" w14:textId="77777777" w:rsidTr="009E3426">
        <w:trPr>
          <w:cnfStyle w:val="100000000000" w:firstRow="1" w:lastRow="0" w:firstColumn="0" w:lastColumn="0" w:oddVBand="0" w:evenVBand="0" w:oddHBand="0" w:evenHBand="0" w:firstRowFirstColumn="0" w:firstRowLastColumn="0" w:lastRowFirstColumn="0" w:lastRowLastColumn="0"/>
        </w:trPr>
        <w:tc>
          <w:tcPr>
            <w:tcW w:w="142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225654D7" w14:textId="77777777" w:rsidR="009E3426" w:rsidRPr="0083479D" w:rsidRDefault="009E3426" w:rsidP="008472E7">
            <w:pPr>
              <w:pStyle w:val="Tablehead"/>
              <w:rPr>
                <w:color w:val="auto"/>
                <w:rtl/>
              </w:rPr>
            </w:pPr>
            <w:r w:rsidRPr="0083479D">
              <w:rPr>
                <w:rFonts w:hint="cs"/>
                <w:color w:val="auto"/>
                <w:rtl/>
              </w:rPr>
              <w:t>المراحل</w:t>
            </w:r>
          </w:p>
        </w:tc>
        <w:tc>
          <w:tcPr>
            <w:tcW w:w="454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650190C6" w14:textId="77777777" w:rsidR="009E3426" w:rsidRPr="0083479D" w:rsidRDefault="009E3426" w:rsidP="008472E7">
            <w:pPr>
              <w:pStyle w:val="Tablehead"/>
              <w:rPr>
                <w:color w:val="auto"/>
                <w:rtl/>
              </w:rPr>
            </w:pPr>
            <w:r w:rsidRPr="0083479D">
              <w:rPr>
                <w:rFonts w:hint="cs"/>
                <w:color w:val="auto"/>
                <w:rtl/>
              </w:rPr>
              <w:t xml:space="preserve">توقيت المرحلة </w:t>
            </w:r>
          </w:p>
          <w:p w14:paraId="081BF684" w14:textId="4AEA9EDF" w:rsidR="009E3426" w:rsidRPr="0083479D" w:rsidRDefault="009E3426" w:rsidP="008472E7">
            <w:pPr>
              <w:pStyle w:val="Tablehead"/>
              <w:rPr>
                <w:color w:val="auto"/>
                <w:rtl/>
              </w:rPr>
            </w:pPr>
            <w:r w:rsidRPr="0083479D">
              <w:rPr>
                <w:rFonts w:hint="cs"/>
                <w:color w:val="auto"/>
                <w:rtl/>
              </w:rPr>
              <w:t xml:space="preserve">(عدد السنوات بعد نهاية الفترة التنظيمية الممتدة إلى سبع سنوات أو بعد </w:t>
            </w:r>
            <w:r w:rsidRPr="0083479D">
              <w:rPr>
                <w:color w:val="auto"/>
              </w:rPr>
              <w:t>1</w:t>
            </w:r>
            <w:r w:rsidRPr="0083479D">
              <w:rPr>
                <w:rFonts w:hint="cs"/>
                <w:color w:val="auto"/>
                <w:rtl/>
              </w:rPr>
              <w:t xml:space="preserve"> يناير </w:t>
            </w:r>
            <w:r w:rsidRPr="0083479D">
              <w:rPr>
                <w:color w:val="auto"/>
              </w:rPr>
              <w:t>2021</w:t>
            </w:r>
            <w:r w:rsidRPr="0083479D">
              <w:rPr>
                <w:rFonts w:hint="cs"/>
                <w:color w:val="auto"/>
                <w:rtl/>
              </w:rPr>
              <w:t>، أيهما أ</w:t>
            </w:r>
            <w:r w:rsidR="00462D95">
              <w:rPr>
                <w:rFonts w:hint="cs"/>
                <w:color w:val="auto"/>
                <w:rtl/>
              </w:rPr>
              <w:t>طول</w:t>
            </w:r>
            <w:r w:rsidRPr="0083479D">
              <w:rPr>
                <w:rFonts w:hint="cs"/>
                <w:color w:val="auto"/>
                <w:rtl/>
              </w:rPr>
              <w:t>)</w:t>
            </w:r>
          </w:p>
        </w:tc>
        <w:tc>
          <w:tcPr>
            <w:tcW w:w="267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pct5" w:color="auto" w:fill="auto"/>
          </w:tcPr>
          <w:p w14:paraId="33CCDFB9" w14:textId="77777777" w:rsidR="009E3426" w:rsidRPr="0083479D" w:rsidRDefault="009E3426" w:rsidP="008472E7">
            <w:pPr>
              <w:pStyle w:val="Tablehead"/>
              <w:rPr>
                <w:color w:val="auto"/>
              </w:rPr>
            </w:pPr>
            <w:r w:rsidRPr="0083479D">
              <w:rPr>
                <w:rFonts w:hint="cs"/>
                <w:color w:val="auto"/>
                <w:rtl/>
              </w:rPr>
              <w:t>النسبة المئوية الدنيا المطلوبة من السواتل المنشورة للوفاء بالمرحلة</w:t>
            </w:r>
          </w:p>
        </w:tc>
      </w:tr>
      <w:tr w:rsidR="009E3426" w:rsidRPr="0083479D" w14:paraId="39FFFBFB" w14:textId="77777777" w:rsidTr="008472E7">
        <w:trPr>
          <w:trHeight w:val="38"/>
        </w:trPr>
        <w:tc>
          <w:tcPr>
            <w:tcW w:w="1422" w:type="dxa"/>
          </w:tcPr>
          <w:p w14:paraId="4C5E390E" w14:textId="77777777" w:rsidR="009E3426" w:rsidRPr="0083479D" w:rsidRDefault="009E3426" w:rsidP="008472E7">
            <w:pPr>
              <w:pStyle w:val="Tabletext"/>
            </w:pPr>
            <w:r w:rsidRPr="0083479D">
              <w:rPr>
                <w:rFonts w:hint="cs"/>
                <w:rtl/>
              </w:rPr>
              <w:t>الأولى</w:t>
            </w:r>
          </w:p>
        </w:tc>
        <w:tc>
          <w:tcPr>
            <w:tcW w:w="4548" w:type="dxa"/>
          </w:tcPr>
          <w:p w14:paraId="55BFBBC8" w14:textId="7303741D" w:rsidR="009E3426" w:rsidRPr="0083479D" w:rsidRDefault="009E3426" w:rsidP="008472E7">
            <w:pPr>
              <w:pStyle w:val="Tabletext"/>
              <w:rPr>
                <w:rtl/>
                <w:lang w:bidi="ar-EG"/>
              </w:rPr>
            </w:pPr>
            <w:r w:rsidRPr="0083479D">
              <w:rPr>
                <w:rFonts w:hint="cs"/>
                <w:rtl/>
              </w:rPr>
              <w:t xml:space="preserve">من سنتين إلى ثلاث </w:t>
            </w:r>
            <w:r w:rsidR="00C2463F">
              <w:rPr>
                <w:rFonts w:hint="cs"/>
                <w:rtl/>
                <w:lang w:bidi="ar-EG"/>
              </w:rPr>
              <w:t>سنوات</w:t>
            </w:r>
          </w:p>
        </w:tc>
        <w:tc>
          <w:tcPr>
            <w:tcW w:w="2679" w:type="dxa"/>
          </w:tcPr>
          <w:p w14:paraId="3793BE80" w14:textId="77777777" w:rsidR="009E3426" w:rsidRPr="0083479D" w:rsidRDefault="009E3426" w:rsidP="008472E7">
            <w:pPr>
              <w:pStyle w:val="Tabletext"/>
              <w:rPr>
                <w:rtl/>
                <w:lang w:bidi="ar-EG"/>
              </w:rPr>
            </w:pPr>
            <w:r>
              <w:rPr>
                <w:lang w:val="en-US"/>
              </w:rPr>
              <w:t>%</w:t>
            </w:r>
            <w:r w:rsidRPr="0083479D">
              <w:rPr>
                <w:lang w:val="en-US"/>
              </w:rPr>
              <w:t>10</w:t>
            </w:r>
          </w:p>
        </w:tc>
      </w:tr>
      <w:tr w:rsidR="009E3426" w:rsidRPr="0083479D" w14:paraId="4696E752" w14:textId="77777777" w:rsidTr="008472E7">
        <w:trPr>
          <w:trHeight w:val="16"/>
        </w:trPr>
        <w:tc>
          <w:tcPr>
            <w:tcW w:w="1422" w:type="dxa"/>
          </w:tcPr>
          <w:p w14:paraId="2C72B0F7" w14:textId="77777777" w:rsidR="009E3426" w:rsidRPr="0083479D" w:rsidRDefault="009E3426" w:rsidP="008472E7">
            <w:pPr>
              <w:pStyle w:val="Tabletext"/>
            </w:pPr>
            <w:r w:rsidRPr="0083479D">
              <w:rPr>
                <w:rFonts w:hint="cs"/>
                <w:rtl/>
              </w:rPr>
              <w:t>الثانية</w:t>
            </w:r>
          </w:p>
        </w:tc>
        <w:tc>
          <w:tcPr>
            <w:tcW w:w="4548" w:type="dxa"/>
          </w:tcPr>
          <w:p w14:paraId="46FBB2F8" w14:textId="77777777" w:rsidR="009E3426" w:rsidRPr="0083479D" w:rsidRDefault="009E3426" w:rsidP="008472E7">
            <w:pPr>
              <w:pStyle w:val="Tabletext"/>
            </w:pPr>
            <w:r w:rsidRPr="0083479D">
              <w:rPr>
                <w:rFonts w:hint="cs"/>
                <w:rtl/>
              </w:rPr>
              <w:t>من أربع إلى خمس سنوات</w:t>
            </w:r>
          </w:p>
        </w:tc>
        <w:tc>
          <w:tcPr>
            <w:tcW w:w="2679" w:type="dxa"/>
          </w:tcPr>
          <w:p w14:paraId="410DB99F" w14:textId="77777777" w:rsidR="009E3426" w:rsidRPr="0083479D" w:rsidRDefault="009E3426" w:rsidP="008472E7">
            <w:pPr>
              <w:pStyle w:val="Tabletext"/>
              <w:rPr>
                <w:rtl/>
                <w:lang w:bidi="ar-EG"/>
              </w:rPr>
            </w:pPr>
            <w:r>
              <w:rPr>
                <w:lang w:val="en-US"/>
              </w:rPr>
              <w:t>%</w:t>
            </w:r>
            <w:r w:rsidRPr="0083479D">
              <w:rPr>
                <w:lang w:val="en-US"/>
              </w:rPr>
              <w:t>50</w:t>
            </w:r>
            <w:r>
              <w:rPr>
                <w:lang w:val="en-US"/>
              </w:rPr>
              <w:t>-</w:t>
            </w:r>
            <w:r w:rsidRPr="0083479D">
              <w:rPr>
                <w:lang w:val="en-US" w:bidi="ar-EG"/>
              </w:rPr>
              <w:t>3</w:t>
            </w:r>
            <w:r w:rsidRPr="0083479D">
              <w:rPr>
                <w:lang w:val="en-US"/>
              </w:rPr>
              <w:t>0</w:t>
            </w:r>
          </w:p>
        </w:tc>
      </w:tr>
      <w:tr w:rsidR="009E3426" w:rsidRPr="0083479D" w14:paraId="288444AC" w14:textId="77777777" w:rsidTr="008472E7">
        <w:trPr>
          <w:trHeight w:val="75"/>
        </w:trPr>
        <w:tc>
          <w:tcPr>
            <w:tcW w:w="1422" w:type="dxa"/>
          </w:tcPr>
          <w:p w14:paraId="26351779" w14:textId="77777777" w:rsidR="009E3426" w:rsidRPr="0083479D" w:rsidRDefault="009E3426" w:rsidP="008472E7">
            <w:pPr>
              <w:pStyle w:val="Tabletext"/>
            </w:pPr>
            <w:r w:rsidRPr="0083479D">
              <w:rPr>
                <w:rFonts w:hint="cs"/>
                <w:rtl/>
              </w:rPr>
              <w:t>الثالثة</w:t>
            </w:r>
          </w:p>
        </w:tc>
        <w:tc>
          <w:tcPr>
            <w:tcW w:w="4548" w:type="dxa"/>
          </w:tcPr>
          <w:p w14:paraId="5DD238E6" w14:textId="77777777" w:rsidR="009E3426" w:rsidRPr="0083479D" w:rsidRDefault="009E3426" w:rsidP="008472E7">
            <w:pPr>
              <w:pStyle w:val="Tabletext"/>
            </w:pPr>
            <w:r w:rsidRPr="0083479D">
              <w:rPr>
                <w:rFonts w:hint="cs"/>
                <w:rtl/>
              </w:rPr>
              <w:t>سبع سنوات</w:t>
            </w:r>
          </w:p>
        </w:tc>
        <w:tc>
          <w:tcPr>
            <w:tcW w:w="2679" w:type="dxa"/>
          </w:tcPr>
          <w:p w14:paraId="64DDB561" w14:textId="77777777" w:rsidR="009E3426" w:rsidRPr="0083479D" w:rsidRDefault="009E3426" w:rsidP="008472E7">
            <w:pPr>
              <w:pStyle w:val="Tabletext"/>
              <w:rPr>
                <w:rtl/>
                <w:lang w:bidi="ar-EG"/>
              </w:rPr>
            </w:pPr>
            <w:r>
              <w:rPr>
                <w:lang w:val="en-US" w:bidi="ar-EG"/>
              </w:rPr>
              <w:t>%</w:t>
            </w:r>
            <w:r w:rsidRPr="0083479D">
              <w:rPr>
                <w:lang w:val="en-US" w:bidi="ar-EG"/>
              </w:rPr>
              <w:t>100</w:t>
            </w:r>
            <w:r>
              <w:rPr>
                <w:lang w:val="en-US" w:bidi="ar-EG"/>
              </w:rPr>
              <w:t xml:space="preserve"> / </w:t>
            </w:r>
            <w:r>
              <w:rPr>
                <w:lang w:val="en-US"/>
              </w:rPr>
              <w:t>%</w:t>
            </w:r>
            <w:r w:rsidRPr="0083479D">
              <w:rPr>
                <w:lang w:val="en-US"/>
              </w:rPr>
              <w:t>95</w:t>
            </w:r>
            <w:r w:rsidRPr="0083479D">
              <w:t>-</w:t>
            </w:r>
            <w:r w:rsidRPr="0083479D">
              <w:rPr>
                <w:lang w:val="en-US"/>
              </w:rPr>
              <w:t>90</w:t>
            </w:r>
          </w:p>
        </w:tc>
      </w:tr>
    </w:tbl>
    <w:p w14:paraId="0A1F4649" w14:textId="77777777" w:rsidR="00462D95" w:rsidRPr="0083479D" w:rsidRDefault="00462D95" w:rsidP="00462D95">
      <w:pPr>
        <w:spacing w:before="240"/>
        <w:rPr>
          <w:i/>
          <w:iCs/>
          <w:rtl/>
        </w:rPr>
      </w:pPr>
      <w:r w:rsidRPr="0083479D">
        <w:rPr>
          <w:rFonts w:hint="cs"/>
          <w:i/>
          <w:iCs/>
          <w:rtl/>
        </w:rPr>
        <w:t>ملاحظة:</w:t>
      </w:r>
    </w:p>
    <w:p w14:paraId="6CD8167D" w14:textId="77777777" w:rsidR="00462D95" w:rsidRPr="0083479D" w:rsidRDefault="00462D95" w:rsidP="00462D95">
      <w:pPr>
        <w:rPr>
          <w:rtl/>
          <w:lang w:val="en-GB" w:bidi="ar-EG"/>
        </w:rPr>
      </w:pPr>
      <w:r w:rsidRPr="0083479D">
        <w:rPr>
          <w:rFonts w:hint="cs"/>
          <w:rtl/>
        </w:rPr>
        <w:t xml:space="preserve">يجوز للمؤتمر العالمي للاتصالات الراديوية لعام </w:t>
      </w:r>
      <w:r w:rsidRPr="0083479D">
        <w:t>2019</w:t>
      </w:r>
      <w:r w:rsidRPr="0083479D">
        <w:rPr>
          <w:rFonts w:hint="cs"/>
          <w:rtl/>
          <w:lang w:val="en-GB" w:bidi="ar-EG"/>
        </w:rPr>
        <w:t xml:space="preserve"> </w:t>
      </w:r>
      <w:r>
        <w:rPr>
          <w:lang w:val="en-GB" w:bidi="ar-EG"/>
        </w:rPr>
        <w:t>(</w:t>
      </w:r>
      <w:r w:rsidRPr="0083479D">
        <w:rPr>
          <w:lang w:val="en-GB" w:bidi="ar-EG"/>
        </w:rPr>
        <w:t>WRC-</w:t>
      </w:r>
      <w:r w:rsidRPr="0083479D">
        <w:rPr>
          <w:lang w:bidi="ar-EG"/>
        </w:rPr>
        <w:t>19</w:t>
      </w:r>
      <w:r>
        <w:rPr>
          <w:lang w:bidi="ar-EG"/>
        </w:rPr>
        <w:t>)</w:t>
      </w:r>
      <w:r w:rsidRPr="0083479D">
        <w:rPr>
          <w:rFonts w:hint="cs"/>
          <w:rtl/>
          <w:lang w:val="en-GB" w:bidi="ar-EG"/>
        </w:rPr>
        <w:t xml:space="preserve">، عند النظر في مديات المراحل وما يصاحبها من </w:t>
      </w:r>
      <w:r>
        <w:rPr>
          <w:rFonts w:hint="cs"/>
          <w:rtl/>
          <w:lang w:val="en-GB" w:bidi="ar-EG"/>
        </w:rPr>
        <w:t>عوامل</w:t>
      </w:r>
      <w:r w:rsidRPr="0083479D">
        <w:rPr>
          <w:rFonts w:hint="cs"/>
          <w:rtl/>
          <w:lang w:val="en-GB" w:bidi="ar-EG"/>
        </w:rPr>
        <w:t xml:space="preserve"> النشر في الجدول أعلاه، أن ينظر في </w:t>
      </w:r>
      <w:r>
        <w:rPr>
          <w:rFonts w:hint="cs"/>
          <w:rtl/>
          <w:lang w:val="en-GB" w:bidi="ar-EG"/>
        </w:rPr>
        <w:t xml:space="preserve">منح </w:t>
      </w:r>
      <w:r w:rsidRPr="0083479D">
        <w:rPr>
          <w:rFonts w:hint="cs"/>
          <w:rtl/>
          <w:lang w:val="en-GB" w:bidi="ar-EG"/>
        </w:rPr>
        <w:t xml:space="preserve">درجة من المرونة للجهات التي تتولى تشغيل السواتل غير المستقرة بالنسبة إلى الأرض إذا </w:t>
      </w:r>
      <w:r>
        <w:rPr>
          <w:rFonts w:hint="cs"/>
          <w:rtl/>
          <w:lang w:val="en-GB" w:bidi="ar-EG"/>
        </w:rPr>
        <w:t xml:space="preserve">أخفقت في تحقيق </w:t>
      </w:r>
      <w:r w:rsidRPr="0083479D">
        <w:rPr>
          <w:rFonts w:hint="cs"/>
          <w:rtl/>
          <w:lang w:val="en-GB" w:bidi="ar-EG"/>
        </w:rPr>
        <w:t xml:space="preserve">معيار النسبة المئوية في المرحلتين </w:t>
      </w:r>
      <w:r w:rsidRPr="0083479D">
        <w:rPr>
          <w:lang w:bidi="ar-EG"/>
        </w:rPr>
        <w:t>1</w:t>
      </w:r>
      <w:r w:rsidRPr="0083479D">
        <w:rPr>
          <w:rFonts w:hint="cs"/>
          <w:rtl/>
          <w:lang w:val="en-GB" w:bidi="ar-EG"/>
        </w:rPr>
        <w:t xml:space="preserve"> و</w:t>
      </w:r>
      <w:r w:rsidRPr="0083479D">
        <w:rPr>
          <w:lang w:bidi="ar-EG"/>
        </w:rPr>
        <w:t>2</w:t>
      </w:r>
      <w:r w:rsidRPr="0083479D">
        <w:rPr>
          <w:rFonts w:hint="cs"/>
          <w:rtl/>
          <w:lang w:val="en-GB" w:bidi="ar-EG"/>
        </w:rPr>
        <w:t xml:space="preserve"> أعلاه، وأنه سيتعين عليها تحقيق هذه المعايير في المرحلة التالية. </w:t>
      </w:r>
    </w:p>
    <w:p w14:paraId="15153A2A" w14:textId="6F13EF34" w:rsidR="00162078" w:rsidRDefault="00162078" w:rsidP="00462D95">
      <w:pPr>
        <w:pStyle w:val="Reasons"/>
        <w:rPr>
          <w:rFonts w:ascii="Times New Roman" w:hAnsi="Times New Roman"/>
          <w:b w:val="0"/>
          <w:bCs w:val="0"/>
          <w:rtl/>
          <w:lang w:bidi="ar-EG"/>
        </w:rPr>
      </w:pPr>
      <w:r w:rsidRPr="0083479D">
        <w:rPr>
          <w:rFonts w:ascii="Times New Roman" w:hAnsi="Times New Roman"/>
          <w:rtl/>
        </w:rPr>
        <w:t>الأسباب:</w:t>
      </w:r>
      <w:r w:rsidRPr="0083479D">
        <w:rPr>
          <w:rFonts w:ascii="Times New Roman" w:hAnsi="Times New Roman"/>
        </w:rPr>
        <w:tab/>
      </w:r>
      <w:r w:rsidR="002E1C83" w:rsidRPr="0083479D">
        <w:rPr>
          <w:rFonts w:ascii="Times New Roman" w:hAnsi="Times New Roman" w:hint="cs"/>
          <w:b w:val="0"/>
          <w:bCs w:val="0"/>
          <w:rtl/>
          <w:lang w:bidi="ar-EG"/>
        </w:rPr>
        <w:t xml:space="preserve">للوفاء </w:t>
      </w:r>
      <w:r w:rsidR="009C57D0" w:rsidRPr="0083479D">
        <w:rPr>
          <w:rFonts w:ascii="Times New Roman" w:hAnsi="Times New Roman" w:hint="cs"/>
          <w:b w:val="0"/>
          <w:bCs w:val="0"/>
          <w:rtl/>
          <w:lang w:bidi="ar-EG"/>
        </w:rPr>
        <w:t xml:space="preserve">بالمسألة </w:t>
      </w:r>
      <w:r w:rsidR="009C57D0" w:rsidRPr="0083479D">
        <w:rPr>
          <w:rFonts w:ascii="Times New Roman" w:hAnsi="Times New Roman"/>
          <w:b w:val="0"/>
          <w:bCs w:val="0"/>
          <w:lang w:val="en-GB" w:bidi="ar-EG"/>
        </w:rPr>
        <w:t>A</w:t>
      </w:r>
      <w:r w:rsidR="009C57D0" w:rsidRPr="0083479D">
        <w:rPr>
          <w:rFonts w:ascii="Times New Roman" w:hAnsi="Times New Roman" w:hint="cs"/>
          <w:b w:val="0"/>
          <w:bCs w:val="0"/>
          <w:rtl/>
          <w:lang w:val="en-GB" w:bidi="ar-EG"/>
        </w:rPr>
        <w:t xml:space="preserve"> من البند </w:t>
      </w:r>
      <w:r w:rsidR="009C57D0" w:rsidRPr="0083479D">
        <w:rPr>
          <w:rFonts w:ascii="Times New Roman" w:hAnsi="Times New Roman"/>
          <w:b w:val="0"/>
          <w:bCs w:val="0"/>
          <w:lang w:bidi="ar-EG"/>
        </w:rPr>
        <w:t>7</w:t>
      </w:r>
      <w:r w:rsidR="009C57D0" w:rsidRPr="0083479D">
        <w:rPr>
          <w:rFonts w:ascii="Times New Roman" w:hAnsi="Times New Roman" w:hint="cs"/>
          <w:b w:val="0"/>
          <w:bCs w:val="0"/>
          <w:rtl/>
          <w:lang w:val="en-GB" w:bidi="ar-EG"/>
        </w:rPr>
        <w:t xml:space="preserve"> من جدول أعمال المؤتمر العالمي للاتصالات الراديوية لعام </w:t>
      </w:r>
      <w:r w:rsidR="00462D95">
        <w:rPr>
          <w:rFonts w:ascii="Times New Roman" w:hAnsi="Times New Roman"/>
          <w:b w:val="0"/>
          <w:bCs w:val="0"/>
          <w:lang w:val="en-GB" w:bidi="ar-EG"/>
        </w:rPr>
        <w:t>(</w:t>
      </w:r>
      <w:r w:rsidR="00462D95" w:rsidRPr="0083479D">
        <w:rPr>
          <w:rFonts w:ascii="Times New Roman" w:hAnsi="Times New Roman"/>
          <w:b w:val="0"/>
          <w:bCs w:val="0"/>
          <w:lang w:val="en-GB" w:bidi="ar-EG"/>
        </w:rPr>
        <w:t>WRC-</w:t>
      </w:r>
      <w:r w:rsidR="00462D95" w:rsidRPr="0083479D">
        <w:rPr>
          <w:rFonts w:ascii="Times New Roman" w:hAnsi="Times New Roman"/>
          <w:b w:val="0"/>
          <w:bCs w:val="0"/>
          <w:lang w:bidi="ar-EG"/>
        </w:rPr>
        <w:t>19</w:t>
      </w:r>
      <w:r w:rsidR="00462D95">
        <w:rPr>
          <w:rFonts w:ascii="Times New Roman" w:hAnsi="Times New Roman"/>
          <w:b w:val="0"/>
          <w:bCs w:val="0"/>
          <w:lang w:bidi="ar-EG"/>
        </w:rPr>
        <w:t xml:space="preserve">) </w:t>
      </w:r>
      <w:r w:rsidR="009C57D0" w:rsidRPr="0083479D">
        <w:rPr>
          <w:rFonts w:ascii="Times New Roman" w:hAnsi="Times New Roman"/>
          <w:b w:val="0"/>
          <w:bCs w:val="0"/>
          <w:lang w:bidi="ar-EG"/>
        </w:rPr>
        <w:t>2019</w:t>
      </w:r>
      <w:r w:rsidR="00462D95">
        <w:rPr>
          <w:rFonts w:ascii="Times New Roman" w:hAnsi="Times New Roman" w:hint="cs"/>
          <w:b w:val="0"/>
          <w:bCs w:val="0"/>
          <w:rtl/>
          <w:lang w:bidi="ar-EG"/>
        </w:rPr>
        <w:t>.</w:t>
      </w:r>
    </w:p>
    <w:p w14:paraId="6ACC9493" w14:textId="77777777" w:rsidR="00462D95" w:rsidRPr="00462D95" w:rsidRDefault="00462D95" w:rsidP="00462D95">
      <w:pPr>
        <w:rPr>
          <w:rFonts w:hint="cs"/>
          <w:rtl/>
          <w:lang w:bidi="ar-EG"/>
        </w:rPr>
      </w:pPr>
    </w:p>
    <w:p w14:paraId="2F5A6004" w14:textId="2E9D37E6" w:rsidR="00162078" w:rsidRPr="0083479D" w:rsidRDefault="00162078" w:rsidP="00462D95">
      <w:pPr>
        <w:jc w:val="center"/>
        <w:rPr>
          <w:rtl/>
          <w:lang w:bidi="ar-EG"/>
        </w:rPr>
      </w:pPr>
      <w:r w:rsidRPr="0083479D">
        <w:rPr>
          <w:rFonts w:hint="cs"/>
          <w:rtl/>
        </w:rPr>
        <w:t>___________</w:t>
      </w:r>
    </w:p>
    <w:sectPr w:rsidR="00162078" w:rsidRPr="0083479D"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155DC" w14:textId="77777777" w:rsidR="00EA5D25" w:rsidRDefault="00EA5D25" w:rsidP="002919E1">
      <w:r>
        <w:separator/>
      </w:r>
    </w:p>
    <w:p w14:paraId="74A796E2" w14:textId="77777777" w:rsidR="00EA5D25" w:rsidRDefault="00EA5D25" w:rsidP="002919E1"/>
    <w:p w14:paraId="5C54649F" w14:textId="77777777" w:rsidR="00EA5D25" w:rsidRDefault="00EA5D25" w:rsidP="002919E1"/>
    <w:p w14:paraId="2CA4FFCE" w14:textId="77777777" w:rsidR="00EA5D25" w:rsidRDefault="00EA5D25"/>
  </w:endnote>
  <w:endnote w:type="continuationSeparator" w:id="0">
    <w:p w14:paraId="12DD936A" w14:textId="77777777" w:rsidR="00EA5D25" w:rsidRDefault="00EA5D25" w:rsidP="002919E1">
      <w:r>
        <w:continuationSeparator/>
      </w:r>
    </w:p>
    <w:p w14:paraId="596D0EBE" w14:textId="77777777" w:rsidR="00EA5D25" w:rsidRDefault="00EA5D25" w:rsidP="002919E1"/>
    <w:p w14:paraId="47DB6291" w14:textId="77777777" w:rsidR="00EA5D25" w:rsidRDefault="00EA5D25" w:rsidP="002919E1"/>
    <w:p w14:paraId="466142D2" w14:textId="77777777" w:rsidR="00EA5D25" w:rsidRDefault="00EA5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3A8A7" w14:textId="0898FD47"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1D5EE0">
      <w:rPr>
        <w:noProof/>
      </w:rPr>
      <w:t>P:\ARA\ITU-R\CONF-R\CMR19\000\024ADD19ADD01A.docx</w:t>
    </w:r>
    <w:r>
      <w:fldChar w:fldCharType="end"/>
    </w:r>
    <w:proofErr w:type="gramStart"/>
    <w:r w:rsidRPr="00A809E8">
      <w:t xml:space="preserve">   (</w:t>
    </w:r>
    <w:proofErr w:type="gramEnd"/>
    <w:r w:rsidR="000E73A3" w:rsidRPr="0083479D">
      <w:t>461132</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C156" w14:textId="332B1F3E" w:rsidR="00281F5F" w:rsidRPr="008927F5" w:rsidRDefault="000E73A3" w:rsidP="000E73A3">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394515">
      <w:rPr>
        <w:noProof/>
      </w:rPr>
      <w:t>P:\ARA\ITU-R\CONF-R\CMR19\000\024ADD19ADD01A.docx</w:t>
    </w:r>
    <w:r>
      <w:fldChar w:fldCharType="end"/>
    </w:r>
    <w:proofErr w:type="gramStart"/>
    <w:r w:rsidRPr="00A809E8">
      <w:t xml:space="preserve">   (</w:t>
    </w:r>
    <w:proofErr w:type="gramEnd"/>
    <w:r w:rsidRPr="0083479D">
      <w:t>461132</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7D1D8" w14:textId="77777777" w:rsidR="00EA5D25" w:rsidRDefault="00EA5D25" w:rsidP="002919E1">
      <w:r>
        <w:t>___________________</w:t>
      </w:r>
    </w:p>
  </w:footnote>
  <w:footnote w:type="continuationSeparator" w:id="0">
    <w:p w14:paraId="11F1DF53" w14:textId="77777777" w:rsidR="00EA5D25" w:rsidRDefault="00EA5D25" w:rsidP="002919E1">
      <w:r>
        <w:continuationSeparator/>
      </w:r>
    </w:p>
    <w:p w14:paraId="071123EF" w14:textId="77777777" w:rsidR="00EA5D25" w:rsidRDefault="00EA5D25" w:rsidP="002919E1"/>
    <w:p w14:paraId="379C44D1" w14:textId="77777777" w:rsidR="00EA5D25" w:rsidRDefault="00EA5D25" w:rsidP="002919E1"/>
    <w:p w14:paraId="0108DA39" w14:textId="77777777" w:rsidR="00EA5D25" w:rsidRDefault="00EA5D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F9EE2" w14:textId="77777777" w:rsidR="00281F5F" w:rsidRDefault="00281F5F" w:rsidP="002919E1"/>
  <w:p w14:paraId="26FF2B21" w14:textId="77777777" w:rsidR="00281F5F" w:rsidRDefault="00281F5F" w:rsidP="002919E1"/>
  <w:p w14:paraId="26266177"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3CFF"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83479D">
      <w:rPr>
        <w:rStyle w:val="PageNumber"/>
      </w:rPr>
      <w:t>2</w:t>
    </w:r>
    <w:r w:rsidRPr="0088384B">
      <w:rPr>
        <w:rStyle w:val="PageNumber"/>
      </w:rPr>
      <w:fldChar w:fldCharType="end"/>
    </w:r>
    <w:r>
      <w:rPr>
        <w:rStyle w:val="PageNumber"/>
        <w:rtl/>
      </w:rPr>
      <w:br/>
    </w:r>
    <w:r w:rsidRPr="0088384B">
      <w:rPr>
        <w:rStyle w:val="PageNumber"/>
      </w:rPr>
      <w:t>CMR</w:t>
    </w:r>
    <w:r w:rsidRPr="0083479D">
      <w:rPr>
        <w:rStyle w:val="PageNumber"/>
      </w:rPr>
      <w:t>19</w:t>
    </w:r>
    <w:r w:rsidRPr="0088384B">
      <w:rPr>
        <w:rStyle w:val="PageNumber"/>
      </w:rPr>
      <w:t>/</w:t>
    </w:r>
    <w:r w:rsidRPr="0083479D">
      <w:rPr>
        <w:rStyle w:val="PageNumber"/>
      </w:rPr>
      <w:t>24</w:t>
    </w:r>
    <w:r>
      <w:rPr>
        <w:rStyle w:val="PageNumber"/>
      </w:rPr>
      <w:t>(Add.</w:t>
    </w:r>
    <w:proofErr w:type="gramStart"/>
    <w:r w:rsidRPr="0083479D">
      <w:rPr>
        <w:rStyle w:val="PageNumber"/>
      </w:rPr>
      <w:t>19</w:t>
    </w:r>
    <w:r>
      <w:rPr>
        <w:rStyle w:val="PageNumber"/>
      </w:rPr>
      <w:t>)(</w:t>
    </w:r>
    <w:proofErr w:type="gramEnd"/>
    <w:r>
      <w:rPr>
        <w:rStyle w:val="PageNumber"/>
      </w:rPr>
      <w:t>Add.</w:t>
    </w:r>
    <w:r w:rsidRPr="0083479D">
      <w:rPr>
        <w:rStyle w:val="PageNumber"/>
      </w:rPr>
      <w:t>1</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E024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AC4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30A7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14A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40C94"/>
    <w:rsid w:val="000425FC"/>
    <w:rsid w:val="00044D43"/>
    <w:rsid w:val="000463E1"/>
    <w:rsid w:val="00046844"/>
    <w:rsid w:val="00051907"/>
    <w:rsid w:val="00075A3F"/>
    <w:rsid w:val="00093A34"/>
    <w:rsid w:val="000A1B16"/>
    <w:rsid w:val="000B3896"/>
    <w:rsid w:val="000B4157"/>
    <w:rsid w:val="000B5404"/>
    <w:rsid w:val="000C0E2C"/>
    <w:rsid w:val="000C5FD8"/>
    <w:rsid w:val="000D06EB"/>
    <w:rsid w:val="000D1708"/>
    <w:rsid w:val="000E2AFC"/>
    <w:rsid w:val="000E6D30"/>
    <w:rsid w:val="000E73A3"/>
    <w:rsid w:val="000F05F5"/>
    <w:rsid w:val="000F518F"/>
    <w:rsid w:val="0010081C"/>
    <w:rsid w:val="001013E3"/>
    <w:rsid w:val="0010363F"/>
    <w:rsid w:val="00122D64"/>
    <w:rsid w:val="00123AA6"/>
    <w:rsid w:val="00123B85"/>
    <w:rsid w:val="0012545F"/>
    <w:rsid w:val="00136B82"/>
    <w:rsid w:val="001464F2"/>
    <w:rsid w:val="00162078"/>
    <w:rsid w:val="00167364"/>
    <w:rsid w:val="001903B2"/>
    <w:rsid w:val="001B0F78"/>
    <w:rsid w:val="001B5953"/>
    <w:rsid w:val="001B74CB"/>
    <w:rsid w:val="001D5EE0"/>
    <w:rsid w:val="001D746E"/>
    <w:rsid w:val="001E190C"/>
    <w:rsid w:val="001E51EE"/>
    <w:rsid w:val="001E54F6"/>
    <w:rsid w:val="001E5A8C"/>
    <w:rsid w:val="00201A0A"/>
    <w:rsid w:val="002075D4"/>
    <w:rsid w:val="00211B2A"/>
    <w:rsid w:val="00223C6C"/>
    <w:rsid w:val="002333A0"/>
    <w:rsid w:val="0024412C"/>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1C83"/>
    <w:rsid w:val="002E48BF"/>
    <w:rsid w:val="002E61C2"/>
    <w:rsid w:val="002F3E46"/>
    <w:rsid w:val="00306DCA"/>
    <w:rsid w:val="00307944"/>
    <w:rsid w:val="00311E3F"/>
    <w:rsid w:val="00314B1E"/>
    <w:rsid w:val="003209C9"/>
    <w:rsid w:val="0033737F"/>
    <w:rsid w:val="00353652"/>
    <w:rsid w:val="003569E1"/>
    <w:rsid w:val="003815E2"/>
    <w:rsid w:val="00381FAD"/>
    <w:rsid w:val="00382A66"/>
    <w:rsid w:val="003923B1"/>
    <w:rsid w:val="00394515"/>
    <w:rsid w:val="003965FE"/>
    <w:rsid w:val="003B27AD"/>
    <w:rsid w:val="003B4F23"/>
    <w:rsid w:val="003C12F6"/>
    <w:rsid w:val="003C3A13"/>
    <w:rsid w:val="003E02EF"/>
    <w:rsid w:val="003E1D90"/>
    <w:rsid w:val="00400CD4"/>
    <w:rsid w:val="004060C9"/>
    <w:rsid w:val="004147B9"/>
    <w:rsid w:val="00422C04"/>
    <w:rsid w:val="00423A40"/>
    <w:rsid w:val="00426144"/>
    <w:rsid w:val="00462D95"/>
    <w:rsid w:val="004636E2"/>
    <w:rsid w:val="00470CBD"/>
    <w:rsid w:val="00474070"/>
    <w:rsid w:val="0047407D"/>
    <w:rsid w:val="004909DD"/>
    <w:rsid w:val="004A05E6"/>
    <w:rsid w:val="004A6230"/>
    <w:rsid w:val="004A6C66"/>
    <w:rsid w:val="004A7AA0"/>
    <w:rsid w:val="004C11BC"/>
    <w:rsid w:val="004C5C04"/>
    <w:rsid w:val="004D0448"/>
    <w:rsid w:val="004D4AE6"/>
    <w:rsid w:val="004D5114"/>
    <w:rsid w:val="004E731D"/>
    <w:rsid w:val="00505FCA"/>
    <w:rsid w:val="00510C2D"/>
    <w:rsid w:val="005166A4"/>
    <w:rsid w:val="005169F4"/>
    <w:rsid w:val="005210D1"/>
    <w:rsid w:val="00523146"/>
    <w:rsid w:val="00523275"/>
    <w:rsid w:val="00531DC7"/>
    <w:rsid w:val="005350B0"/>
    <w:rsid w:val="00540112"/>
    <w:rsid w:val="005431B5"/>
    <w:rsid w:val="00546A99"/>
    <w:rsid w:val="0054794D"/>
    <w:rsid w:val="00553411"/>
    <w:rsid w:val="00554AE7"/>
    <w:rsid w:val="00564746"/>
    <w:rsid w:val="0056512C"/>
    <w:rsid w:val="00576D0A"/>
    <w:rsid w:val="00576FCC"/>
    <w:rsid w:val="00584333"/>
    <w:rsid w:val="005953EC"/>
    <w:rsid w:val="005B00A1"/>
    <w:rsid w:val="005C06EC"/>
    <w:rsid w:val="005C29C8"/>
    <w:rsid w:val="005C5D25"/>
    <w:rsid w:val="005D2606"/>
    <w:rsid w:val="005D3535"/>
    <w:rsid w:val="005D6D48"/>
    <w:rsid w:val="005D72A4"/>
    <w:rsid w:val="005F05CC"/>
    <w:rsid w:val="005F65DE"/>
    <w:rsid w:val="005F796A"/>
    <w:rsid w:val="00600326"/>
    <w:rsid w:val="00613492"/>
    <w:rsid w:val="00630905"/>
    <w:rsid w:val="006315B5"/>
    <w:rsid w:val="00651B35"/>
    <w:rsid w:val="0065562F"/>
    <w:rsid w:val="006569F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59E0"/>
    <w:rsid w:val="00716B1D"/>
    <w:rsid w:val="007248EC"/>
    <w:rsid w:val="00726744"/>
    <w:rsid w:val="00731150"/>
    <w:rsid w:val="00734E41"/>
    <w:rsid w:val="00736DCC"/>
    <w:rsid w:val="00741855"/>
    <w:rsid w:val="00742B73"/>
    <w:rsid w:val="00746B3A"/>
    <w:rsid w:val="0075057A"/>
    <w:rsid w:val="00751251"/>
    <w:rsid w:val="007610E7"/>
    <w:rsid w:val="00764079"/>
    <w:rsid w:val="00770AA0"/>
    <w:rsid w:val="00771F7E"/>
    <w:rsid w:val="00773E9C"/>
    <w:rsid w:val="007760BF"/>
    <w:rsid w:val="00776F6B"/>
    <w:rsid w:val="00777694"/>
    <w:rsid w:val="00786A7E"/>
    <w:rsid w:val="00794B15"/>
    <w:rsid w:val="007A0802"/>
    <w:rsid w:val="007B1FCA"/>
    <w:rsid w:val="007C2C12"/>
    <w:rsid w:val="007C3CFA"/>
    <w:rsid w:val="007C7603"/>
    <w:rsid w:val="007E0E8B"/>
    <w:rsid w:val="007E6847"/>
    <w:rsid w:val="007E6B0A"/>
    <w:rsid w:val="007F08CA"/>
    <w:rsid w:val="007F542D"/>
    <w:rsid w:val="007F7FC3"/>
    <w:rsid w:val="00810482"/>
    <w:rsid w:val="00817568"/>
    <w:rsid w:val="008204AC"/>
    <w:rsid w:val="008209D4"/>
    <w:rsid w:val="008261C2"/>
    <w:rsid w:val="00830D96"/>
    <w:rsid w:val="00833EC3"/>
    <w:rsid w:val="0083479D"/>
    <w:rsid w:val="00844DE0"/>
    <w:rsid w:val="0085569D"/>
    <w:rsid w:val="00855B59"/>
    <w:rsid w:val="0085774F"/>
    <w:rsid w:val="008614B8"/>
    <w:rsid w:val="008657CB"/>
    <w:rsid w:val="00873A6F"/>
    <w:rsid w:val="0088384B"/>
    <w:rsid w:val="008927F5"/>
    <w:rsid w:val="00893E53"/>
    <w:rsid w:val="00896867"/>
    <w:rsid w:val="008A1137"/>
    <w:rsid w:val="008A1788"/>
    <w:rsid w:val="008A3E57"/>
    <w:rsid w:val="008A4185"/>
    <w:rsid w:val="008A6552"/>
    <w:rsid w:val="008B11EF"/>
    <w:rsid w:val="008B4E93"/>
    <w:rsid w:val="008B52B7"/>
    <w:rsid w:val="008C3818"/>
    <w:rsid w:val="008D6ACC"/>
    <w:rsid w:val="008D7AF0"/>
    <w:rsid w:val="008E2CBE"/>
    <w:rsid w:val="008E32DD"/>
    <w:rsid w:val="008E53C5"/>
    <w:rsid w:val="008E5FE6"/>
    <w:rsid w:val="008F4626"/>
    <w:rsid w:val="009004DF"/>
    <w:rsid w:val="00904AA5"/>
    <w:rsid w:val="00924A86"/>
    <w:rsid w:val="00936571"/>
    <w:rsid w:val="00951718"/>
    <w:rsid w:val="00960962"/>
    <w:rsid w:val="00972CE0"/>
    <w:rsid w:val="009A3D30"/>
    <w:rsid w:val="009C57D0"/>
    <w:rsid w:val="009D6348"/>
    <w:rsid w:val="009E2746"/>
    <w:rsid w:val="009E3426"/>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66D2B"/>
    <w:rsid w:val="00A809E8"/>
    <w:rsid w:val="00A870AD"/>
    <w:rsid w:val="00A90843"/>
    <w:rsid w:val="00A9645C"/>
    <w:rsid w:val="00AB2A33"/>
    <w:rsid w:val="00AC1275"/>
    <w:rsid w:val="00AC7395"/>
    <w:rsid w:val="00AD162B"/>
    <w:rsid w:val="00AD690F"/>
    <w:rsid w:val="00AD69DD"/>
    <w:rsid w:val="00AE5A53"/>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69BC"/>
    <w:rsid w:val="00B9727C"/>
    <w:rsid w:val="00BA21FB"/>
    <w:rsid w:val="00BA6429"/>
    <w:rsid w:val="00BA7D44"/>
    <w:rsid w:val="00BB23E6"/>
    <w:rsid w:val="00BD352B"/>
    <w:rsid w:val="00BD6291"/>
    <w:rsid w:val="00BD6EF3"/>
    <w:rsid w:val="00BE69C3"/>
    <w:rsid w:val="00C1165E"/>
    <w:rsid w:val="00C22074"/>
    <w:rsid w:val="00C2377B"/>
    <w:rsid w:val="00C2463F"/>
    <w:rsid w:val="00C30921"/>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25120"/>
    <w:rsid w:val="00D303FE"/>
    <w:rsid w:val="00D419CB"/>
    <w:rsid w:val="00D44350"/>
    <w:rsid w:val="00D44E3F"/>
    <w:rsid w:val="00D51BB8"/>
    <w:rsid w:val="00D525F5"/>
    <w:rsid w:val="00D535D0"/>
    <w:rsid w:val="00D577D8"/>
    <w:rsid w:val="00D62C78"/>
    <w:rsid w:val="00D71545"/>
    <w:rsid w:val="00D81703"/>
    <w:rsid w:val="00D82929"/>
    <w:rsid w:val="00D84214"/>
    <w:rsid w:val="00D943E5"/>
    <w:rsid w:val="00DA1AE0"/>
    <w:rsid w:val="00DB4CC9"/>
    <w:rsid w:val="00DC29DD"/>
    <w:rsid w:val="00DC7C0E"/>
    <w:rsid w:val="00DD7807"/>
    <w:rsid w:val="00DE7387"/>
    <w:rsid w:val="00DF2A6A"/>
    <w:rsid w:val="00DF3B72"/>
    <w:rsid w:val="00E10821"/>
    <w:rsid w:val="00E2476B"/>
    <w:rsid w:val="00E2489D"/>
    <w:rsid w:val="00E26520"/>
    <w:rsid w:val="00E343A3"/>
    <w:rsid w:val="00E51BFA"/>
    <w:rsid w:val="00E611F1"/>
    <w:rsid w:val="00E621A3"/>
    <w:rsid w:val="00E70F9D"/>
    <w:rsid w:val="00E833BC"/>
    <w:rsid w:val="00E8580E"/>
    <w:rsid w:val="00E97E21"/>
    <w:rsid w:val="00EA1B76"/>
    <w:rsid w:val="00EA5D25"/>
    <w:rsid w:val="00EA77D7"/>
    <w:rsid w:val="00EC09B9"/>
    <w:rsid w:val="00ED048C"/>
    <w:rsid w:val="00EE60E9"/>
    <w:rsid w:val="00EF38AF"/>
    <w:rsid w:val="00EF48BB"/>
    <w:rsid w:val="00F00143"/>
    <w:rsid w:val="00F04185"/>
    <w:rsid w:val="00F055F8"/>
    <w:rsid w:val="00F10CB4"/>
    <w:rsid w:val="00F11B3D"/>
    <w:rsid w:val="00F146AC"/>
    <w:rsid w:val="00F14763"/>
    <w:rsid w:val="00F16212"/>
    <w:rsid w:val="00F16602"/>
    <w:rsid w:val="00F2326E"/>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E43CD"/>
    <w:rsid w:val="00FF4FFF"/>
    <w:rsid w:val="00FF7E7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4384AA8"/>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9E0"/>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qFormat/>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 w:type="table" w:customStyle="1" w:styleId="ECCTable-redheader1">
    <w:name w:val="ECC Table - red header1"/>
    <w:basedOn w:val="TableNormal"/>
    <w:uiPriority w:val="99"/>
    <w:rsid w:val="00B969BC"/>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redheader">
    <w:name w:val="ECC Table - red header"/>
    <w:basedOn w:val="TableNormal"/>
    <w:uiPriority w:val="99"/>
    <w:rsid w:val="007159E0"/>
    <w:pPr>
      <w:spacing w:before="60" w:after="60"/>
      <w:jc w:val="both"/>
    </w:pPr>
    <w:rPr>
      <w:rFonts w:ascii="Arial" w:eastAsia="Calibri" w:hAnsi="Arial"/>
      <w:lang w:val="de-DE" w:eastAsia="de-DE" w:bidi="fa-IR"/>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paragraph" w:customStyle="1" w:styleId="ECCTabletext">
    <w:name w:val="ECC Table text"/>
    <w:basedOn w:val="Normal"/>
    <w:qFormat/>
    <w:rsid w:val="007159E0"/>
    <w:pPr>
      <w:tabs>
        <w:tab w:val="clear" w:pos="1134"/>
        <w:tab w:val="clear" w:pos="1871"/>
        <w:tab w:val="clear" w:pos="2268"/>
      </w:tabs>
      <w:bidi w:val="0"/>
      <w:spacing w:before="0" w:after="60" w:line="240" w:lineRule="auto"/>
    </w:pPr>
    <w:rPr>
      <w:rFonts w:ascii="Arial" w:eastAsia="Calibri" w:hAnsi="Arial" w:cs="Times New Roman"/>
      <w:sz w:val="20"/>
      <w:szCs w:val="22"/>
      <w:lang w:val="en-GB"/>
    </w:rPr>
  </w:style>
  <w:style w:type="paragraph" w:customStyle="1" w:styleId="ECCTableHeaderwhitefont">
    <w:name w:val="ECC Table Header white font"/>
    <w:qFormat/>
    <w:rsid w:val="007159E0"/>
    <w:pPr>
      <w:spacing w:before="240" w:after="60"/>
      <w:jc w:val="center"/>
    </w:pPr>
    <w:rPr>
      <w:rFonts w:ascii="Arial" w:eastAsia="Calibri" w:hAnsi="Arial"/>
      <w:bCs/>
      <w:color w:val="FFFFFF" w:themeColor="background1"/>
      <w:lang w:val="en-GB" w:eastAsia="de-DE"/>
    </w:rPr>
  </w:style>
  <w:style w:type="paragraph" w:customStyle="1" w:styleId="Tabletext0">
    <w:name w:val="Table text"/>
    <w:basedOn w:val="ECCTabletext"/>
    <w:qFormat/>
    <w:rsid w:val="0083479D"/>
    <w:pPr>
      <w:bidi/>
    </w:pPr>
    <w:rPr>
      <w:rFonts w:ascii="Times New Roman" w:hAnsi="Times New Roman" w:cs="Traditional Arabic"/>
      <w:sz w:val="26"/>
      <w:szCs w:val="2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R16-WRC19-C-0024!A19-A1!MSW-A</DPM_x0020_File_x0020_name>
    <DPM_x0020_Author xmlns="32a1a8c5-2265-4ebc-b7a0-2071e2c5c9bb" xsi:nil="false">DPM</DPM_x0020_Author>
    <DPM_x0020_Version xmlns="32a1a8c5-2265-4ebc-b7a0-2071e2c5c9bb" xsi:nil="false">DPM_2019.08.19.01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676AA-7EA1-44A0-9B17-8421C055E159}">
  <ds:schemaRefs>
    <ds:schemaRef ds:uri="http://schemas.microsoft.com/sharepoint/v3/contenttype/forms"/>
  </ds:schemaRefs>
</ds:datastoreItem>
</file>

<file path=customXml/itemProps2.xml><?xml version="1.0" encoding="utf-8"?>
<ds:datastoreItem xmlns:ds="http://schemas.openxmlformats.org/officeDocument/2006/customXml" ds:itemID="{5FC8EC5D-4271-4543-95A1-34AB319217C9}">
  <ds:schemaRefs>
    <ds:schemaRef ds:uri="http://schemas.microsoft.com/sharepoint/events"/>
  </ds:schemaRefs>
</ds:datastoreItem>
</file>

<file path=customXml/itemProps3.xml><?xml version="1.0" encoding="utf-8"?>
<ds:datastoreItem xmlns:ds="http://schemas.openxmlformats.org/officeDocument/2006/customXml" ds:itemID="{7DE9F2EB-D29A-481B-AA5E-CBCCDC6517EB}">
  <ds:schemaRefs>
    <ds:schemaRef ds:uri="http://schemas.microsoft.com/office/2006/metadata/properties"/>
    <ds:schemaRef ds:uri="32a1a8c5-2265-4ebc-b7a0-2071e2c5c9bb"/>
    <ds:schemaRef ds:uri="http://schemas.microsoft.com/office/2006/documentManagement/types"/>
    <ds:schemaRef ds:uri="http://www.w3.org/XML/1998/namespace"/>
    <ds:schemaRef ds:uri="http://purl.org/dc/terms/"/>
    <ds:schemaRef ds:uri="996b2e75-67fd-4955-a3b0-5ab9934cb50b"/>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EEBACFF-7382-434C-8071-50749B5A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8C0189-D73D-44ED-A8EE-562E484F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941</Words>
  <Characters>5066</Characters>
  <Application>Microsoft Office Word</Application>
  <DocSecurity>0</DocSecurity>
  <Lines>87</Lines>
  <Paragraphs>58</Paragraphs>
  <ScaleCrop>false</ScaleCrop>
  <HeadingPairs>
    <vt:vector size="2" baseType="variant">
      <vt:variant>
        <vt:lpstr>Title</vt:lpstr>
      </vt:variant>
      <vt:variant>
        <vt:i4>1</vt:i4>
      </vt:variant>
    </vt:vector>
  </HeadingPairs>
  <TitlesOfParts>
    <vt:vector size="1" baseType="lpstr">
      <vt:lpstr>R16-WRC19-C-0024!A19-A1!MSW-A</vt:lpstr>
    </vt:vector>
  </TitlesOfParts>
  <Manager>General Secretariat - Pool</Manager>
  <Company>International Telecommunication Union (ITU)</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R16-WRC19-C-0024!A19-A1!MSW-A</dc:title>
  <dc:creator>Documents Proposals Manager (DPM)</dc:creator>
  <cp:keywords>DPM_v2019.9.25.1_prod</cp:keywords>
  <cp:lastModifiedBy>Arabic</cp:lastModifiedBy>
  <cp:revision>7</cp:revision>
  <cp:lastPrinted>2019-10-02T15:18:00Z</cp:lastPrinted>
  <dcterms:created xsi:type="dcterms:W3CDTF">2019-10-18T14:39:00Z</dcterms:created>
  <dcterms:modified xsi:type="dcterms:W3CDTF">2019-10-20T17:09:00Z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