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8286D" w14:paraId="72A342F2" w14:textId="77777777" w:rsidTr="0050008E">
        <w:trPr>
          <w:cantSplit/>
        </w:trPr>
        <w:tc>
          <w:tcPr>
            <w:tcW w:w="6911" w:type="dxa"/>
          </w:tcPr>
          <w:p w14:paraId="6FFD0332" w14:textId="77777777" w:rsidR="00C8286D" w:rsidRPr="00DF23FC" w:rsidRDefault="00C8286D" w:rsidP="00C8286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Sharm el-Sheikh (Egipto), 28 de octubre </w:t>
            </w:r>
            <w:r w:rsidR="009A599E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22 de noviembre de 2019</w:t>
            </w:r>
          </w:p>
        </w:tc>
        <w:tc>
          <w:tcPr>
            <w:tcW w:w="3120" w:type="dxa"/>
          </w:tcPr>
          <w:p w14:paraId="587098D0" w14:textId="77777777" w:rsidR="00C8286D" w:rsidRDefault="00C8286D" w:rsidP="00C8286D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463A6DC3" wp14:editId="4A91B006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86D" w:rsidRPr="009538D2" w14:paraId="0F8869A8" w14:textId="77777777" w:rsidTr="00A1779F">
        <w:trPr>
          <w:cantSplit/>
        </w:trPr>
        <w:tc>
          <w:tcPr>
            <w:tcW w:w="10031" w:type="dxa"/>
            <w:gridSpan w:val="2"/>
            <w:tcBorders>
              <w:bottom w:val="single" w:sz="12" w:space="0" w:color="auto"/>
            </w:tcBorders>
          </w:tcPr>
          <w:p w14:paraId="7C4C2084" w14:textId="77777777" w:rsidR="00C8286D" w:rsidRPr="009538D2" w:rsidRDefault="00C8286D" w:rsidP="00C8286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</w:tr>
      <w:tr w:rsidR="00C8286D" w:rsidRPr="00C324A8" w14:paraId="1E6B327B" w14:textId="77777777" w:rsidTr="0050008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F4A15B0" w14:textId="77777777" w:rsidR="00C8286D" w:rsidRPr="00C324A8" w:rsidRDefault="00C8286D" w:rsidP="00C8286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82F01F6" w14:textId="77777777" w:rsidR="00C8286D" w:rsidRPr="00C324A8" w:rsidRDefault="00C8286D" w:rsidP="00C8286D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C8286D" w:rsidRPr="00C324A8" w14:paraId="6E2B9A8D" w14:textId="77777777" w:rsidTr="0050008E">
        <w:trPr>
          <w:cantSplit/>
          <w:trHeight w:val="23"/>
        </w:trPr>
        <w:tc>
          <w:tcPr>
            <w:tcW w:w="6911" w:type="dxa"/>
            <w:vMerge w:val="restart"/>
          </w:tcPr>
          <w:p w14:paraId="117C52AE" w14:textId="77777777" w:rsidR="00C8286D" w:rsidRPr="00C8286D" w:rsidRDefault="00C8286D" w:rsidP="00C8286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120" w:type="dxa"/>
          </w:tcPr>
          <w:p w14:paraId="697CA750" w14:textId="77777777" w:rsidR="00C8286D" w:rsidRPr="00C8286D" w:rsidRDefault="004B6824" w:rsidP="00C8286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Addéndum 19 al</w:t>
            </w:r>
            <w:r>
              <w:rPr>
                <w:rFonts w:ascii="Verdana" w:hAnsi="Verdana"/>
                <w:b/>
                <w:sz w:val="20"/>
              </w:rPr>
              <w:br/>
              <w:t>Documento 24</w:t>
            </w:r>
            <w:r w:rsidR="00C8286D"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C8286D" w:rsidRPr="00C324A8" w14:paraId="1CFE2FB2" w14:textId="77777777" w:rsidTr="0050008E">
        <w:trPr>
          <w:cantSplit/>
          <w:trHeight w:val="23"/>
        </w:trPr>
        <w:tc>
          <w:tcPr>
            <w:tcW w:w="6911" w:type="dxa"/>
            <w:vMerge/>
          </w:tcPr>
          <w:p w14:paraId="19D5020B" w14:textId="77777777" w:rsidR="00C8286D" w:rsidRPr="00C324A8" w:rsidRDefault="00C8286D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1BBC2C5A" w14:textId="77777777" w:rsidR="00C8286D" w:rsidRPr="00C8286D" w:rsidRDefault="004B6824" w:rsidP="00C8286D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 de septiembre</w:t>
            </w:r>
            <w:r w:rsidR="00C8286D">
              <w:rPr>
                <w:rFonts w:ascii="Verdana" w:hAnsi="Verdana"/>
                <w:b/>
                <w:sz w:val="20"/>
              </w:rPr>
              <w:t xml:space="preserve"> de 201</w:t>
            </w:r>
            <w:r>
              <w:rPr>
                <w:rFonts w:ascii="Verdana" w:hAnsi="Verdana"/>
                <w:b/>
                <w:sz w:val="20"/>
              </w:rPr>
              <w:t>9</w:t>
            </w:r>
          </w:p>
        </w:tc>
      </w:tr>
      <w:tr w:rsidR="00C8286D" w:rsidRPr="00C324A8" w14:paraId="0CED31FE" w14:textId="77777777" w:rsidTr="0050008E">
        <w:trPr>
          <w:cantSplit/>
          <w:trHeight w:val="23"/>
        </w:trPr>
        <w:tc>
          <w:tcPr>
            <w:tcW w:w="6911" w:type="dxa"/>
            <w:vMerge/>
          </w:tcPr>
          <w:p w14:paraId="5E787F94" w14:textId="77777777" w:rsidR="00C8286D" w:rsidRPr="00C324A8" w:rsidRDefault="00C8286D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4FC32848" w14:textId="77777777" w:rsidR="00C8286D" w:rsidRPr="00C8286D" w:rsidRDefault="00C8286D" w:rsidP="00C8286D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C8286D" w14:paraId="59C97257" w14:textId="77777777" w:rsidTr="0050008E">
        <w:trPr>
          <w:cantSplit/>
        </w:trPr>
        <w:tc>
          <w:tcPr>
            <w:tcW w:w="10031" w:type="dxa"/>
            <w:gridSpan w:val="2"/>
          </w:tcPr>
          <w:p w14:paraId="02A39CF7" w14:textId="77777777" w:rsidR="00C8286D" w:rsidRDefault="004B6824" w:rsidP="0050008E">
            <w:pPr>
              <w:pStyle w:val="Source"/>
            </w:pPr>
            <w:bookmarkStart w:id="6" w:name="dsource" w:colFirst="0" w:colLast="0"/>
            <w:bookmarkEnd w:id="5"/>
            <w:r w:rsidRPr="004B6824">
              <w:rPr>
                <w:lang w:val="es-ES"/>
              </w:rPr>
              <w:t xml:space="preserve">Propuestas Comunes de la </w:t>
            </w:r>
            <w:proofErr w:type="spellStart"/>
            <w:r w:rsidRPr="004B6824">
              <w:rPr>
                <w:lang w:val="es-ES"/>
              </w:rPr>
              <w:t>Telecomunidad</w:t>
            </w:r>
            <w:proofErr w:type="spellEnd"/>
            <w:r w:rsidRPr="004B6824">
              <w:rPr>
                <w:lang w:val="es-ES"/>
              </w:rPr>
              <w:t xml:space="preserve"> Asia-Pacífico</w:t>
            </w:r>
          </w:p>
        </w:tc>
      </w:tr>
      <w:tr w:rsidR="00C8286D" w14:paraId="144C3768" w14:textId="77777777" w:rsidTr="0050008E">
        <w:trPr>
          <w:cantSplit/>
        </w:trPr>
        <w:tc>
          <w:tcPr>
            <w:tcW w:w="10031" w:type="dxa"/>
            <w:gridSpan w:val="2"/>
          </w:tcPr>
          <w:p w14:paraId="20345FCE" w14:textId="77777777" w:rsidR="00C8286D" w:rsidRDefault="004B6824" w:rsidP="0050008E">
            <w:pPr>
              <w:pStyle w:val="Title1"/>
            </w:pPr>
            <w:bookmarkStart w:id="7" w:name="dtitle1" w:colFirst="0" w:colLast="0"/>
            <w:bookmarkEnd w:id="6"/>
            <w:r w:rsidRPr="004B6824">
              <w:rPr>
                <w:lang w:val="es-ES"/>
              </w:rPr>
              <w:t>Propuestas para los trabajos de la Conferencia</w:t>
            </w:r>
          </w:p>
        </w:tc>
      </w:tr>
      <w:tr w:rsidR="00C8286D" w14:paraId="67238CF0" w14:textId="77777777" w:rsidTr="0050008E">
        <w:trPr>
          <w:cantSplit/>
        </w:trPr>
        <w:tc>
          <w:tcPr>
            <w:tcW w:w="10031" w:type="dxa"/>
            <w:gridSpan w:val="2"/>
          </w:tcPr>
          <w:p w14:paraId="4AF654E4" w14:textId="77777777" w:rsidR="00C8286D" w:rsidRDefault="00C8286D" w:rsidP="0050008E">
            <w:pPr>
              <w:pStyle w:val="Title2"/>
            </w:pPr>
            <w:bookmarkStart w:id="8" w:name="dtitle2" w:colFirst="0" w:colLast="0"/>
            <w:bookmarkEnd w:id="7"/>
          </w:p>
        </w:tc>
      </w:tr>
      <w:tr w:rsidR="00C8286D" w14:paraId="68E3ADE7" w14:textId="77777777" w:rsidTr="0050008E">
        <w:trPr>
          <w:cantSplit/>
        </w:trPr>
        <w:tc>
          <w:tcPr>
            <w:tcW w:w="10031" w:type="dxa"/>
            <w:gridSpan w:val="2"/>
          </w:tcPr>
          <w:p w14:paraId="59E2B26C" w14:textId="77777777" w:rsidR="00C8286D" w:rsidRDefault="004B6824" w:rsidP="00C51C0A">
            <w:pPr>
              <w:pStyle w:val="Agendaitem"/>
            </w:pPr>
            <w:bookmarkStart w:id="9" w:name="dtitle3" w:colFirst="0" w:colLast="0"/>
            <w:bookmarkEnd w:id="8"/>
            <w:r w:rsidRPr="001F026E">
              <w:rPr>
                <w:lang w:val="es-ES"/>
              </w:rPr>
              <w:t>Punto 7 del orden del día</w:t>
            </w:r>
          </w:p>
        </w:tc>
      </w:tr>
    </w:tbl>
    <w:bookmarkEnd w:id="9"/>
    <w:p w14:paraId="01935A80" w14:textId="77777777" w:rsidR="004B6824" w:rsidRPr="004B6824" w:rsidRDefault="004B6824" w:rsidP="004B6824">
      <w:pPr>
        <w:overflowPunct/>
        <w:autoSpaceDE/>
        <w:autoSpaceDN/>
        <w:adjustRightInd/>
        <w:textAlignment w:val="auto"/>
        <w:rPr>
          <w:lang w:val="es-ES"/>
        </w:rPr>
      </w:pPr>
      <w:r w:rsidRPr="004B6824">
        <w:rPr>
          <w:lang w:val="es-ES"/>
        </w:rPr>
        <w:t>7</w:t>
      </w:r>
      <w:r w:rsidRPr="004B6824">
        <w:rPr>
          <w:lang w:val="es-ES"/>
        </w:rPr>
        <w:tab/>
        <w:t xml:space="preserve">considerar posibles modificaciones y otras opciones para responder </w:t>
      </w:r>
      <w:r>
        <w:rPr>
          <w:lang w:val="es-ES"/>
        </w:rPr>
        <w:t>a lo dispuesto en la Resolución </w:t>
      </w:r>
      <w:r w:rsidRPr="004B6824">
        <w:rPr>
          <w:lang w:val="es-ES"/>
        </w:rPr>
        <w:t>86 (Rev. Marrakech, 2002) de la Conferencia de Plenipotenciarios: «Procedimientos de publicación anticipada, de coordinación, de notificación y de inscripción de asignaciones de frecuencias de redes de satélite» d</w:t>
      </w:r>
      <w:r w:rsidR="000F051D">
        <w:rPr>
          <w:lang w:val="es-ES"/>
        </w:rPr>
        <w:t>e conformidad con la Resolución </w:t>
      </w:r>
      <w:r w:rsidRPr="004B6824">
        <w:rPr>
          <w:b/>
          <w:bCs/>
          <w:lang w:val="es-ES"/>
        </w:rPr>
        <w:t>86 (Rev.CMR-07)</w:t>
      </w:r>
      <w:r w:rsidRPr="004B6824">
        <w:rPr>
          <w:lang w:val="es-ES"/>
        </w:rPr>
        <w:t xml:space="preserve"> para facilitar el uso racional, eficiente y económico de las radiofrecuencias y órbitas asociadas, incluida la órbita de los satélites geoestacionarios;</w:t>
      </w:r>
    </w:p>
    <w:p w14:paraId="0D03A357" w14:textId="2246A354" w:rsidR="004B6824" w:rsidRPr="004B6824" w:rsidRDefault="004B6824" w:rsidP="005B479B">
      <w:pPr>
        <w:rPr>
          <w:lang w:val="es-ES"/>
        </w:rPr>
      </w:pPr>
      <w:bookmarkStart w:id="10" w:name="lt_pId014"/>
      <w:r w:rsidRPr="004B6824">
        <w:rPr>
          <w:lang w:val="es-ES"/>
        </w:rPr>
        <w:t>En el presen</w:t>
      </w:r>
      <w:r w:rsidR="004B27EC">
        <w:rPr>
          <w:lang w:val="es-ES"/>
        </w:rPr>
        <w:t xml:space="preserve">te documento, en diferentes </w:t>
      </w:r>
      <w:proofErr w:type="spellStart"/>
      <w:r w:rsidR="001F026E" w:rsidRPr="002929BA">
        <w:rPr>
          <w:lang w:val="es-ES"/>
        </w:rPr>
        <w:t>Addenda</w:t>
      </w:r>
      <w:proofErr w:type="spellEnd"/>
      <w:r w:rsidRPr="002929BA">
        <w:rPr>
          <w:lang w:val="es-ES"/>
        </w:rPr>
        <w:t>,</w:t>
      </w:r>
      <w:r w:rsidRPr="004B6824">
        <w:rPr>
          <w:lang w:val="es-ES"/>
        </w:rPr>
        <w:t xml:space="preserve"> figuran las propuestas comunes de la </w:t>
      </w:r>
      <w:proofErr w:type="spellStart"/>
      <w:r w:rsidRPr="004B6824">
        <w:rPr>
          <w:lang w:val="es-ES"/>
        </w:rPr>
        <w:t>Telecomunidad</w:t>
      </w:r>
      <w:proofErr w:type="spellEnd"/>
      <w:r w:rsidRPr="004B6824">
        <w:rPr>
          <w:lang w:val="es-ES"/>
        </w:rPr>
        <w:t xml:space="preserve"> Asia-Pacífico (APT) sobr</w:t>
      </w:r>
      <w:r w:rsidR="000F051D">
        <w:rPr>
          <w:lang w:val="es-ES"/>
        </w:rPr>
        <w:t>e diversas cuestiones del punto </w:t>
      </w:r>
      <w:r w:rsidRPr="004B6824">
        <w:rPr>
          <w:lang w:val="es-ES"/>
        </w:rPr>
        <w:t>9.1 del orden del día. La disposición de las propuestas comunes en los d</w:t>
      </w:r>
      <w:bookmarkStart w:id="11" w:name="_GoBack"/>
      <w:bookmarkEnd w:id="11"/>
      <w:r w:rsidRPr="004B6824">
        <w:rPr>
          <w:lang w:val="es-ES"/>
        </w:rPr>
        <w:t xml:space="preserve">iferentes </w:t>
      </w:r>
      <w:proofErr w:type="spellStart"/>
      <w:r w:rsidR="001F026E" w:rsidRPr="002929BA">
        <w:rPr>
          <w:lang w:val="es-ES"/>
        </w:rPr>
        <w:t>Addenda</w:t>
      </w:r>
      <w:proofErr w:type="spellEnd"/>
      <w:r w:rsidR="001F026E" w:rsidRPr="004B6824">
        <w:rPr>
          <w:lang w:val="es-ES"/>
        </w:rPr>
        <w:t xml:space="preserve"> </w:t>
      </w:r>
      <w:r w:rsidRPr="004B6824">
        <w:rPr>
          <w:lang w:val="es-ES"/>
        </w:rPr>
        <w:t>se realiza de conformidad con el siguiente cuadro:</w:t>
      </w:r>
      <w:bookmarkEnd w:id="10"/>
    </w:p>
    <w:p w14:paraId="5F9DF4FB" w14:textId="77777777" w:rsidR="004B6824" w:rsidRPr="004B6824" w:rsidRDefault="004B6824" w:rsidP="004B6824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539"/>
        <w:gridCol w:w="2745"/>
      </w:tblGrid>
      <w:tr w:rsidR="004B6824" w:rsidRPr="004B6824" w14:paraId="0B0D38BA" w14:textId="77777777" w:rsidTr="0037467C">
        <w:tc>
          <w:tcPr>
            <w:tcW w:w="6884" w:type="dxa"/>
            <w:gridSpan w:val="2"/>
            <w:shd w:val="clear" w:color="auto" w:fill="D9D9D9" w:themeFill="background1" w:themeFillShade="D9"/>
          </w:tcPr>
          <w:p w14:paraId="49CC2540" w14:textId="77777777" w:rsidR="004B6824" w:rsidRPr="004B6824" w:rsidRDefault="0005180D" w:rsidP="00C51C0A">
            <w:pPr>
              <w:pStyle w:val="Tablehead"/>
              <w:rPr>
                <w:lang w:val="es-ES"/>
              </w:rPr>
            </w:pPr>
            <w:r>
              <w:rPr>
                <w:lang w:val="es-ES"/>
              </w:rPr>
              <w:t>Temas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37BDE529" w14:textId="63D9C15A" w:rsidR="004B6824" w:rsidRPr="004B6824" w:rsidRDefault="004B27EC" w:rsidP="00C51C0A">
            <w:pPr>
              <w:pStyle w:val="Tablehead"/>
              <w:rPr>
                <w:lang w:val="es-ES"/>
              </w:rPr>
            </w:pPr>
            <w:bookmarkStart w:id="12" w:name="lt_pId017"/>
            <w:r>
              <w:rPr>
                <w:lang w:val="es-ES"/>
              </w:rPr>
              <w:t>N</w:t>
            </w:r>
            <w:r w:rsidR="0005180D">
              <w:rPr>
                <w:lang w:val="es-ES"/>
              </w:rPr>
              <w:t>úm</w:t>
            </w:r>
            <w:r w:rsidR="004B6824" w:rsidRPr="004B6824">
              <w:rPr>
                <w:lang w:val="es-ES"/>
              </w:rPr>
              <w:t>.</w:t>
            </w:r>
            <w:bookmarkEnd w:id="12"/>
            <w:r>
              <w:rPr>
                <w:lang w:val="es-ES"/>
              </w:rPr>
              <w:t xml:space="preserve"> </w:t>
            </w:r>
            <w:r w:rsidR="001F026E">
              <w:rPr>
                <w:lang w:val="es-ES"/>
              </w:rPr>
              <w:t>Addéndum</w:t>
            </w:r>
          </w:p>
        </w:tc>
      </w:tr>
      <w:tr w:rsidR="004B6824" w:rsidRPr="004B6824" w14:paraId="0531DF77" w14:textId="77777777" w:rsidTr="0037467C">
        <w:tc>
          <w:tcPr>
            <w:tcW w:w="1345" w:type="dxa"/>
          </w:tcPr>
          <w:p w14:paraId="15460174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13" w:name="lt_pId018"/>
            <w:r w:rsidRPr="004B6824">
              <w:rPr>
                <w:lang w:val="es-ES"/>
              </w:rPr>
              <w:t>A</w:t>
            </w:r>
            <w:bookmarkEnd w:id="13"/>
          </w:p>
        </w:tc>
        <w:tc>
          <w:tcPr>
            <w:tcW w:w="5539" w:type="dxa"/>
          </w:tcPr>
          <w:p w14:paraId="39B2765D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>Tema A – Puesta en servicio de asignaciones de frecuencia a todos los sistemas no OSG y examen de un enfoque de despliegue basado en objetivos intermedios para los sistemas no OSG en ciertas bandas de frecuencias y servicios</w:t>
            </w:r>
          </w:p>
        </w:tc>
        <w:tc>
          <w:tcPr>
            <w:tcW w:w="2745" w:type="dxa"/>
          </w:tcPr>
          <w:p w14:paraId="0E73A29B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14" w:name="lt_pId020"/>
            <w:r w:rsidRPr="004B6824">
              <w:rPr>
                <w:lang w:val="es-ES"/>
              </w:rPr>
              <w:t>A1</w:t>
            </w:r>
            <w:bookmarkEnd w:id="14"/>
          </w:p>
        </w:tc>
      </w:tr>
      <w:tr w:rsidR="004B6824" w:rsidRPr="004B6824" w14:paraId="49842166" w14:textId="77777777" w:rsidTr="0037467C">
        <w:tc>
          <w:tcPr>
            <w:tcW w:w="1345" w:type="dxa"/>
          </w:tcPr>
          <w:p w14:paraId="655692D3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15" w:name="lt_pId021"/>
            <w:r w:rsidRPr="004B6824">
              <w:rPr>
                <w:lang w:val="es-ES"/>
              </w:rPr>
              <w:t>B</w:t>
            </w:r>
            <w:bookmarkEnd w:id="15"/>
          </w:p>
        </w:tc>
        <w:tc>
          <w:tcPr>
            <w:tcW w:w="5539" w:type="dxa"/>
          </w:tcPr>
          <w:p w14:paraId="454B8424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>Tema B – Aplicación del arco de coordinación en la banda Ka para determinar los requisitos de coordinación entre el SFS y otros servicios por satélite</w:t>
            </w:r>
          </w:p>
        </w:tc>
        <w:tc>
          <w:tcPr>
            <w:tcW w:w="2745" w:type="dxa"/>
          </w:tcPr>
          <w:p w14:paraId="7D192A99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16" w:name="lt_pId023"/>
            <w:r w:rsidRPr="004B6824">
              <w:rPr>
                <w:lang w:val="es-ES"/>
              </w:rPr>
              <w:t>A2</w:t>
            </w:r>
            <w:bookmarkEnd w:id="16"/>
          </w:p>
        </w:tc>
      </w:tr>
      <w:tr w:rsidR="004B6824" w:rsidRPr="004B6824" w14:paraId="14C9B9E5" w14:textId="77777777" w:rsidTr="0037467C">
        <w:tc>
          <w:tcPr>
            <w:tcW w:w="1345" w:type="dxa"/>
          </w:tcPr>
          <w:p w14:paraId="6D021C98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17" w:name="lt_pId024"/>
            <w:r w:rsidRPr="004B6824">
              <w:rPr>
                <w:lang w:val="es-ES"/>
              </w:rPr>
              <w:t>C</w:t>
            </w:r>
            <w:bookmarkEnd w:id="17"/>
          </w:p>
        </w:tc>
        <w:tc>
          <w:tcPr>
            <w:tcW w:w="5539" w:type="dxa"/>
          </w:tcPr>
          <w:p w14:paraId="050FEB8F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>Tema C – Temas sobre los que se ha alcanzado un consenso en el UIT-R y se ha definido un único método</w:t>
            </w:r>
          </w:p>
        </w:tc>
        <w:tc>
          <w:tcPr>
            <w:tcW w:w="2745" w:type="dxa"/>
          </w:tcPr>
          <w:p w14:paraId="4ECC75A2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18" w:name="lt_pId026"/>
            <w:r w:rsidRPr="004B6824">
              <w:rPr>
                <w:lang w:val="es-ES"/>
              </w:rPr>
              <w:t>A3</w:t>
            </w:r>
            <w:bookmarkEnd w:id="18"/>
          </w:p>
        </w:tc>
      </w:tr>
      <w:tr w:rsidR="004B6824" w:rsidRPr="004B6824" w14:paraId="3C8F4363" w14:textId="77777777" w:rsidTr="0037467C">
        <w:tc>
          <w:tcPr>
            <w:tcW w:w="1345" w:type="dxa"/>
          </w:tcPr>
          <w:p w14:paraId="19ED4B34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19" w:name="lt_pId027"/>
            <w:r w:rsidRPr="004B6824">
              <w:rPr>
                <w:lang w:val="es-ES"/>
              </w:rPr>
              <w:t>D</w:t>
            </w:r>
            <w:bookmarkEnd w:id="19"/>
          </w:p>
        </w:tc>
        <w:tc>
          <w:tcPr>
            <w:tcW w:w="5539" w:type="dxa"/>
          </w:tcPr>
          <w:p w14:paraId="3F6AC888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 xml:space="preserve">Tema D – Identificación de las redes y los sistemas de satélites específicos con los que ha de efectuarse la coordinación en aplicación de los números </w:t>
            </w:r>
            <w:r w:rsidRPr="004B6824">
              <w:rPr>
                <w:b/>
                <w:bCs/>
                <w:lang w:val="es-ES"/>
              </w:rPr>
              <w:t>9.12</w:t>
            </w:r>
            <w:r w:rsidRPr="004B6824">
              <w:rPr>
                <w:lang w:val="es-ES"/>
              </w:rPr>
              <w:t xml:space="preserve">, </w:t>
            </w:r>
            <w:r w:rsidRPr="004B6824">
              <w:rPr>
                <w:b/>
                <w:bCs/>
                <w:lang w:val="es-ES"/>
              </w:rPr>
              <w:t>9.12A</w:t>
            </w:r>
            <w:r w:rsidRPr="004B6824">
              <w:rPr>
                <w:lang w:val="es-ES"/>
              </w:rPr>
              <w:t xml:space="preserve"> y </w:t>
            </w:r>
            <w:r w:rsidRPr="004B6824">
              <w:rPr>
                <w:b/>
                <w:bCs/>
                <w:lang w:val="es-ES"/>
              </w:rPr>
              <w:t>9.13</w:t>
            </w:r>
            <w:r w:rsidRPr="004B6824">
              <w:rPr>
                <w:lang w:val="es-ES"/>
              </w:rPr>
              <w:t xml:space="preserve"> del RR</w:t>
            </w:r>
          </w:p>
        </w:tc>
        <w:tc>
          <w:tcPr>
            <w:tcW w:w="2745" w:type="dxa"/>
          </w:tcPr>
          <w:p w14:paraId="7E9BDD8C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0" w:name="lt_pId029"/>
            <w:r w:rsidRPr="004B6824">
              <w:rPr>
                <w:lang w:val="es-ES"/>
              </w:rPr>
              <w:t>A4</w:t>
            </w:r>
            <w:bookmarkEnd w:id="20"/>
          </w:p>
        </w:tc>
      </w:tr>
      <w:tr w:rsidR="004B6824" w:rsidRPr="004B6824" w14:paraId="0A9E5DD9" w14:textId="77777777" w:rsidTr="0037467C">
        <w:tc>
          <w:tcPr>
            <w:tcW w:w="1345" w:type="dxa"/>
          </w:tcPr>
          <w:p w14:paraId="5F190CCC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1" w:name="lt_pId030"/>
            <w:r w:rsidRPr="004B6824">
              <w:rPr>
                <w:lang w:val="es-ES"/>
              </w:rPr>
              <w:t>E</w:t>
            </w:r>
            <w:bookmarkEnd w:id="21"/>
          </w:p>
        </w:tc>
        <w:tc>
          <w:tcPr>
            <w:tcW w:w="5539" w:type="dxa"/>
          </w:tcPr>
          <w:p w14:paraId="5F0CD429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 xml:space="preserve">Tema E: Resolución relativa al Apéndice </w:t>
            </w:r>
            <w:r w:rsidRPr="004B6824">
              <w:rPr>
                <w:b/>
                <w:bCs/>
                <w:lang w:val="es-ES"/>
              </w:rPr>
              <w:t>30B</w:t>
            </w:r>
            <w:r w:rsidRPr="004B6824">
              <w:rPr>
                <w:lang w:val="es-ES"/>
              </w:rPr>
              <w:t xml:space="preserve"> del RR</w:t>
            </w:r>
          </w:p>
        </w:tc>
        <w:tc>
          <w:tcPr>
            <w:tcW w:w="2745" w:type="dxa"/>
          </w:tcPr>
          <w:p w14:paraId="0A3411DF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2" w:name="lt_pId032"/>
            <w:r w:rsidRPr="004B6824">
              <w:rPr>
                <w:lang w:val="es-ES"/>
              </w:rPr>
              <w:t>A5</w:t>
            </w:r>
            <w:bookmarkEnd w:id="22"/>
          </w:p>
        </w:tc>
      </w:tr>
      <w:tr w:rsidR="004B6824" w:rsidRPr="004B6824" w14:paraId="3A0317E5" w14:textId="77777777" w:rsidTr="0037467C">
        <w:tc>
          <w:tcPr>
            <w:tcW w:w="1345" w:type="dxa"/>
          </w:tcPr>
          <w:p w14:paraId="78830C65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3" w:name="lt_pId033"/>
            <w:r w:rsidRPr="004B6824">
              <w:rPr>
                <w:lang w:val="es-ES"/>
              </w:rPr>
              <w:t>F</w:t>
            </w:r>
            <w:bookmarkEnd w:id="23"/>
          </w:p>
        </w:tc>
        <w:tc>
          <w:tcPr>
            <w:tcW w:w="5539" w:type="dxa"/>
          </w:tcPr>
          <w:p w14:paraId="567F723B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 xml:space="preserve">Tema F – Medidas para facilitar la incorporación de nuevas asignaciones a la Lista del Apéndice </w:t>
            </w:r>
            <w:r w:rsidRPr="004B6824">
              <w:rPr>
                <w:b/>
                <w:bCs/>
                <w:lang w:val="es-ES"/>
              </w:rPr>
              <w:t>30B</w:t>
            </w:r>
            <w:r w:rsidRPr="004B6824">
              <w:rPr>
                <w:lang w:val="es-ES"/>
              </w:rPr>
              <w:t xml:space="preserve"> del RR</w:t>
            </w:r>
          </w:p>
        </w:tc>
        <w:tc>
          <w:tcPr>
            <w:tcW w:w="2745" w:type="dxa"/>
          </w:tcPr>
          <w:p w14:paraId="724E1EDE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4" w:name="lt_pId035"/>
            <w:r w:rsidRPr="004B6824">
              <w:rPr>
                <w:lang w:val="es-ES"/>
              </w:rPr>
              <w:t>N</w:t>
            </w:r>
            <w:bookmarkEnd w:id="24"/>
            <w:r w:rsidR="0005180D">
              <w:rPr>
                <w:lang w:val="es-ES"/>
              </w:rPr>
              <w:t>inguno</w:t>
            </w:r>
          </w:p>
        </w:tc>
      </w:tr>
      <w:tr w:rsidR="004B6824" w:rsidRPr="004B6824" w14:paraId="750BC8CC" w14:textId="77777777" w:rsidTr="0037467C">
        <w:tc>
          <w:tcPr>
            <w:tcW w:w="1345" w:type="dxa"/>
          </w:tcPr>
          <w:p w14:paraId="23B87FBD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5" w:name="lt_pId036"/>
            <w:r w:rsidRPr="004B6824">
              <w:rPr>
                <w:lang w:val="es-ES"/>
              </w:rPr>
              <w:t>G</w:t>
            </w:r>
            <w:bookmarkEnd w:id="25"/>
          </w:p>
        </w:tc>
        <w:tc>
          <w:tcPr>
            <w:tcW w:w="5539" w:type="dxa"/>
          </w:tcPr>
          <w:p w14:paraId="78093D70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 xml:space="preserve">Tema G – Actualización de la situación de referencia para las redes de las Regiones 1 y 3 con arreglo a los Apéndices </w:t>
            </w:r>
            <w:r w:rsidRPr="004B6824">
              <w:rPr>
                <w:b/>
                <w:bCs/>
                <w:lang w:val="es-ES"/>
              </w:rPr>
              <w:t xml:space="preserve">30 </w:t>
            </w:r>
            <w:r w:rsidRPr="004B6824">
              <w:rPr>
                <w:lang w:val="es-ES"/>
              </w:rPr>
              <w:t xml:space="preserve">y </w:t>
            </w:r>
            <w:r w:rsidRPr="004B6824">
              <w:rPr>
                <w:b/>
                <w:bCs/>
                <w:lang w:val="es-ES"/>
              </w:rPr>
              <w:t>30A</w:t>
            </w:r>
            <w:r w:rsidRPr="004B6824">
              <w:rPr>
                <w:lang w:val="es-ES"/>
              </w:rPr>
              <w:t xml:space="preserve"> </w:t>
            </w:r>
            <w:r w:rsidRPr="004B6824">
              <w:rPr>
                <w:lang w:val="es-ES"/>
              </w:rPr>
              <w:lastRenderedPageBreak/>
              <w:t>del RR cuando las asignaciones inscritas a título provisional pasan a ser asignaciones inscritas definitivas</w:t>
            </w:r>
          </w:p>
        </w:tc>
        <w:tc>
          <w:tcPr>
            <w:tcW w:w="2745" w:type="dxa"/>
          </w:tcPr>
          <w:p w14:paraId="1586F258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6" w:name="lt_pId038"/>
            <w:r w:rsidRPr="004B6824">
              <w:rPr>
                <w:lang w:val="es-ES"/>
              </w:rPr>
              <w:lastRenderedPageBreak/>
              <w:t>N</w:t>
            </w:r>
            <w:bookmarkEnd w:id="26"/>
            <w:r w:rsidR="0005180D">
              <w:rPr>
                <w:lang w:val="es-ES"/>
              </w:rPr>
              <w:t>inguno</w:t>
            </w:r>
          </w:p>
        </w:tc>
      </w:tr>
      <w:tr w:rsidR="004B6824" w:rsidRPr="004B6824" w14:paraId="6AEBBDE3" w14:textId="77777777" w:rsidTr="0037467C">
        <w:tc>
          <w:tcPr>
            <w:tcW w:w="1345" w:type="dxa"/>
          </w:tcPr>
          <w:p w14:paraId="6023281A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7" w:name="lt_pId039"/>
            <w:r w:rsidRPr="004B6824">
              <w:rPr>
                <w:lang w:val="es-ES"/>
              </w:rPr>
              <w:t>H</w:t>
            </w:r>
            <w:bookmarkEnd w:id="27"/>
          </w:p>
        </w:tc>
        <w:tc>
          <w:tcPr>
            <w:tcW w:w="5539" w:type="dxa"/>
          </w:tcPr>
          <w:p w14:paraId="3FC66029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 xml:space="preserve">Tema H – Modificación de los puntos del Apéndice </w:t>
            </w:r>
            <w:r w:rsidRPr="004B6824">
              <w:rPr>
                <w:b/>
                <w:bCs/>
                <w:lang w:val="es-ES"/>
              </w:rPr>
              <w:t>4</w:t>
            </w:r>
            <w:r w:rsidRPr="004B6824">
              <w:rPr>
                <w:lang w:val="es-ES"/>
              </w:rPr>
              <w:t xml:space="preserve"> del RR que han de proporcionarse en relación con los sistemas de satélites de órbita no geoestacionaria</w:t>
            </w:r>
          </w:p>
        </w:tc>
        <w:tc>
          <w:tcPr>
            <w:tcW w:w="2745" w:type="dxa"/>
          </w:tcPr>
          <w:p w14:paraId="3863E242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8" w:name="lt_pId041"/>
            <w:r w:rsidRPr="004B6824">
              <w:rPr>
                <w:lang w:val="es-ES"/>
              </w:rPr>
              <w:t>A8</w:t>
            </w:r>
            <w:bookmarkEnd w:id="28"/>
          </w:p>
        </w:tc>
      </w:tr>
      <w:tr w:rsidR="004B6824" w:rsidRPr="004B6824" w14:paraId="53F46199" w14:textId="77777777" w:rsidTr="0037467C">
        <w:tc>
          <w:tcPr>
            <w:tcW w:w="1345" w:type="dxa"/>
          </w:tcPr>
          <w:p w14:paraId="70E0AB57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29" w:name="lt_pId042"/>
            <w:r w:rsidRPr="004B6824">
              <w:rPr>
                <w:lang w:val="es-ES"/>
              </w:rPr>
              <w:t>I</w:t>
            </w:r>
            <w:bookmarkEnd w:id="29"/>
          </w:p>
        </w:tc>
        <w:tc>
          <w:tcPr>
            <w:tcW w:w="5539" w:type="dxa"/>
          </w:tcPr>
          <w:p w14:paraId="761A2ECD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>Tema I – Procedimiento normativo modificado para los sistemas de satélites no OSG con misiones de corta duración</w:t>
            </w:r>
          </w:p>
        </w:tc>
        <w:tc>
          <w:tcPr>
            <w:tcW w:w="2745" w:type="dxa"/>
          </w:tcPr>
          <w:p w14:paraId="65825499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30" w:name="lt_pId044"/>
            <w:r w:rsidRPr="004B6824">
              <w:rPr>
                <w:lang w:val="es-ES"/>
              </w:rPr>
              <w:t>A9</w:t>
            </w:r>
            <w:bookmarkEnd w:id="30"/>
          </w:p>
        </w:tc>
      </w:tr>
      <w:tr w:rsidR="004B6824" w:rsidRPr="004B6824" w14:paraId="62975B17" w14:textId="77777777" w:rsidTr="0037467C">
        <w:tc>
          <w:tcPr>
            <w:tcW w:w="1345" w:type="dxa"/>
          </w:tcPr>
          <w:p w14:paraId="615119A0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31" w:name="lt_pId045"/>
            <w:r w:rsidRPr="004B6824">
              <w:rPr>
                <w:lang w:val="es-ES"/>
              </w:rPr>
              <w:t>J</w:t>
            </w:r>
            <w:bookmarkEnd w:id="31"/>
          </w:p>
        </w:tc>
        <w:tc>
          <w:tcPr>
            <w:tcW w:w="5539" w:type="dxa"/>
          </w:tcPr>
          <w:p w14:paraId="7F50F04E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>Tema J – Límite de dfp en la Sección 1 del Anexo 1 al Apéndice </w:t>
            </w:r>
            <w:r w:rsidRPr="004B6824">
              <w:rPr>
                <w:b/>
                <w:bCs/>
                <w:lang w:val="es-ES"/>
              </w:rPr>
              <w:t>30</w:t>
            </w:r>
            <w:r w:rsidRPr="004B6824">
              <w:rPr>
                <w:lang w:val="es-ES"/>
              </w:rPr>
              <w:t xml:space="preserve"> del RR</w:t>
            </w:r>
          </w:p>
        </w:tc>
        <w:tc>
          <w:tcPr>
            <w:tcW w:w="2745" w:type="dxa"/>
          </w:tcPr>
          <w:p w14:paraId="5F1FD0BA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32" w:name="lt_pId047"/>
            <w:r w:rsidRPr="004B6824">
              <w:rPr>
                <w:lang w:val="es-ES"/>
              </w:rPr>
              <w:t>N</w:t>
            </w:r>
            <w:bookmarkEnd w:id="32"/>
            <w:r w:rsidR="0005180D">
              <w:rPr>
                <w:lang w:val="es-ES"/>
              </w:rPr>
              <w:t>inguno</w:t>
            </w:r>
          </w:p>
        </w:tc>
      </w:tr>
      <w:tr w:rsidR="004B6824" w:rsidRPr="004B6824" w14:paraId="52470781" w14:textId="77777777" w:rsidTr="0037467C">
        <w:tc>
          <w:tcPr>
            <w:tcW w:w="1345" w:type="dxa"/>
          </w:tcPr>
          <w:p w14:paraId="638E744B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33" w:name="lt_pId048"/>
            <w:r w:rsidRPr="004B6824">
              <w:rPr>
                <w:lang w:val="es-ES"/>
              </w:rPr>
              <w:t>K</w:t>
            </w:r>
            <w:bookmarkEnd w:id="33"/>
          </w:p>
        </w:tc>
        <w:tc>
          <w:tcPr>
            <w:tcW w:w="5539" w:type="dxa"/>
          </w:tcPr>
          <w:p w14:paraId="6B105382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r w:rsidRPr="004B6824">
              <w:rPr>
                <w:lang w:val="es-ES"/>
              </w:rPr>
              <w:t xml:space="preserve">Tema K – Dificultades para realizar el examen de la Parte B con arreglo a los § 4.1.12 </w:t>
            </w:r>
            <w:proofErr w:type="spellStart"/>
            <w:r w:rsidRPr="004B6824">
              <w:rPr>
                <w:lang w:val="es-ES"/>
              </w:rPr>
              <w:t>ó</w:t>
            </w:r>
            <w:proofErr w:type="spellEnd"/>
            <w:r w:rsidRPr="004B6824">
              <w:rPr>
                <w:lang w:val="es-ES"/>
              </w:rPr>
              <w:t xml:space="preserve"> 4.2.16 de los Apéndices </w:t>
            </w:r>
            <w:r w:rsidRPr="004B6824">
              <w:rPr>
                <w:b/>
                <w:bCs/>
                <w:lang w:val="es-ES"/>
              </w:rPr>
              <w:t>30</w:t>
            </w:r>
            <w:r w:rsidRPr="004B6824">
              <w:rPr>
                <w:lang w:val="es-ES"/>
              </w:rPr>
              <w:t xml:space="preserve"> y </w:t>
            </w:r>
            <w:r w:rsidRPr="004B6824">
              <w:rPr>
                <w:b/>
                <w:bCs/>
                <w:lang w:val="es-ES"/>
              </w:rPr>
              <w:t>30A</w:t>
            </w:r>
            <w:r w:rsidRPr="004B6824">
              <w:rPr>
                <w:lang w:val="es-ES"/>
              </w:rPr>
              <w:t xml:space="preserve"> del RR y al § 6.21 </w:t>
            </w:r>
            <w:r w:rsidRPr="004B6824">
              <w:rPr>
                <w:i/>
                <w:iCs/>
                <w:lang w:val="es-ES"/>
              </w:rPr>
              <w:t>c)</w:t>
            </w:r>
            <w:r w:rsidRPr="004B6824">
              <w:rPr>
                <w:lang w:val="es-ES"/>
              </w:rPr>
              <w:t xml:space="preserve"> del Apéndice </w:t>
            </w:r>
            <w:r w:rsidRPr="004B6824">
              <w:rPr>
                <w:b/>
                <w:bCs/>
                <w:lang w:val="es-ES"/>
              </w:rPr>
              <w:t>30B</w:t>
            </w:r>
            <w:r w:rsidRPr="004B6824">
              <w:rPr>
                <w:lang w:val="es-ES"/>
              </w:rPr>
              <w:t xml:space="preserve"> del RR</w:t>
            </w:r>
          </w:p>
        </w:tc>
        <w:tc>
          <w:tcPr>
            <w:tcW w:w="2745" w:type="dxa"/>
          </w:tcPr>
          <w:p w14:paraId="6C60A280" w14:textId="77777777" w:rsidR="004B6824" w:rsidRPr="004B6824" w:rsidRDefault="004B6824" w:rsidP="00C51C0A">
            <w:pPr>
              <w:pStyle w:val="Tabletext"/>
              <w:rPr>
                <w:lang w:val="es-ES"/>
              </w:rPr>
            </w:pPr>
            <w:bookmarkStart w:id="34" w:name="lt_pId050"/>
            <w:r w:rsidRPr="004B6824">
              <w:rPr>
                <w:lang w:val="es-ES"/>
              </w:rPr>
              <w:t>A11</w:t>
            </w:r>
            <w:bookmarkEnd w:id="34"/>
          </w:p>
        </w:tc>
      </w:tr>
    </w:tbl>
    <w:p w14:paraId="09F7B536" w14:textId="77777777" w:rsidR="004B6824" w:rsidRDefault="004B6824" w:rsidP="00411C49">
      <w:pPr>
        <w:pStyle w:val="Reasons"/>
      </w:pPr>
    </w:p>
    <w:p w14:paraId="7EEF87D2" w14:textId="77777777" w:rsidR="000E45E1" w:rsidRDefault="004B6824" w:rsidP="004B6824">
      <w:pPr>
        <w:jc w:val="center"/>
      </w:pPr>
      <w:r>
        <w:t>______________</w:t>
      </w:r>
    </w:p>
    <w:sectPr w:rsidR="000E45E1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AD5AB" w14:textId="77777777" w:rsidR="00D6559F" w:rsidRDefault="00D6559F">
      <w:r>
        <w:separator/>
      </w:r>
    </w:p>
  </w:endnote>
  <w:endnote w:type="continuationSeparator" w:id="0">
    <w:p w14:paraId="2422EE6F" w14:textId="77777777" w:rsidR="00D6559F" w:rsidRDefault="00D6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3DF1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145DA" w14:textId="3F721FD3" w:rsidR="0077084A" w:rsidRPr="004B6824" w:rsidRDefault="0077084A">
    <w:pPr>
      <w:ind w:right="360"/>
    </w:pPr>
    <w:r>
      <w:fldChar w:fldCharType="begin"/>
    </w:r>
    <w:r w:rsidRPr="004B6824">
      <w:instrText xml:space="preserve"> FILENAME \p  \* MERGEFORMAT </w:instrText>
    </w:r>
    <w:r>
      <w:fldChar w:fldCharType="separate"/>
    </w:r>
    <w:r w:rsidR="004B6824" w:rsidRPr="004B6824">
      <w:rPr>
        <w:noProof/>
      </w:rPr>
      <w:t>P:\ESP\ITU-R\CONF-R\CMR19\000\024ADD19S.docx</w:t>
    </w:r>
    <w:r>
      <w:fldChar w:fldCharType="end"/>
    </w:r>
    <w:r w:rsidRPr="004B6824">
      <w:tab/>
    </w:r>
    <w:r>
      <w:fldChar w:fldCharType="begin"/>
    </w:r>
    <w:r>
      <w:instrText xml:space="preserve"> SAVEDATE \@ DD.MM.YY </w:instrText>
    </w:r>
    <w:r>
      <w:fldChar w:fldCharType="separate"/>
    </w:r>
    <w:r w:rsidR="00C51C0A">
      <w:rPr>
        <w:noProof/>
      </w:rPr>
      <w:t>30.09.19</w:t>
    </w:r>
    <w:r>
      <w:fldChar w:fldCharType="end"/>
    </w:r>
    <w:r w:rsidRPr="004B6824">
      <w:tab/>
    </w:r>
    <w:r>
      <w:fldChar w:fldCharType="begin"/>
    </w:r>
    <w:r>
      <w:instrText xml:space="preserve"> PRINTDATE \@ DD.MM.YY </w:instrText>
    </w:r>
    <w:r>
      <w:fldChar w:fldCharType="separate"/>
    </w:r>
    <w:r w:rsidR="004B6824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3A0B9" w14:textId="77777777" w:rsidR="0077084A" w:rsidRPr="004B6824" w:rsidRDefault="002929BA" w:rsidP="004B6824">
    <w:pPr>
      <w:pStyle w:val="Footer"/>
    </w:pPr>
    <w:fldSimple w:instr=" FILENAME \p  \* MERGEFORMAT ">
      <w:r w:rsidR="004B6824">
        <w:t>P:\ESP\ITU-R\CONF-R\CMR19\000\024ADD19S.docx</w:t>
      </w:r>
    </w:fldSimple>
    <w:r w:rsidR="004B6824">
      <w:t xml:space="preserve"> (461131)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CA0D6" w14:textId="77777777" w:rsidR="0077084A" w:rsidRPr="004B6824" w:rsidRDefault="002929BA" w:rsidP="004B6824">
    <w:pPr>
      <w:pStyle w:val="Footer"/>
    </w:pPr>
    <w:fldSimple w:instr=" FILENAME \p  \* MERGEFORMAT ">
      <w:r w:rsidR="004B6824">
        <w:t>P:\ESP\ITU-R\CONF-R\CMR19\000\024ADD19S.docx</w:t>
      </w:r>
    </w:fldSimple>
    <w:r w:rsidR="004B6824">
      <w:t xml:space="preserve"> (461131)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ABC62" w14:textId="77777777" w:rsidR="00D6559F" w:rsidRDefault="00D6559F">
      <w:r>
        <w:rPr>
          <w:b/>
        </w:rPr>
        <w:t>_______________</w:t>
      </w:r>
    </w:p>
  </w:footnote>
  <w:footnote w:type="continuationSeparator" w:id="0">
    <w:p w14:paraId="00D9B1C3" w14:textId="77777777" w:rsidR="00D6559F" w:rsidRDefault="00D6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0BB3D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9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6BC117" w14:textId="77777777" w:rsidR="0077084A" w:rsidRDefault="004B6824" w:rsidP="00A4450C">
    <w:pPr>
      <w:pStyle w:val="Header"/>
      <w:rPr>
        <w:lang w:val="en-US"/>
      </w:rPr>
    </w:pPr>
    <w:r>
      <w:rPr>
        <w:lang w:val="en-US"/>
      </w:rPr>
      <w:t>CMR19/24(Add.19)</w:t>
    </w:r>
    <w:r w:rsidR="00C918CF">
      <w:rPr>
        <w:lang w:val="en-U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9F"/>
    <w:rsid w:val="0005180D"/>
    <w:rsid w:val="00087AE8"/>
    <w:rsid w:val="000D1059"/>
    <w:rsid w:val="000E45E1"/>
    <w:rsid w:val="000E5BF9"/>
    <w:rsid w:val="000F051D"/>
    <w:rsid w:val="000F0E6D"/>
    <w:rsid w:val="00121170"/>
    <w:rsid w:val="00123CC5"/>
    <w:rsid w:val="0015142D"/>
    <w:rsid w:val="001616DC"/>
    <w:rsid w:val="00163962"/>
    <w:rsid w:val="00191A97"/>
    <w:rsid w:val="001C41FA"/>
    <w:rsid w:val="001E2B52"/>
    <w:rsid w:val="001E3F27"/>
    <w:rsid w:val="001F026E"/>
    <w:rsid w:val="00236D2A"/>
    <w:rsid w:val="00255F12"/>
    <w:rsid w:val="00262C09"/>
    <w:rsid w:val="00280126"/>
    <w:rsid w:val="002929BA"/>
    <w:rsid w:val="002A791F"/>
    <w:rsid w:val="002C1B26"/>
    <w:rsid w:val="002E701F"/>
    <w:rsid w:val="0032680B"/>
    <w:rsid w:val="00363A65"/>
    <w:rsid w:val="00377704"/>
    <w:rsid w:val="003C2508"/>
    <w:rsid w:val="003D0AA3"/>
    <w:rsid w:val="0044541C"/>
    <w:rsid w:val="00454553"/>
    <w:rsid w:val="004B124A"/>
    <w:rsid w:val="004B27EC"/>
    <w:rsid w:val="004B6824"/>
    <w:rsid w:val="00532097"/>
    <w:rsid w:val="00543B1A"/>
    <w:rsid w:val="0058350F"/>
    <w:rsid w:val="005B479B"/>
    <w:rsid w:val="005F2605"/>
    <w:rsid w:val="00662BA0"/>
    <w:rsid w:val="00692AAE"/>
    <w:rsid w:val="006D6E67"/>
    <w:rsid w:val="00701C20"/>
    <w:rsid w:val="007354E9"/>
    <w:rsid w:val="00752C84"/>
    <w:rsid w:val="007542C0"/>
    <w:rsid w:val="00765578"/>
    <w:rsid w:val="0077084A"/>
    <w:rsid w:val="007C2317"/>
    <w:rsid w:val="007D330A"/>
    <w:rsid w:val="00866AE6"/>
    <w:rsid w:val="0094091F"/>
    <w:rsid w:val="009538D2"/>
    <w:rsid w:val="00973754"/>
    <w:rsid w:val="009A599E"/>
    <w:rsid w:val="009C0BED"/>
    <w:rsid w:val="009E11EC"/>
    <w:rsid w:val="009F6FD5"/>
    <w:rsid w:val="00A118DB"/>
    <w:rsid w:val="00A4450C"/>
    <w:rsid w:val="00AA5E6C"/>
    <w:rsid w:val="00AE5677"/>
    <w:rsid w:val="00AF2F78"/>
    <w:rsid w:val="00B52D55"/>
    <w:rsid w:val="00B95DD9"/>
    <w:rsid w:val="00BE2E80"/>
    <w:rsid w:val="00BE5EDD"/>
    <w:rsid w:val="00BE6A1F"/>
    <w:rsid w:val="00C104EC"/>
    <w:rsid w:val="00C126C4"/>
    <w:rsid w:val="00C51C0A"/>
    <w:rsid w:val="00C63EB5"/>
    <w:rsid w:val="00C8286D"/>
    <w:rsid w:val="00C918CF"/>
    <w:rsid w:val="00CC01E0"/>
    <w:rsid w:val="00CE60D2"/>
    <w:rsid w:val="00D0288A"/>
    <w:rsid w:val="00D04D3F"/>
    <w:rsid w:val="00D405F7"/>
    <w:rsid w:val="00D6559F"/>
    <w:rsid w:val="00D72A5D"/>
    <w:rsid w:val="00DC629B"/>
    <w:rsid w:val="00E262F1"/>
    <w:rsid w:val="00E71D14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709563B"/>
  <w15:docId w15:val="{9D3D45AC-D912-4FC2-BBA6-2AA76BFC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86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C8286D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8286D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8286D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8286D"/>
    <w:pPr>
      <w:outlineLvl w:val="3"/>
    </w:pPr>
  </w:style>
  <w:style w:type="paragraph" w:styleId="Heading5">
    <w:name w:val="heading 5"/>
    <w:basedOn w:val="Heading4"/>
    <w:next w:val="Normal"/>
    <w:qFormat/>
    <w:rsid w:val="00C8286D"/>
    <w:pPr>
      <w:outlineLvl w:val="4"/>
    </w:pPr>
  </w:style>
  <w:style w:type="paragraph" w:styleId="Heading6">
    <w:name w:val="heading 6"/>
    <w:basedOn w:val="Heading4"/>
    <w:next w:val="Normal"/>
    <w:qFormat/>
    <w:rsid w:val="00C8286D"/>
    <w:pPr>
      <w:outlineLvl w:val="5"/>
    </w:pPr>
  </w:style>
  <w:style w:type="paragraph" w:styleId="Heading7">
    <w:name w:val="heading 7"/>
    <w:basedOn w:val="Heading6"/>
    <w:next w:val="Normal"/>
    <w:qFormat/>
    <w:rsid w:val="00C8286D"/>
    <w:pPr>
      <w:outlineLvl w:val="6"/>
    </w:pPr>
  </w:style>
  <w:style w:type="paragraph" w:styleId="Heading8">
    <w:name w:val="heading 8"/>
    <w:basedOn w:val="Heading6"/>
    <w:next w:val="Normal"/>
    <w:qFormat/>
    <w:rsid w:val="00C8286D"/>
    <w:pPr>
      <w:outlineLvl w:val="7"/>
    </w:pPr>
  </w:style>
  <w:style w:type="paragraph" w:styleId="Heading9">
    <w:name w:val="heading 9"/>
    <w:basedOn w:val="Heading6"/>
    <w:next w:val="Normal"/>
    <w:qFormat/>
    <w:rsid w:val="00C828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C8286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C8286D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C8286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C8286D"/>
  </w:style>
  <w:style w:type="paragraph" w:customStyle="1" w:styleId="Appendixref">
    <w:name w:val="Appendix_ref"/>
    <w:basedOn w:val="Annexref"/>
    <w:next w:val="Annextitle"/>
    <w:rsid w:val="00C8286D"/>
  </w:style>
  <w:style w:type="paragraph" w:customStyle="1" w:styleId="Appendixtitle">
    <w:name w:val="Appendix_title"/>
    <w:basedOn w:val="Annextitle"/>
    <w:next w:val="Normalaftertitle"/>
    <w:rsid w:val="00C8286D"/>
  </w:style>
  <w:style w:type="paragraph" w:customStyle="1" w:styleId="Artheading">
    <w:name w:val="Art_heading"/>
    <w:basedOn w:val="Normal"/>
    <w:next w:val="Normalaftertitle"/>
    <w:rsid w:val="00C8286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C8286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8286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8286D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C8286D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C8286D"/>
  </w:style>
  <w:style w:type="paragraph" w:customStyle="1" w:styleId="ddate">
    <w:name w:val="ddate"/>
    <w:basedOn w:val="Normal"/>
    <w:rsid w:val="00C8286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C8286D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C8286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C8286D"/>
    <w:rPr>
      <w:vertAlign w:val="superscript"/>
    </w:rPr>
  </w:style>
  <w:style w:type="paragraph" w:customStyle="1" w:styleId="enumlev1">
    <w:name w:val="enumlev1"/>
    <w:basedOn w:val="Normal"/>
    <w:rsid w:val="00C8286D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C8286D"/>
    <w:pPr>
      <w:ind w:left="1871" w:hanging="737"/>
    </w:pPr>
  </w:style>
  <w:style w:type="paragraph" w:customStyle="1" w:styleId="enumlev3">
    <w:name w:val="enumlev3"/>
    <w:basedOn w:val="enumlev2"/>
    <w:rsid w:val="00C8286D"/>
    <w:pPr>
      <w:ind w:left="2268" w:hanging="397"/>
    </w:pPr>
  </w:style>
  <w:style w:type="paragraph" w:customStyle="1" w:styleId="Equation">
    <w:name w:val="Equation"/>
    <w:basedOn w:val="Normal"/>
    <w:rsid w:val="00C8286D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C8286D"/>
    <w:pPr>
      <w:ind w:left="1134"/>
    </w:pPr>
  </w:style>
  <w:style w:type="paragraph" w:customStyle="1" w:styleId="Equationlegend">
    <w:name w:val="Equation_legend"/>
    <w:basedOn w:val="NormalIndent"/>
    <w:rsid w:val="00C8286D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C8286D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8286D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44541C"/>
    <w:pPr>
      <w:spacing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C8286D"/>
    <w:pPr>
      <w:keepNext w:val="0"/>
    </w:pPr>
  </w:style>
  <w:style w:type="paragraph" w:styleId="Footer">
    <w:name w:val="footer"/>
    <w:basedOn w:val="Normal"/>
    <w:rsid w:val="00C8286D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8286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8286D"/>
    <w:rPr>
      <w:position w:val="6"/>
      <w:sz w:val="18"/>
    </w:rPr>
  </w:style>
  <w:style w:type="paragraph" w:styleId="FootnoteText">
    <w:name w:val="footnote text"/>
    <w:basedOn w:val="Normal"/>
    <w:rsid w:val="00C8286D"/>
    <w:pPr>
      <w:keepLines/>
      <w:tabs>
        <w:tab w:val="left" w:pos="255"/>
      </w:tabs>
    </w:pPr>
  </w:style>
  <w:style w:type="paragraph" w:styleId="Header">
    <w:name w:val="header"/>
    <w:basedOn w:val="Normal"/>
    <w:rsid w:val="00C8286D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286D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C8286D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C8286D"/>
  </w:style>
  <w:style w:type="paragraph" w:styleId="Index2">
    <w:name w:val="index 2"/>
    <w:basedOn w:val="Normal"/>
    <w:next w:val="Normal"/>
    <w:semiHidden/>
    <w:rsid w:val="00C8286D"/>
    <w:pPr>
      <w:ind w:left="283"/>
    </w:pPr>
  </w:style>
  <w:style w:type="paragraph" w:styleId="Index3">
    <w:name w:val="index 3"/>
    <w:basedOn w:val="Normal"/>
    <w:next w:val="Normal"/>
    <w:semiHidden/>
    <w:rsid w:val="00C8286D"/>
    <w:pPr>
      <w:ind w:left="566"/>
    </w:pPr>
  </w:style>
  <w:style w:type="paragraph" w:styleId="Index4">
    <w:name w:val="index 4"/>
    <w:basedOn w:val="Normal"/>
    <w:next w:val="Normal"/>
    <w:semiHidden/>
    <w:rsid w:val="00C8286D"/>
    <w:pPr>
      <w:ind w:left="849"/>
    </w:pPr>
  </w:style>
  <w:style w:type="paragraph" w:styleId="Index5">
    <w:name w:val="index 5"/>
    <w:basedOn w:val="Normal"/>
    <w:next w:val="Normal"/>
    <w:semiHidden/>
    <w:rsid w:val="00C8286D"/>
    <w:pPr>
      <w:ind w:left="1132"/>
    </w:pPr>
  </w:style>
  <w:style w:type="paragraph" w:styleId="Index6">
    <w:name w:val="index 6"/>
    <w:basedOn w:val="Normal"/>
    <w:next w:val="Normal"/>
    <w:semiHidden/>
    <w:rsid w:val="00C8286D"/>
    <w:pPr>
      <w:ind w:left="1415"/>
    </w:pPr>
  </w:style>
  <w:style w:type="paragraph" w:styleId="Index7">
    <w:name w:val="index 7"/>
    <w:basedOn w:val="Normal"/>
    <w:next w:val="Normal"/>
    <w:semiHidden/>
    <w:rsid w:val="00C8286D"/>
    <w:pPr>
      <w:ind w:left="1698"/>
    </w:pPr>
  </w:style>
  <w:style w:type="paragraph" w:styleId="IndexHeading">
    <w:name w:val="index heading"/>
    <w:basedOn w:val="Normal"/>
    <w:next w:val="Index1"/>
    <w:semiHidden/>
    <w:rsid w:val="00C8286D"/>
  </w:style>
  <w:style w:type="character" w:styleId="LineNumber">
    <w:name w:val="line number"/>
    <w:basedOn w:val="DefaultParagraphFont"/>
    <w:rsid w:val="00C8286D"/>
  </w:style>
  <w:style w:type="paragraph" w:customStyle="1" w:styleId="Normalaftertitle">
    <w:name w:val="Normal after title"/>
    <w:basedOn w:val="Normal"/>
    <w:next w:val="Normal"/>
    <w:rsid w:val="00C8286D"/>
    <w:pPr>
      <w:spacing w:before="280"/>
    </w:pPr>
  </w:style>
  <w:style w:type="paragraph" w:customStyle="1" w:styleId="Note">
    <w:name w:val="Note"/>
    <w:basedOn w:val="Normal"/>
    <w:rsid w:val="00C8286D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rsid w:val="00C8286D"/>
  </w:style>
  <w:style w:type="paragraph" w:customStyle="1" w:styleId="Parttitle">
    <w:name w:val="Part_title"/>
    <w:basedOn w:val="Annextitle"/>
    <w:next w:val="Normalaftertitle"/>
    <w:rsid w:val="00C8286D"/>
  </w:style>
  <w:style w:type="paragraph" w:customStyle="1" w:styleId="RecNo">
    <w:name w:val="Rec_No"/>
    <w:basedOn w:val="Normal"/>
    <w:next w:val="Rectitle"/>
    <w:rsid w:val="00C8286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C8286D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C8286D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8286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8286D"/>
  </w:style>
  <w:style w:type="paragraph" w:customStyle="1" w:styleId="QuestionNo">
    <w:name w:val="Question_No"/>
    <w:basedOn w:val="RecNo"/>
    <w:next w:val="Questiontitle"/>
    <w:rsid w:val="00C8286D"/>
  </w:style>
  <w:style w:type="paragraph" w:customStyle="1" w:styleId="Questiontitle">
    <w:name w:val="Question_title"/>
    <w:basedOn w:val="Rectitle"/>
    <w:next w:val="Normal"/>
    <w:rsid w:val="00C8286D"/>
  </w:style>
  <w:style w:type="paragraph" w:customStyle="1" w:styleId="Reftext">
    <w:name w:val="Ref_text"/>
    <w:basedOn w:val="Normal"/>
    <w:rsid w:val="00C8286D"/>
    <w:pPr>
      <w:ind w:left="1134" w:hanging="1134"/>
    </w:pPr>
  </w:style>
  <w:style w:type="paragraph" w:customStyle="1" w:styleId="Reftitle">
    <w:name w:val="Ref_title"/>
    <w:basedOn w:val="Normal"/>
    <w:next w:val="Reftext"/>
    <w:rsid w:val="00C8286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8286D"/>
  </w:style>
  <w:style w:type="paragraph" w:customStyle="1" w:styleId="RepNo">
    <w:name w:val="Rep_No"/>
    <w:basedOn w:val="RecNo"/>
    <w:next w:val="Reptitle"/>
    <w:rsid w:val="00C8286D"/>
  </w:style>
  <w:style w:type="paragraph" w:customStyle="1" w:styleId="Repref">
    <w:name w:val="Rep_ref"/>
    <w:basedOn w:val="Recref"/>
    <w:next w:val="Repdate"/>
    <w:rsid w:val="00C8286D"/>
  </w:style>
  <w:style w:type="paragraph" w:customStyle="1" w:styleId="Reptitle">
    <w:name w:val="Rep_title"/>
    <w:basedOn w:val="Rectitle"/>
    <w:next w:val="Repref"/>
    <w:rsid w:val="00C8286D"/>
  </w:style>
  <w:style w:type="paragraph" w:customStyle="1" w:styleId="Resdate">
    <w:name w:val="Res_date"/>
    <w:basedOn w:val="Recdate"/>
    <w:next w:val="Normalaftertitle"/>
    <w:rsid w:val="00C8286D"/>
  </w:style>
  <w:style w:type="paragraph" w:customStyle="1" w:styleId="ResNo">
    <w:name w:val="Res_No"/>
    <w:basedOn w:val="RecNo"/>
    <w:next w:val="Normal"/>
    <w:rsid w:val="00C8286D"/>
  </w:style>
  <w:style w:type="paragraph" w:customStyle="1" w:styleId="Resref">
    <w:name w:val="Res_ref"/>
    <w:basedOn w:val="Recref"/>
    <w:next w:val="Resdate"/>
    <w:rsid w:val="00C8286D"/>
  </w:style>
  <w:style w:type="character" w:customStyle="1" w:styleId="Appdef">
    <w:name w:val="App_def"/>
    <w:basedOn w:val="DefaultParagraphFont"/>
    <w:rsid w:val="00C8286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8286D"/>
  </w:style>
  <w:style w:type="character" w:customStyle="1" w:styleId="Artdef">
    <w:name w:val="Art_def"/>
    <w:basedOn w:val="DefaultParagraphFont"/>
    <w:rsid w:val="00C8286D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8286D"/>
  </w:style>
  <w:style w:type="character" w:customStyle="1" w:styleId="Recdef">
    <w:name w:val="Rec_def"/>
    <w:basedOn w:val="DefaultParagraphFont"/>
    <w:rsid w:val="00C8286D"/>
    <w:rPr>
      <w:b/>
    </w:rPr>
  </w:style>
  <w:style w:type="character" w:customStyle="1" w:styleId="Resdef">
    <w:name w:val="Res_def"/>
    <w:basedOn w:val="DefaultParagraphFont"/>
    <w:rsid w:val="00C8286D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C8286D"/>
  </w:style>
  <w:style w:type="paragraph" w:customStyle="1" w:styleId="Reasons">
    <w:name w:val="Reasons"/>
    <w:basedOn w:val="Normal"/>
    <w:qFormat/>
    <w:rsid w:val="00C8286D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C8286D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sid w:val="00C8286D"/>
    <w:rPr>
      <w:sz w:val="16"/>
      <w:szCs w:val="16"/>
    </w:rPr>
  </w:style>
  <w:style w:type="paragraph" w:customStyle="1" w:styleId="Proposal">
    <w:name w:val="Proposal"/>
    <w:basedOn w:val="Normal"/>
    <w:next w:val="Normal"/>
    <w:rsid w:val="00C8286D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sid w:val="00C8286D"/>
    <w:rPr>
      <w:sz w:val="20"/>
    </w:rPr>
  </w:style>
  <w:style w:type="paragraph" w:customStyle="1" w:styleId="Figure">
    <w:name w:val="Figure"/>
    <w:basedOn w:val="Normal"/>
    <w:next w:val="Figuretitle"/>
    <w:rsid w:val="00C8286D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C8286D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C8286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C8286D"/>
  </w:style>
  <w:style w:type="paragraph" w:customStyle="1" w:styleId="ApptoAnnex">
    <w:name w:val="App_to_Annex"/>
    <w:basedOn w:val="AppendixNo"/>
    <w:qFormat/>
    <w:rsid w:val="00C8286D"/>
  </w:style>
  <w:style w:type="character" w:customStyle="1" w:styleId="Tablefreq">
    <w:name w:val="Table_freq"/>
    <w:basedOn w:val="DefaultParagraphFont"/>
    <w:rsid w:val="00C8286D"/>
    <w:rPr>
      <w:b/>
      <w:color w:val="auto"/>
      <w:sz w:val="20"/>
    </w:rPr>
  </w:style>
  <w:style w:type="paragraph" w:customStyle="1" w:styleId="Tabletext">
    <w:name w:val="Table_text"/>
    <w:basedOn w:val="Normal"/>
    <w:rsid w:val="00C8286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C8286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C8286D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C8286D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C8286D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C104EC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C8286D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C8286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C8286D"/>
    <w:rPr>
      <w:b w:val="0"/>
      <w:i/>
    </w:rPr>
  </w:style>
  <w:style w:type="paragraph" w:customStyle="1" w:styleId="Section3">
    <w:name w:val="Section_3"/>
    <w:basedOn w:val="Section1"/>
    <w:rsid w:val="00C8286D"/>
    <w:rPr>
      <w:b w:val="0"/>
    </w:rPr>
  </w:style>
  <w:style w:type="paragraph" w:customStyle="1" w:styleId="SectionNo">
    <w:name w:val="Section_No"/>
    <w:basedOn w:val="AnnexNo"/>
    <w:next w:val="Normal"/>
    <w:rsid w:val="00C8286D"/>
  </w:style>
  <w:style w:type="paragraph" w:customStyle="1" w:styleId="Sectiontitle">
    <w:name w:val="Section_title"/>
    <w:basedOn w:val="Annextitle"/>
    <w:next w:val="Normalaftertitle"/>
    <w:rsid w:val="00C8286D"/>
  </w:style>
  <w:style w:type="paragraph" w:customStyle="1" w:styleId="Source">
    <w:name w:val="Source"/>
    <w:basedOn w:val="Normal"/>
    <w:next w:val="Normal"/>
    <w:rsid w:val="00C8286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C8286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8286D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8286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8286D"/>
    <w:rPr>
      <w:b/>
    </w:rPr>
  </w:style>
  <w:style w:type="paragraph" w:customStyle="1" w:styleId="toc0">
    <w:name w:val="toc 0"/>
    <w:basedOn w:val="Normal"/>
    <w:next w:val="TOC1"/>
    <w:rsid w:val="00C8286D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8286D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8286D"/>
    <w:pPr>
      <w:spacing w:before="120"/>
    </w:pPr>
  </w:style>
  <w:style w:type="paragraph" w:styleId="TOC3">
    <w:name w:val="toc 3"/>
    <w:basedOn w:val="TOC2"/>
    <w:rsid w:val="00C8286D"/>
  </w:style>
  <w:style w:type="paragraph" w:styleId="TOC4">
    <w:name w:val="toc 4"/>
    <w:basedOn w:val="TOC3"/>
    <w:rsid w:val="00C8286D"/>
  </w:style>
  <w:style w:type="paragraph" w:styleId="TOC5">
    <w:name w:val="toc 5"/>
    <w:basedOn w:val="TOC4"/>
    <w:rsid w:val="00C8286D"/>
  </w:style>
  <w:style w:type="paragraph" w:styleId="TOC6">
    <w:name w:val="toc 6"/>
    <w:basedOn w:val="TOC4"/>
    <w:rsid w:val="00C8286D"/>
  </w:style>
  <w:style w:type="paragraph" w:styleId="TOC7">
    <w:name w:val="toc 7"/>
    <w:basedOn w:val="TOC4"/>
    <w:rsid w:val="00C8286D"/>
  </w:style>
  <w:style w:type="paragraph" w:styleId="TOC8">
    <w:name w:val="toc 8"/>
    <w:basedOn w:val="TOC4"/>
    <w:rsid w:val="00C8286D"/>
  </w:style>
  <w:style w:type="paragraph" w:customStyle="1" w:styleId="Partref">
    <w:name w:val="Part_ref"/>
    <w:basedOn w:val="Annexref"/>
    <w:next w:val="Parttitle"/>
    <w:rsid w:val="00C8286D"/>
  </w:style>
  <w:style w:type="paragraph" w:customStyle="1" w:styleId="Questionref">
    <w:name w:val="Question_ref"/>
    <w:basedOn w:val="Recref"/>
    <w:next w:val="Questiondate"/>
    <w:rsid w:val="00C8286D"/>
  </w:style>
  <w:style w:type="paragraph" w:customStyle="1" w:styleId="Restitle">
    <w:name w:val="Res_title"/>
    <w:basedOn w:val="Rectitle"/>
    <w:next w:val="Resref"/>
    <w:rsid w:val="00C8286D"/>
  </w:style>
  <w:style w:type="paragraph" w:customStyle="1" w:styleId="SpecialFooter">
    <w:name w:val="Special Footer"/>
    <w:basedOn w:val="Footer"/>
    <w:rsid w:val="00C8286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C8286D"/>
  </w:style>
  <w:style w:type="paragraph" w:customStyle="1" w:styleId="AppArttitle">
    <w:name w:val="App_Art_title"/>
    <w:basedOn w:val="Arttitle"/>
    <w:next w:val="Normalaftertitle"/>
    <w:qFormat/>
    <w:rsid w:val="00C8286D"/>
  </w:style>
  <w:style w:type="paragraph" w:customStyle="1" w:styleId="AppArtNo">
    <w:name w:val="App_Art_No"/>
    <w:basedOn w:val="ArtNo"/>
    <w:next w:val="AppArttitle"/>
    <w:qFormat/>
    <w:rsid w:val="00C8286D"/>
  </w:style>
  <w:style w:type="paragraph" w:customStyle="1" w:styleId="Committee">
    <w:name w:val="Committee"/>
    <w:basedOn w:val="Normal"/>
    <w:qFormat/>
    <w:rsid w:val="00C8286D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Volumetitle">
    <w:name w:val="Volume_title"/>
    <w:basedOn w:val="ArtNo"/>
    <w:qFormat/>
    <w:rsid w:val="00C8286D"/>
  </w:style>
  <w:style w:type="paragraph" w:customStyle="1" w:styleId="Headingsplit">
    <w:name w:val="Heading_split"/>
    <w:basedOn w:val="Headingi"/>
    <w:next w:val="Normal"/>
    <w:qFormat/>
    <w:rsid w:val="00C8286D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C8286D"/>
  </w:style>
  <w:style w:type="paragraph" w:customStyle="1" w:styleId="MethodHeadingb">
    <w:name w:val="Method_Headingb"/>
    <w:basedOn w:val="Headingb"/>
    <w:qFormat/>
    <w:rsid w:val="00C8286D"/>
  </w:style>
  <w:style w:type="paragraph" w:customStyle="1" w:styleId="Methodheading1">
    <w:name w:val="Method_heading1"/>
    <w:basedOn w:val="Heading1"/>
    <w:next w:val="Normal"/>
    <w:qFormat/>
    <w:rsid w:val="00C8286D"/>
  </w:style>
  <w:style w:type="paragraph" w:customStyle="1" w:styleId="Methodheading2">
    <w:name w:val="Method_heading2"/>
    <w:basedOn w:val="Heading2"/>
    <w:next w:val="Normal"/>
    <w:qFormat/>
    <w:rsid w:val="00C8286D"/>
  </w:style>
  <w:style w:type="paragraph" w:customStyle="1" w:styleId="Methodheading3">
    <w:name w:val="Method_heading3"/>
    <w:basedOn w:val="Heading3"/>
    <w:next w:val="Normal"/>
    <w:qFormat/>
    <w:rsid w:val="00C8286D"/>
  </w:style>
  <w:style w:type="paragraph" w:customStyle="1" w:styleId="Methodheading4">
    <w:name w:val="Method_heading4"/>
    <w:basedOn w:val="Heading4"/>
    <w:next w:val="Normal"/>
    <w:qFormat/>
    <w:rsid w:val="00C8286D"/>
  </w:style>
  <w:style w:type="table" w:styleId="TableGrid">
    <w:name w:val="Table Grid"/>
    <w:basedOn w:val="TableNormal"/>
    <w:rsid w:val="004B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ca\AppData\Roaming\Microsoft\Templates\POOL%20S%20-%20ITU\PS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9919-3889-40B4-8DC2-3ECC6FC8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PS_WRC19.dotx</Template>
  <TotalTime>27</TotalTime>
  <Pages>2</Pages>
  <Words>467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2820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Conferencia Mundial de Radiocomunicaciones - 2019</dc:subject>
  <dc:creator>Spanish</dc:creator>
  <cp:keywords/>
  <cp:lastModifiedBy>Spanish</cp:lastModifiedBy>
  <cp:revision>10</cp:revision>
  <cp:lastPrinted>2003-02-19T20:20:00Z</cp:lastPrinted>
  <dcterms:created xsi:type="dcterms:W3CDTF">2019-09-27T13:49:00Z</dcterms:created>
  <dcterms:modified xsi:type="dcterms:W3CDTF">2019-10-04T13:22:00Z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