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59"/>
        <w:gridCol w:w="3172"/>
      </w:tblGrid>
      <w:tr w:rsidR="0090121B" w:rsidRPr="0027489B" w14:paraId="0B4CCE4B" w14:textId="77777777" w:rsidTr="0075678D">
        <w:trPr>
          <w:cantSplit/>
        </w:trPr>
        <w:tc>
          <w:tcPr>
            <w:tcW w:w="6859" w:type="dxa"/>
          </w:tcPr>
          <w:p w14:paraId="6512D04E" w14:textId="77777777" w:rsidR="0090121B" w:rsidRPr="0027489B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27489B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27489B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27489B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27489B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27489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27489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27489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27489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27489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27489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27489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27489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27489B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72" w:type="dxa"/>
          </w:tcPr>
          <w:p w14:paraId="1DCE3826" w14:textId="77777777" w:rsidR="0090121B" w:rsidRPr="0027489B" w:rsidRDefault="00DA71A3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7489B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5EB4AB72" wp14:editId="5422143F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27489B" w14:paraId="51904C09" w14:textId="77777777" w:rsidTr="0075678D">
        <w:trPr>
          <w:cantSplit/>
        </w:trPr>
        <w:tc>
          <w:tcPr>
            <w:tcW w:w="6859" w:type="dxa"/>
            <w:tcBorders>
              <w:bottom w:val="single" w:sz="12" w:space="0" w:color="auto"/>
            </w:tcBorders>
          </w:tcPr>
          <w:p w14:paraId="1C92C779" w14:textId="77777777" w:rsidR="0090121B" w:rsidRPr="0027489B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72" w:type="dxa"/>
            <w:tcBorders>
              <w:bottom w:val="single" w:sz="12" w:space="0" w:color="auto"/>
            </w:tcBorders>
          </w:tcPr>
          <w:p w14:paraId="45FB3796" w14:textId="77777777" w:rsidR="0090121B" w:rsidRPr="0027489B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27489B" w14:paraId="79EA6756" w14:textId="77777777" w:rsidTr="0075678D">
        <w:trPr>
          <w:cantSplit/>
        </w:trPr>
        <w:tc>
          <w:tcPr>
            <w:tcW w:w="6859" w:type="dxa"/>
            <w:tcBorders>
              <w:top w:val="single" w:sz="12" w:space="0" w:color="auto"/>
            </w:tcBorders>
          </w:tcPr>
          <w:p w14:paraId="27C1C73E" w14:textId="77777777" w:rsidR="0090121B" w:rsidRPr="0027489B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72" w:type="dxa"/>
            <w:tcBorders>
              <w:top w:val="single" w:sz="12" w:space="0" w:color="auto"/>
            </w:tcBorders>
          </w:tcPr>
          <w:p w14:paraId="5005646C" w14:textId="77777777" w:rsidR="0090121B" w:rsidRPr="0027489B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27489B" w14:paraId="2EFAB09F" w14:textId="77777777" w:rsidTr="0075678D">
        <w:trPr>
          <w:cantSplit/>
        </w:trPr>
        <w:tc>
          <w:tcPr>
            <w:tcW w:w="6859" w:type="dxa"/>
          </w:tcPr>
          <w:p w14:paraId="308B41DC" w14:textId="77777777" w:rsidR="0090121B" w:rsidRPr="0027489B" w:rsidRDefault="001E7D42" w:rsidP="00EA77F0">
            <w:pPr>
              <w:pStyle w:val="Committee"/>
              <w:framePr w:hSpace="0" w:wrap="auto" w:hAnchor="text" w:yAlign="inline"/>
              <w:rPr>
                <w:lang w:val="es-ES_tradnl"/>
              </w:rPr>
            </w:pPr>
            <w:r w:rsidRPr="0027489B">
              <w:rPr>
                <w:lang w:val="es-ES_tradnl"/>
              </w:rPr>
              <w:t>SESIÓN PLENARIA</w:t>
            </w:r>
          </w:p>
        </w:tc>
        <w:tc>
          <w:tcPr>
            <w:tcW w:w="3172" w:type="dxa"/>
          </w:tcPr>
          <w:p w14:paraId="696A52E3" w14:textId="77777777" w:rsidR="0090121B" w:rsidRPr="0027489B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27489B">
              <w:rPr>
                <w:rFonts w:ascii="Verdana" w:hAnsi="Verdana"/>
                <w:b/>
                <w:sz w:val="20"/>
              </w:rPr>
              <w:t>Addéndum 14 al</w:t>
            </w:r>
            <w:r w:rsidRPr="0027489B">
              <w:rPr>
                <w:rFonts w:ascii="Verdana" w:hAnsi="Verdana"/>
                <w:b/>
                <w:sz w:val="20"/>
              </w:rPr>
              <w:br/>
              <w:t>Documento 24</w:t>
            </w:r>
            <w:r w:rsidR="0090121B" w:rsidRPr="0027489B">
              <w:rPr>
                <w:rFonts w:ascii="Verdana" w:hAnsi="Verdana"/>
                <w:b/>
                <w:sz w:val="20"/>
              </w:rPr>
              <w:t>-</w:t>
            </w:r>
            <w:r w:rsidRPr="0027489B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27489B" w14:paraId="62F03BA1" w14:textId="77777777" w:rsidTr="0075678D">
        <w:trPr>
          <w:cantSplit/>
        </w:trPr>
        <w:tc>
          <w:tcPr>
            <w:tcW w:w="6859" w:type="dxa"/>
          </w:tcPr>
          <w:p w14:paraId="62569BA7" w14:textId="77777777" w:rsidR="000A5B9A" w:rsidRPr="0027489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72" w:type="dxa"/>
          </w:tcPr>
          <w:p w14:paraId="2F9E31FB" w14:textId="77777777" w:rsidR="000A5B9A" w:rsidRPr="0027489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7489B">
              <w:rPr>
                <w:rFonts w:ascii="Verdana" w:hAnsi="Verdana"/>
                <w:b/>
                <w:sz w:val="20"/>
              </w:rPr>
              <w:t>23 de septiembre de 2019</w:t>
            </w:r>
          </w:p>
        </w:tc>
      </w:tr>
      <w:tr w:rsidR="000A5B9A" w:rsidRPr="0027489B" w14:paraId="61922901" w14:textId="77777777" w:rsidTr="0075678D">
        <w:trPr>
          <w:cantSplit/>
        </w:trPr>
        <w:tc>
          <w:tcPr>
            <w:tcW w:w="6859" w:type="dxa"/>
          </w:tcPr>
          <w:p w14:paraId="352C7A56" w14:textId="77777777" w:rsidR="000A5B9A" w:rsidRPr="0027489B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72" w:type="dxa"/>
          </w:tcPr>
          <w:p w14:paraId="065E0FD6" w14:textId="77777777" w:rsidR="000A5B9A" w:rsidRPr="0027489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27489B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27489B" w14:paraId="7D161109" w14:textId="77777777" w:rsidTr="006744FC">
        <w:trPr>
          <w:cantSplit/>
        </w:trPr>
        <w:tc>
          <w:tcPr>
            <w:tcW w:w="10031" w:type="dxa"/>
            <w:gridSpan w:val="2"/>
          </w:tcPr>
          <w:p w14:paraId="3F3C0845" w14:textId="77777777" w:rsidR="000A5B9A" w:rsidRPr="0027489B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27489B" w14:paraId="3EC7F496" w14:textId="77777777" w:rsidTr="0050008E">
        <w:trPr>
          <w:cantSplit/>
        </w:trPr>
        <w:tc>
          <w:tcPr>
            <w:tcW w:w="10031" w:type="dxa"/>
            <w:gridSpan w:val="2"/>
          </w:tcPr>
          <w:p w14:paraId="52987B88" w14:textId="77777777" w:rsidR="000A5B9A" w:rsidRPr="0027489B" w:rsidRDefault="000A5B9A" w:rsidP="000A5B9A">
            <w:pPr>
              <w:pStyle w:val="Source"/>
            </w:pPr>
            <w:bookmarkStart w:id="2" w:name="dsource" w:colFirst="0" w:colLast="0"/>
            <w:r w:rsidRPr="0027489B">
              <w:t>Propuestas Comunes de la Telecomunidad Asia-Pacífico</w:t>
            </w:r>
          </w:p>
        </w:tc>
      </w:tr>
      <w:tr w:rsidR="000A5B9A" w:rsidRPr="0027489B" w14:paraId="2AB21040" w14:textId="77777777" w:rsidTr="0050008E">
        <w:trPr>
          <w:cantSplit/>
        </w:trPr>
        <w:tc>
          <w:tcPr>
            <w:tcW w:w="10031" w:type="dxa"/>
            <w:gridSpan w:val="2"/>
          </w:tcPr>
          <w:p w14:paraId="17FEF2B7" w14:textId="77777777" w:rsidR="000A5B9A" w:rsidRPr="0027489B" w:rsidRDefault="009167C0" w:rsidP="000A5B9A">
            <w:pPr>
              <w:pStyle w:val="Title1"/>
            </w:pPr>
            <w:bookmarkStart w:id="3" w:name="dtitle1" w:colFirst="0" w:colLast="0"/>
            <w:bookmarkEnd w:id="2"/>
            <w:r w:rsidRPr="0027489B">
              <w:t>Propuestas para los trabajos de la Conferencia</w:t>
            </w:r>
          </w:p>
        </w:tc>
      </w:tr>
      <w:tr w:rsidR="000A5B9A" w:rsidRPr="0027489B" w14:paraId="32DDFE0E" w14:textId="77777777" w:rsidTr="0050008E">
        <w:trPr>
          <w:cantSplit/>
        </w:trPr>
        <w:tc>
          <w:tcPr>
            <w:tcW w:w="10031" w:type="dxa"/>
            <w:gridSpan w:val="2"/>
          </w:tcPr>
          <w:p w14:paraId="0C2642D1" w14:textId="77777777" w:rsidR="000A5B9A" w:rsidRPr="0027489B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27489B" w14:paraId="7B96ADB6" w14:textId="77777777" w:rsidTr="0050008E">
        <w:trPr>
          <w:cantSplit/>
        </w:trPr>
        <w:tc>
          <w:tcPr>
            <w:tcW w:w="10031" w:type="dxa"/>
            <w:gridSpan w:val="2"/>
          </w:tcPr>
          <w:p w14:paraId="0968266C" w14:textId="77777777" w:rsidR="000A5B9A" w:rsidRPr="0027489B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27489B">
              <w:t>Punto 1.14 del orden del día</w:t>
            </w:r>
          </w:p>
        </w:tc>
      </w:tr>
    </w:tbl>
    <w:bookmarkEnd w:id="5"/>
    <w:p w14:paraId="5E930CF6" w14:textId="77777777" w:rsidR="001C0E40" w:rsidRPr="0027489B" w:rsidRDefault="003B69D2" w:rsidP="003A37B0">
      <w:r w:rsidRPr="0027489B">
        <w:t>1.14</w:t>
      </w:r>
      <w:r w:rsidRPr="0027489B">
        <w:tab/>
        <w:t>considerar, basándose en los estudios del UIT</w:t>
      </w:r>
      <w:r w:rsidRPr="0027489B">
        <w:noBreakHyphen/>
        <w:t>R, de conformidad con la Resolución </w:t>
      </w:r>
      <w:r w:rsidRPr="0027489B">
        <w:rPr>
          <w:b/>
          <w:bCs/>
        </w:rPr>
        <w:t>160 (CMR-15),</w:t>
      </w:r>
      <w:r w:rsidRPr="0027489B">
        <w:t xml:space="preserve"> medidas reglamentarias apropiadas para las estaciones en plataformas a gran altitud (HAPS), dentro de las atribuciones del servicio fijo existentes;</w:t>
      </w:r>
    </w:p>
    <w:p w14:paraId="4A651E4C" w14:textId="77777777" w:rsidR="009167C0" w:rsidRPr="0027489B" w:rsidRDefault="00BF3C56" w:rsidP="009167C0">
      <w:pPr>
        <w:pStyle w:val="Headingb"/>
      </w:pPr>
      <w:r w:rsidRPr="0027489B">
        <w:t>Introducción</w:t>
      </w:r>
    </w:p>
    <w:p w14:paraId="244816CA" w14:textId="5D375C9E" w:rsidR="009167C0" w:rsidRPr="0027489B" w:rsidRDefault="00BF3C56" w:rsidP="00BF3C56">
      <w:r w:rsidRPr="0027489B">
        <w:t xml:space="preserve">Los Miembros de la APT apoyan que no se introduzcan cambios en el Reglamento de Radiocomunicaciones (Método A que figura en el Informe de la RPC) a fin de </w:t>
      </w:r>
      <w:r w:rsidR="00F26259" w:rsidRPr="0027489B">
        <w:t>garantizar</w:t>
      </w:r>
      <w:r w:rsidRPr="0027489B">
        <w:t xml:space="preserve"> la protección de todos los servicios existentes que </w:t>
      </w:r>
      <w:r w:rsidR="00F26259" w:rsidRPr="0027489B">
        <w:t xml:space="preserve">tienen atribuidas </w:t>
      </w:r>
      <w:r w:rsidRPr="0027489B">
        <w:t xml:space="preserve">bandas de frecuencias y su futuro desarrollo en las bandas de frecuencias </w:t>
      </w:r>
      <w:r w:rsidR="009167C0" w:rsidRPr="0027489B">
        <w:t>6</w:t>
      </w:r>
      <w:r w:rsidR="003F634B" w:rsidRPr="0027489B">
        <w:t> </w:t>
      </w:r>
      <w:r w:rsidR="009167C0" w:rsidRPr="0027489B">
        <w:t>440</w:t>
      </w:r>
      <w:r w:rsidR="003F634B" w:rsidRPr="0027489B">
        <w:noBreakHyphen/>
      </w:r>
      <w:r w:rsidR="009167C0" w:rsidRPr="0027489B">
        <w:t>6</w:t>
      </w:r>
      <w:r w:rsidR="003F634B" w:rsidRPr="0027489B">
        <w:t> </w:t>
      </w:r>
      <w:r w:rsidR="009167C0" w:rsidRPr="0027489B">
        <w:t>520</w:t>
      </w:r>
      <w:r w:rsidR="003F634B" w:rsidRPr="0027489B">
        <w:t> </w:t>
      </w:r>
      <w:r w:rsidR="009167C0" w:rsidRPr="0027489B">
        <w:t xml:space="preserve">MHz </w:t>
      </w:r>
      <w:r w:rsidRPr="0027489B">
        <w:t>y</w:t>
      </w:r>
      <w:r w:rsidR="009167C0" w:rsidRPr="0027489B">
        <w:t xml:space="preserve"> 6</w:t>
      </w:r>
      <w:r w:rsidR="003F634B" w:rsidRPr="0027489B">
        <w:t> </w:t>
      </w:r>
      <w:r w:rsidR="009167C0" w:rsidRPr="0027489B">
        <w:t>560</w:t>
      </w:r>
      <w:r w:rsidR="003F634B" w:rsidRPr="0027489B">
        <w:noBreakHyphen/>
      </w:r>
      <w:r w:rsidR="009167C0" w:rsidRPr="0027489B">
        <w:t>6</w:t>
      </w:r>
      <w:r w:rsidR="003F634B" w:rsidRPr="0027489B">
        <w:t> </w:t>
      </w:r>
      <w:r w:rsidR="009167C0" w:rsidRPr="0027489B">
        <w:t>640</w:t>
      </w:r>
      <w:r w:rsidR="003F634B" w:rsidRPr="0027489B">
        <w:t> </w:t>
      </w:r>
      <w:r w:rsidR="009167C0" w:rsidRPr="0027489B">
        <w:t>MHz.</w:t>
      </w:r>
    </w:p>
    <w:p w14:paraId="7C9EFA4D" w14:textId="3DD83CE2" w:rsidR="009167C0" w:rsidRPr="0027489B" w:rsidRDefault="00BF3C56" w:rsidP="00BF3C56">
      <w:r w:rsidRPr="0027489B">
        <w:t>Además, los Miembros de la</w:t>
      </w:r>
      <w:r w:rsidR="009167C0" w:rsidRPr="0027489B">
        <w:t xml:space="preserve"> APT </w:t>
      </w:r>
      <w:r w:rsidRPr="0027489B">
        <w:t>estiman que toda consideración de la banda de frecuencias</w:t>
      </w:r>
      <w:r w:rsidR="009167C0" w:rsidRPr="0027489B">
        <w:t xml:space="preserve"> 24</w:t>
      </w:r>
      <w:r w:rsidRPr="0027489B">
        <w:t>,</w:t>
      </w:r>
      <w:r w:rsidR="009167C0" w:rsidRPr="0027489B">
        <w:t>25</w:t>
      </w:r>
      <w:r w:rsidR="003F634B" w:rsidRPr="0027489B">
        <w:noBreakHyphen/>
      </w:r>
      <w:r w:rsidR="009167C0" w:rsidRPr="0027489B">
        <w:t>27</w:t>
      </w:r>
      <w:r w:rsidRPr="0027489B">
        <w:t>,</w:t>
      </w:r>
      <w:r w:rsidR="009167C0" w:rsidRPr="0027489B">
        <w:t>5</w:t>
      </w:r>
      <w:r w:rsidR="003F634B" w:rsidRPr="0027489B">
        <w:t> </w:t>
      </w:r>
      <w:r w:rsidR="009167C0" w:rsidRPr="0027489B">
        <w:t xml:space="preserve">GHz </w:t>
      </w:r>
      <w:r w:rsidRPr="0027489B">
        <w:t>en la</w:t>
      </w:r>
      <w:r w:rsidR="009167C0" w:rsidRPr="0027489B">
        <w:t xml:space="preserve"> </w:t>
      </w:r>
      <w:r w:rsidRPr="0027489B">
        <w:t>Región</w:t>
      </w:r>
      <w:r w:rsidR="009167C0" w:rsidRPr="0027489B">
        <w:t xml:space="preserve"> 2 </w:t>
      </w:r>
      <w:r w:rsidRPr="0027489B">
        <w:t>en el marco de este punto del orden del día no debería limitar la posibilidad de identificar la banda para las IMT a nivel mundial en el marco del punto</w:t>
      </w:r>
      <w:r w:rsidR="009167C0" w:rsidRPr="0027489B">
        <w:t xml:space="preserve"> 1.13</w:t>
      </w:r>
      <w:r w:rsidRPr="0027489B">
        <w:t xml:space="preserve"> del orden del día de la CMR-19</w:t>
      </w:r>
      <w:r w:rsidR="009167C0" w:rsidRPr="0027489B">
        <w:t>.</w:t>
      </w:r>
    </w:p>
    <w:p w14:paraId="79F561A4" w14:textId="77777777" w:rsidR="009167C0" w:rsidRPr="0027489B" w:rsidRDefault="00BF3C56" w:rsidP="00BF3C56">
      <w:r w:rsidRPr="0027489B">
        <w:t xml:space="preserve">Los Miembros de la </w:t>
      </w:r>
      <w:r w:rsidR="009167C0" w:rsidRPr="0027489B">
        <w:t>APT consider</w:t>
      </w:r>
      <w:r w:rsidRPr="0027489B">
        <w:t>an que se debería garantizar la protección de todos los servicios existentes a los que se atribuyen bandas de frecuencias y su futuro desarrollo</w:t>
      </w:r>
      <w:r w:rsidR="009167C0" w:rsidRPr="0027489B">
        <w:t>.</w:t>
      </w:r>
    </w:p>
    <w:p w14:paraId="55AFD294" w14:textId="171F0A51" w:rsidR="009167C0" w:rsidRPr="0027489B" w:rsidRDefault="009167C0" w:rsidP="00D60469">
      <w:r w:rsidRPr="0027489B">
        <w:t xml:space="preserve">No </w:t>
      </w:r>
      <w:r w:rsidR="00BF3C56" w:rsidRPr="0027489B">
        <w:t xml:space="preserve">se ha llegado a un consenso entre los Miembros de la APT sobre </w:t>
      </w:r>
      <w:r w:rsidR="00D60469" w:rsidRPr="0027489B">
        <w:t>el Método para abordar este punto del orden del día en las bandas de frecuencias</w:t>
      </w:r>
      <w:r w:rsidRPr="0027489B">
        <w:t xml:space="preserve"> 27</w:t>
      </w:r>
      <w:r w:rsidR="00D60469" w:rsidRPr="0027489B">
        <w:t>,</w:t>
      </w:r>
      <w:r w:rsidRPr="0027489B">
        <w:t>9</w:t>
      </w:r>
      <w:r w:rsidR="003F634B" w:rsidRPr="0027489B">
        <w:noBreakHyphen/>
      </w:r>
      <w:r w:rsidRPr="0027489B">
        <w:t>28</w:t>
      </w:r>
      <w:r w:rsidR="00D60469" w:rsidRPr="0027489B">
        <w:t>,</w:t>
      </w:r>
      <w:r w:rsidRPr="0027489B">
        <w:t>2</w:t>
      </w:r>
      <w:r w:rsidR="00C44935" w:rsidRPr="0027489B">
        <w:t> </w:t>
      </w:r>
      <w:r w:rsidRPr="0027489B">
        <w:t>GHz, 31</w:t>
      </w:r>
      <w:r w:rsidR="003F634B" w:rsidRPr="0027489B">
        <w:noBreakHyphen/>
      </w:r>
      <w:r w:rsidRPr="0027489B">
        <w:t>31</w:t>
      </w:r>
      <w:r w:rsidR="00D60469" w:rsidRPr="0027489B">
        <w:t>,</w:t>
      </w:r>
      <w:r w:rsidRPr="0027489B">
        <w:t>3</w:t>
      </w:r>
      <w:r w:rsidR="00C44935" w:rsidRPr="0027489B">
        <w:t> </w:t>
      </w:r>
      <w:r w:rsidRPr="0027489B">
        <w:t>GHz, 38</w:t>
      </w:r>
      <w:r w:rsidR="003F634B" w:rsidRPr="0027489B">
        <w:noBreakHyphen/>
      </w:r>
      <w:r w:rsidRPr="0027489B">
        <w:t>39</w:t>
      </w:r>
      <w:r w:rsidR="00D60469" w:rsidRPr="0027489B">
        <w:t>,</w:t>
      </w:r>
      <w:r w:rsidRPr="0027489B">
        <w:t>5</w:t>
      </w:r>
      <w:r w:rsidR="0027489B" w:rsidRPr="0027489B">
        <w:t> </w:t>
      </w:r>
      <w:r w:rsidRPr="0027489B">
        <w:t>GHz, 47</w:t>
      </w:r>
      <w:r w:rsidR="00D60469" w:rsidRPr="0027489B">
        <w:t>,</w:t>
      </w:r>
      <w:r w:rsidRPr="0027489B">
        <w:t>2</w:t>
      </w:r>
      <w:r w:rsidR="003F634B" w:rsidRPr="0027489B">
        <w:noBreakHyphen/>
      </w:r>
      <w:r w:rsidRPr="0027489B">
        <w:t>47</w:t>
      </w:r>
      <w:r w:rsidR="00D60469" w:rsidRPr="0027489B">
        <w:t>,</w:t>
      </w:r>
      <w:r w:rsidRPr="0027489B">
        <w:t>5</w:t>
      </w:r>
      <w:r w:rsidR="0027489B" w:rsidRPr="0027489B">
        <w:t> </w:t>
      </w:r>
      <w:r w:rsidRPr="0027489B">
        <w:t xml:space="preserve">GHz </w:t>
      </w:r>
      <w:r w:rsidR="00D60469" w:rsidRPr="0027489B">
        <w:t>y</w:t>
      </w:r>
      <w:r w:rsidRPr="0027489B">
        <w:t xml:space="preserve"> 47</w:t>
      </w:r>
      <w:r w:rsidR="00D60469" w:rsidRPr="0027489B">
        <w:t>,</w:t>
      </w:r>
      <w:r w:rsidRPr="0027489B">
        <w:t>9</w:t>
      </w:r>
      <w:r w:rsidR="003F634B" w:rsidRPr="0027489B">
        <w:noBreakHyphen/>
      </w:r>
      <w:r w:rsidRPr="0027489B">
        <w:t>48</w:t>
      </w:r>
      <w:r w:rsidR="00D60469" w:rsidRPr="0027489B">
        <w:t>,</w:t>
      </w:r>
      <w:r w:rsidRPr="0027489B">
        <w:t>2</w:t>
      </w:r>
      <w:r w:rsidR="0027489B" w:rsidRPr="0027489B">
        <w:t> </w:t>
      </w:r>
      <w:r w:rsidRPr="0027489B">
        <w:t>GHz.</w:t>
      </w:r>
    </w:p>
    <w:p w14:paraId="6DD7EF26" w14:textId="77777777" w:rsidR="008750A8" w:rsidRPr="0027489B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7489B">
        <w:br w:type="page"/>
      </w:r>
    </w:p>
    <w:p w14:paraId="0C73A378" w14:textId="77777777" w:rsidR="003434A1" w:rsidRPr="0027489B" w:rsidRDefault="003434A1" w:rsidP="002C2D25">
      <w:pPr>
        <w:pStyle w:val="Headingb"/>
      </w:pPr>
      <w:r w:rsidRPr="0027489B">
        <w:lastRenderedPageBreak/>
        <w:t>Propuestas</w:t>
      </w:r>
    </w:p>
    <w:p w14:paraId="0FFE7E44" w14:textId="64137B2B" w:rsidR="006537F1" w:rsidRPr="0027489B" w:rsidRDefault="003B69D2" w:rsidP="00100A8E">
      <w:pPr>
        <w:pStyle w:val="ArtNo"/>
      </w:pPr>
      <w:r w:rsidRPr="0027489B">
        <w:t xml:space="preserve">ARTÍCULO </w:t>
      </w:r>
      <w:r w:rsidRPr="0027489B">
        <w:rPr>
          <w:rStyle w:val="href"/>
        </w:rPr>
        <w:t>5</w:t>
      </w:r>
    </w:p>
    <w:p w14:paraId="313EBB1D" w14:textId="77777777" w:rsidR="006537F1" w:rsidRPr="0027489B" w:rsidRDefault="003B69D2" w:rsidP="006537F1">
      <w:pPr>
        <w:pStyle w:val="Arttitle"/>
      </w:pPr>
      <w:r w:rsidRPr="0027489B">
        <w:t>Atribuciones de frecuencia</w:t>
      </w:r>
    </w:p>
    <w:p w14:paraId="4E9D1B28" w14:textId="16FBDF70" w:rsidR="006537F1" w:rsidRPr="0027489B" w:rsidRDefault="003B69D2" w:rsidP="006537F1">
      <w:pPr>
        <w:pStyle w:val="Section1"/>
      </w:pPr>
      <w:r w:rsidRPr="0027489B">
        <w:t>Sección IV – Cuadro de atribución de bandas de frecuencias</w:t>
      </w:r>
      <w:r w:rsidRPr="0027489B">
        <w:br/>
      </w:r>
      <w:r w:rsidRPr="0027489B">
        <w:rPr>
          <w:b w:val="0"/>
          <w:bCs/>
        </w:rPr>
        <w:t>(Véase el número</w:t>
      </w:r>
      <w:r w:rsidRPr="0027489B">
        <w:t xml:space="preserve"> </w:t>
      </w:r>
      <w:r w:rsidRPr="0027489B">
        <w:rPr>
          <w:rStyle w:val="Artref"/>
        </w:rPr>
        <w:t>2.1</w:t>
      </w:r>
      <w:r w:rsidRPr="0027489B">
        <w:rPr>
          <w:b w:val="0"/>
          <w:bCs/>
        </w:rPr>
        <w:t>)</w:t>
      </w:r>
    </w:p>
    <w:p w14:paraId="7C279C47" w14:textId="77777777" w:rsidR="001523CF" w:rsidRPr="0027489B" w:rsidRDefault="003B69D2">
      <w:pPr>
        <w:pStyle w:val="Proposal"/>
      </w:pPr>
      <w:r w:rsidRPr="0027489B">
        <w:rPr>
          <w:u w:val="single"/>
        </w:rPr>
        <w:t>NOC</w:t>
      </w:r>
      <w:r w:rsidRPr="0027489B">
        <w:tab/>
        <w:t>ACP/24A14/1</w:t>
      </w:r>
    </w:p>
    <w:p w14:paraId="16A34C54" w14:textId="35A1BF6A" w:rsidR="00534EC6" w:rsidRPr="0027489B" w:rsidRDefault="003B69D2" w:rsidP="00534EC6">
      <w:pPr>
        <w:pStyle w:val="Tabletitle"/>
      </w:pPr>
      <w:r w:rsidRPr="0027489B">
        <w:t>5 570-6 700</w:t>
      </w:r>
      <w:r w:rsidR="00100A8E" w:rsidRPr="0027489B">
        <w:t> </w:t>
      </w:r>
      <w:r w:rsidRPr="0027489B">
        <w:t>MHz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6537F1" w:rsidRPr="0027489B" w14:paraId="3CEA1A30" w14:textId="77777777" w:rsidTr="004238E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E1CC" w14:textId="77777777" w:rsidR="006537F1" w:rsidRPr="0027489B" w:rsidRDefault="003B69D2" w:rsidP="00100A8E">
            <w:pPr>
              <w:pStyle w:val="Tablehead"/>
            </w:pPr>
            <w:r w:rsidRPr="0027489B">
              <w:t>Atribución a los servicios</w:t>
            </w:r>
          </w:p>
        </w:tc>
      </w:tr>
      <w:tr w:rsidR="006537F1" w:rsidRPr="0027489B" w14:paraId="5813C677" w14:textId="77777777" w:rsidTr="004238E7">
        <w:trPr>
          <w:cantSplit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7D6C" w14:textId="77777777" w:rsidR="006537F1" w:rsidRPr="0027489B" w:rsidRDefault="003B69D2" w:rsidP="00100A8E">
            <w:pPr>
              <w:pStyle w:val="Tablehead"/>
            </w:pPr>
            <w:r w:rsidRPr="0027489B"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9E34" w14:textId="77777777" w:rsidR="006537F1" w:rsidRPr="0027489B" w:rsidRDefault="003B69D2" w:rsidP="00100A8E">
            <w:pPr>
              <w:pStyle w:val="Tablehead"/>
            </w:pPr>
            <w:r w:rsidRPr="0027489B">
              <w:t>Región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2868" w14:textId="77777777" w:rsidR="006537F1" w:rsidRPr="0027489B" w:rsidRDefault="003B69D2" w:rsidP="00100A8E">
            <w:pPr>
              <w:pStyle w:val="Tablehead"/>
            </w:pPr>
            <w:r w:rsidRPr="0027489B">
              <w:t>Región 3</w:t>
            </w:r>
          </w:p>
        </w:tc>
      </w:tr>
      <w:tr w:rsidR="006537F1" w:rsidRPr="0027489B" w14:paraId="5FE144C5" w14:textId="77777777" w:rsidTr="004238E7">
        <w:trPr>
          <w:cantSplit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900B" w14:textId="77777777" w:rsidR="006537F1" w:rsidRPr="0027489B" w:rsidRDefault="003B69D2" w:rsidP="00100A8E">
            <w:pPr>
              <w:pStyle w:val="TableTextS5"/>
            </w:pPr>
            <w:r w:rsidRPr="0027489B">
              <w:rPr>
                <w:rStyle w:val="Tablefreq"/>
              </w:rPr>
              <w:t>5 925-6 700</w:t>
            </w:r>
            <w:r w:rsidRPr="0027489B">
              <w:tab/>
              <w:t xml:space="preserve">FIJO  </w:t>
            </w:r>
            <w:r w:rsidRPr="0027489B">
              <w:rPr>
                <w:rStyle w:val="Artref"/>
              </w:rPr>
              <w:t>5.457</w:t>
            </w:r>
          </w:p>
          <w:p w14:paraId="751DCDA9" w14:textId="77777777" w:rsidR="006537F1" w:rsidRPr="0027489B" w:rsidRDefault="003B69D2" w:rsidP="00100A8E">
            <w:pPr>
              <w:pStyle w:val="TableTextS5"/>
            </w:pPr>
            <w:r w:rsidRPr="0027489B">
              <w:tab/>
            </w:r>
            <w:r w:rsidRPr="0027489B">
              <w:tab/>
            </w:r>
            <w:r w:rsidRPr="0027489B">
              <w:tab/>
            </w:r>
            <w:r w:rsidRPr="0027489B">
              <w:tab/>
              <w:t xml:space="preserve">FIJO POR SATÉLITE (Tierra-espacio)  </w:t>
            </w:r>
            <w:r w:rsidRPr="0027489B">
              <w:rPr>
                <w:rStyle w:val="Artref"/>
              </w:rPr>
              <w:t>5.457A  5.457B</w:t>
            </w:r>
          </w:p>
          <w:p w14:paraId="1367BA2B" w14:textId="77777777" w:rsidR="006537F1" w:rsidRPr="0027489B" w:rsidRDefault="003B69D2" w:rsidP="00100A8E">
            <w:pPr>
              <w:pStyle w:val="TableTextS5"/>
              <w:rPr>
                <w:rStyle w:val="Artref"/>
              </w:rPr>
            </w:pPr>
            <w:r w:rsidRPr="0027489B">
              <w:tab/>
            </w:r>
            <w:r w:rsidRPr="0027489B">
              <w:tab/>
            </w:r>
            <w:r w:rsidRPr="0027489B">
              <w:tab/>
            </w:r>
            <w:r w:rsidRPr="0027489B">
              <w:tab/>
              <w:t xml:space="preserve">MÓVIL  </w:t>
            </w:r>
            <w:r w:rsidRPr="0027489B">
              <w:rPr>
                <w:rStyle w:val="Artref"/>
              </w:rPr>
              <w:t>5.457C</w:t>
            </w:r>
          </w:p>
          <w:p w14:paraId="0D5DBB25" w14:textId="77777777" w:rsidR="006537F1" w:rsidRPr="0027489B" w:rsidRDefault="003B69D2" w:rsidP="006537F1">
            <w:pPr>
              <w:pStyle w:val="TableTextS5"/>
              <w:spacing w:before="20" w:after="20"/>
              <w:rPr>
                <w:color w:val="000000"/>
              </w:rPr>
            </w:pPr>
            <w:r w:rsidRPr="0027489B">
              <w:rPr>
                <w:color w:val="000000"/>
              </w:rPr>
              <w:tab/>
            </w:r>
            <w:r w:rsidRPr="0027489B">
              <w:rPr>
                <w:color w:val="000000"/>
              </w:rPr>
              <w:tab/>
            </w:r>
            <w:r w:rsidRPr="0027489B">
              <w:rPr>
                <w:color w:val="000000"/>
              </w:rPr>
              <w:tab/>
            </w:r>
            <w:r w:rsidRPr="0027489B">
              <w:rPr>
                <w:color w:val="000000"/>
              </w:rPr>
              <w:tab/>
            </w:r>
            <w:r w:rsidRPr="0027489B">
              <w:rPr>
                <w:rStyle w:val="Artref"/>
                <w:color w:val="000000"/>
              </w:rPr>
              <w:t>5.149</w:t>
            </w:r>
            <w:r w:rsidRPr="0027489B">
              <w:rPr>
                <w:color w:val="000000"/>
              </w:rPr>
              <w:t xml:space="preserve">  </w:t>
            </w:r>
            <w:r w:rsidRPr="0027489B">
              <w:rPr>
                <w:rStyle w:val="Artref"/>
                <w:color w:val="000000"/>
              </w:rPr>
              <w:t>5.440</w:t>
            </w:r>
            <w:r w:rsidRPr="0027489B">
              <w:rPr>
                <w:color w:val="000000"/>
              </w:rPr>
              <w:t xml:space="preserve">  </w:t>
            </w:r>
            <w:r w:rsidRPr="0027489B">
              <w:rPr>
                <w:rStyle w:val="Artref"/>
                <w:color w:val="000000"/>
              </w:rPr>
              <w:t>5.458</w:t>
            </w:r>
          </w:p>
        </w:tc>
      </w:tr>
    </w:tbl>
    <w:p w14:paraId="60181A99" w14:textId="2C74B3AD" w:rsidR="001523CF" w:rsidRPr="0027489B" w:rsidRDefault="003B69D2" w:rsidP="004238E7">
      <w:pPr>
        <w:pStyle w:val="Reasons"/>
      </w:pPr>
      <w:r w:rsidRPr="0027489B">
        <w:rPr>
          <w:b/>
        </w:rPr>
        <w:t>Motivos:</w:t>
      </w:r>
      <w:r w:rsidRPr="0027489B">
        <w:tab/>
      </w:r>
      <w:r w:rsidR="00E76229" w:rsidRPr="0027489B">
        <w:t>No</w:t>
      </w:r>
      <w:r w:rsidR="004238E7" w:rsidRPr="0027489B">
        <w:t xml:space="preserve"> se apoya la introducción de cambios en las bandas</w:t>
      </w:r>
      <w:r w:rsidR="00E76229" w:rsidRPr="0027489B">
        <w:t xml:space="preserve"> 6</w:t>
      </w:r>
      <w:r w:rsidR="006D7D17" w:rsidRPr="0027489B">
        <w:t> </w:t>
      </w:r>
      <w:r w:rsidR="00E76229" w:rsidRPr="0027489B">
        <w:t>440</w:t>
      </w:r>
      <w:r w:rsidR="006D7D17" w:rsidRPr="0027489B">
        <w:noBreakHyphen/>
      </w:r>
      <w:r w:rsidR="00E76229" w:rsidRPr="0027489B">
        <w:t>6</w:t>
      </w:r>
      <w:r w:rsidR="006D7D17" w:rsidRPr="0027489B">
        <w:t> </w:t>
      </w:r>
      <w:r w:rsidR="00E76229" w:rsidRPr="0027489B">
        <w:t>520</w:t>
      </w:r>
      <w:r w:rsidR="006D7D17" w:rsidRPr="0027489B">
        <w:t> </w:t>
      </w:r>
      <w:r w:rsidR="00E76229" w:rsidRPr="0027489B">
        <w:t xml:space="preserve">MHz </w:t>
      </w:r>
      <w:r w:rsidR="004238E7" w:rsidRPr="0027489B">
        <w:t>y</w:t>
      </w:r>
      <w:r w:rsidR="0027489B" w:rsidRPr="0027489B">
        <w:t> </w:t>
      </w:r>
      <w:r w:rsidR="00E76229" w:rsidRPr="0027489B">
        <w:t>6</w:t>
      </w:r>
      <w:r w:rsidR="006D7D17" w:rsidRPr="0027489B">
        <w:t> </w:t>
      </w:r>
      <w:r w:rsidR="00E76229" w:rsidRPr="0027489B">
        <w:t>560</w:t>
      </w:r>
      <w:r w:rsidR="006D7D17" w:rsidRPr="0027489B">
        <w:noBreakHyphen/>
      </w:r>
      <w:r w:rsidR="00E76229" w:rsidRPr="0027489B">
        <w:t>6</w:t>
      </w:r>
      <w:r w:rsidR="006D7D17" w:rsidRPr="0027489B">
        <w:t> </w:t>
      </w:r>
      <w:r w:rsidR="00E76229" w:rsidRPr="0027489B">
        <w:t>640</w:t>
      </w:r>
      <w:r w:rsidR="006D7D17" w:rsidRPr="0027489B">
        <w:t> </w:t>
      </w:r>
      <w:r w:rsidR="00E76229" w:rsidRPr="0027489B">
        <w:t>MHz.</w:t>
      </w:r>
    </w:p>
    <w:p w14:paraId="17C1420A" w14:textId="77777777" w:rsidR="001523CF" w:rsidRPr="0027489B" w:rsidRDefault="003B69D2">
      <w:pPr>
        <w:pStyle w:val="Proposal"/>
      </w:pPr>
      <w:r w:rsidRPr="0027489B">
        <w:rPr>
          <w:u w:val="single"/>
        </w:rPr>
        <w:t>NOC</w:t>
      </w:r>
      <w:r w:rsidRPr="0027489B">
        <w:tab/>
        <w:t>ACP/24A14/2</w:t>
      </w:r>
    </w:p>
    <w:p w14:paraId="6C0F4708" w14:textId="77777777" w:rsidR="007B7DBC" w:rsidRPr="0027489B" w:rsidRDefault="003B69D2" w:rsidP="007A2E57">
      <w:pPr>
        <w:pStyle w:val="ResNo"/>
      </w:pPr>
      <w:r w:rsidRPr="0027489B">
        <w:t xml:space="preserve">RESOLUCIÓN </w:t>
      </w:r>
      <w:r w:rsidRPr="0027489B">
        <w:rPr>
          <w:rStyle w:val="href"/>
        </w:rPr>
        <w:t>150</w:t>
      </w:r>
      <w:r w:rsidRPr="0027489B">
        <w:t xml:space="preserve"> (CMR</w:t>
      </w:r>
      <w:r w:rsidRPr="0027489B">
        <w:noBreakHyphen/>
        <w:t>12)</w:t>
      </w:r>
    </w:p>
    <w:p w14:paraId="2124F019" w14:textId="77777777" w:rsidR="007B7DBC" w:rsidRPr="0027489B" w:rsidRDefault="003B69D2" w:rsidP="006411B1">
      <w:pPr>
        <w:pStyle w:val="Restitle"/>
      </w:pPr>
      <w:bookmarkStart w:id="6" w:name="_Toc320536482"/>
      <w:bookmarkStart w:id="7" w:name="_Toc328141302"/>
      <w:r w:rsidRPr="0027489B">
        <w:t>Utilización de las bandas 6 440-6 520 MHz y 6 560-6 640 MHz por</w:t>
      </w:r>
      <w:r w:rsidRPr="0027489B">
        <w:br/>
        <w:t>enlaces de pasarela con estaciones situadas en plataformas</w:t>
      </w:r>
      <w:r w:rsidRPr="0027489B">
        <w:br/>
        <w:t>a gran altitud del servicio fijo</w:t>
      </w:r>
      <w:bookmarkEnd w:id="6"/>
      <w:bookmarkEnd w:id="7"/>
    </w:p>
    <w:p w14:paraId="40EF634E" w14:textId="53384F56" w:rsidR="001523CF" w:rsidRPr="0027489B" w:rsidRDefault="00E76229" w:rsidP="006411B1">
      <w:pPr>
        <w:pStyle w:val="Reasons"/>
      </w:pPr>
      <w:r w:rsidRPr="0027489B">
        <w:rPr>
          <w:b/>
          <w:bCs/>
        </w:rPr>
        <w:t>Motivos:</w:t>
      </w:r>
      <w:r w:rsidR="003B69D2" w:rsidRPr="0027489B">
        <w:rPr>
          <w:b/>
          <w:bCs/>
        </w:rPr>
        <w:tab/>
      </w:r>
      <w:r w:rsidR="004238E7" w:rsidRPr="0027489B">
        <w:t>No se apoya la introducción de cambios en las bandas 6</w:t>
      </w:r>
      <w:r w:rsidR="006411B1" w:rsidRPr="0027489B">
        <w:t> </w:t>
      </w:r>
      <w:r w:rsidR="004238E7" w:rsidRPr="0027489B">
        <w:t>440</w:t>
      </w:r>
      <w:r w:rsidR="006411B1" w:rsidRPr="0027489B">
        <w:noBreakHyphen/>
      </w:r>
      <w:r w:rsidR="004238E7" w:rsidRPr="0027489B">
        <w:t>6</w:t>
      </w:r>
      <w:r w:rsidR="006411B1" w:rsidRPr="0027489B">
        <w:t> </w:t>
      </w:r>
      <w:r w:rsidR="004238E7" w:rsidRPr="0027489B">
        <w:t>520</w:t>
      </w:r>
      <w:r w:rsidR="006411B1" w:rsidRPr="0027489B">
        <w:t> </w:t>
      </w:r>
      <w:r w:rsidR="004238E7" w:rsidRPr="0027489B">
        <w:t>MHz y</w:t>
      </w:r>
      <w:r w:rsidR="0027489B" w:rsidRPr="0027489B">
        <w:t> </w:t>
      </w:r>
      <w:r w:rsidR="004238E7" w:rsidRPr="0027489B">
        <w:t>6</w:t>
      </w:r>
      <w:r w:rsidR="006411B1" w:rsidRPr="0027489B">
        <w:t> </w:t>
      </w:r>
      <w:r w:rsidR="004238E7" w:rsidRPr="0027489B">
        <w:t>560</w:t>
      </w:r>
      <w:r w:rsidR="006411B1" w:rsidRPr="0027489B">
        <w:noBreakHyphen/>
      </w:r>
      <w:r w:rsidR="004238E7" w:rsidRPr="0027489B">
        <w:t>6</w:t>
      </w:r>
      <w:r w:rsidR="006411B1" w:rsidRPr="0027489B">
        <w:t> </w:t>
      </w:r>
      <w:r w:rsidR="004238E7" w:rsidRPr="0027489B">
        <w:t>640</w:t>
      </w:r>
      <w:r w:rsidR="006411B1" w:rsidRPr="0027489B">
        <w:t> </w:t>
      </w:r>
      <w:r w:rsidR="004238E7" w:rsidRPr="0027489B">
        <w:t>MHz.</w:t>
      </w:r>
    </w:p>
    <w:p w14:paraId="3AC17C3B" w14:textId="77777777" w:rsidR="001523CF" w:rsidRPr="0027489B" w:rsidRDefault="003B69D2">
      <w:pPr>
        <w:pStyle w:val="Proposal"/>
      </w:pPr>
      <w:r w:rsidRPr="0027489B">
        <w:t>SUP</w:t>
      </w:r>
      <w:r w:rsidRPr="0027489B">
        <w:tab/>
        <w:t>ACP/24A14/3</w:t>
      </w:r>
      <w:r w:rsidRPr="0027489B">
        <w:rPr>
          <w:vanish/>
          <w:color w:val="7F7F7F" w:themeColor="text1" w:themeTint="80"/>
          <w:vertAlign w:val="superscript"/>
        </w:rPr>
        <w:t>#50365</w:t>
      </w:r>
    </w:p>
    <w:p w14:paraId="2BC7B58E" w14:textId="7BAFBA93" w:rsidR="007B7DBC" w:rsidRPr="0027489B" w:rsidRDefault="003B69D2" w:rsidP="00196C3C">
      <w:pPr>
        <w:pStyle w:val="ResNo"/>
      </w:pPr>
      <w:r w:rsidRPr="0027489B">
        <w:t xml:space="preserve">RESOLUCIÓN </w:t>
      </w:r>
      <w:r w:rsidRPr="0027489B">
        <w:rPr>
          <w:rStyle w:val="href"/>
        </w:rPr>
        <w:t>160</w:t>
      </w:r>
      <w:r w:rsidRPr="0027489B">
        <w:t xml:space="preserve"> (CMR-15)</w:t>
      </w:r>
      <w:bookmarkStart w:id="8" w:name="_GoBack"/>
      <w:bookmarkEnd w:id="8"/>
    </w:p>
    <w:p w14:paraId="278CE56D" w14:textId="77777777" w:rsidR="007B7DBC" w:rsidRPr="0027489B" w:rsidRDefault="003B69D2" w:rsidP="00196C3C">
      <w:pPr>
        <w:pStyle w:val="Restitle"/>
      </w:pPr>
      <w:r w:rsidRPr="0027489B">
        <w:t xml:space="preserve">Facilitación del acceso a aplicaciones de banda ancha transmitidas </w:t>
      </w:r>
      <w:r w:rsidRPr="0027489B">
        <w:br/>
        <w:t>por estaciones en plataformas de gran altitud</w:t>
      </w:r>
    </w:p>
    <w:p w14:paraId="31F05915" w14:textId="19390E6A" w:rsidR="00E76229" w:rsidRPr="0027489B" w:rsidRDefault="003B69D2" w:rsidP="00100A8E">
      <w:pPr>
        <w:pStyle w:val="Reasons"/>
      </w:pPr>
      <w:r w:rsidRPr="0027489B">
        <w:rPr>
          <w:b/>
          <w:bCs/>
        </w:rPr>
        <w:t>Motivos:</w:t>
      </w:r>
      <w:r w:rsidRPr="0027489B">
        <w:rPr>
          <w:b/>
          <w:bCs/>
        </w:rPr>
        <w:tab/>
      </w:r>
      <w:r w:rsidR="004238E7" w:rsidRPr="0027489B">
        <w:t>No es necesario proseguir los trabajos</w:t>
      </w:r>
      <w:r w:rsidR="00E76229" w:rsidRPr="0027489B">
        <w:t>.</w:t>
      </w:r>
    </w:p>
    <w:p w14:paraId="6C9657D6" w14:textId="77777777" w:rsidR="00E76229" w:rsidRPr="0027489B" w:rsidRDefault="00E76229" w:rsidP="00E76229">
      <w:pPr>
        <w:jc w:val="center"/>
      </w:pPr>
      <w:r w:rsidRPr="0027489B">
        <w:t>______________</w:t>
      </w:r>
    </w:p>
    <w:sectPr w:rsidR="00E76229" w:rsidRPr="002748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DCBB3" w14:textId="77777777" w:rsidR="00FD03C4" w:rsidRDefault="00FD03C4">
      <w:r>
        <w:separator/>
      </w:r>
    </w:p>
  </w:endnote>
  <w:endnote w:type="continuationSeparator" w:id="0">
    <w:p w14:paraId="41877196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108D2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C2C58" w14:textId="195F2C6A" w:rsidR="0077084A" w:rsidRPr="007A57C8" w:rsidRDefault="0077084A">
    <w:pPr>
      <w:ind w:right="360"/>
    </w:pPr>
    <w:r>
      <w:fldChar w:fldCharType="begin"/>
    </w:r>
    <w:r w:rsidRPr="007A57C8">
      <w:instrText xml:space="preserve"> FILENAME \p  \* MERGEFORMAT </w:instrText>
    </w:r>
    <w:r>
      <w:fldChar w:fldCharType="separate"/>
    </w:r>
    <w:r w:rsidR="007F062F">
      <w:rPr>
        <w:noProof/>
      </w:rPr>
      <w:t>P:\ESP\ITU-R\CONF-R\CMR19\000\024ADD14S.docx</w:t>
    </w:r>
    <w:r>
      <w:fldChar w:fldCharType="end"/>
    </w:r>
    <w:r w:rsidRPr="007A57C8">
      <w:tab/>
    </w:r>
    <w:r>
      <w:fldChar w:fldCharType="begin"/>
    </w:r>
    <w:r>
      <w:instrText xml:space="preserve"> SAVEDATE \@ DD.MM.YY </w:instrText>
    </w:r>
    <w:r>
      <w:fldChar w:fldCharType="separate"/>
    </w:r>
    <w:r w:rsidR="00100A8E">
      <w:rPr>
        <w:noProof/>
      </w:rPr>
      <w:t>03.10.19</w:t>
    </w:r>
    <w:r>
      <w:fldChar w:fldCharType="end"/>
    </w:r>
    <w:r w:rsidRPr="007A57C8">
      <w:tab/>
    </w:r>
    <w:r>
      <w:fldChar w:fldCharType="begin"/>
    </w:r>
    <w:r>
      <w:instrText xml:space="preserve"> PRINTDATE \@ DD.MM.YY </w:instrText>
    </w:r>
    <w:r>
      <w:fldChar w:fldCharType="separate"/>
    </w:r>
    <w:r w:rsidR="007F062F">
      <w:rPr>
        <w:noProof/>
      </w:rPr>
      <w:t>03.10.19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B71E8" w14:textId="14544B58" w:rsidR="0077084A" w:rsidRPr="009C62CF" w:rsidRDefault="00E63B56" w:rsidP="009C62CF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27489B">
      <w:t>P:\ESP\ITU-R\CONF-R\CMR19\000\024ADD14S.docx</w:t>
    </w:r>
    <w:r>
      <w:fldChar w:fldCharType="end"/>
    </w:r>
    <w:r w:rsidR="009C62CF">
      <w:t xml:space="preserve"> (461125)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83EBF" w14:textId="35856CAC" w:rsidR="0077084A" w:rsidRDefault="002C2D25" w:rsidP="009C62CF">
    <w:pPr>
      <w:pStyle w:val="Footer"/>
      <w:rPr>
        <w:lang w:val="en-US"/>
      </w:rPr>
    </w:pPr>
    <w:fldSimple w:instr=" FILENAME \p  \* MERGEFORMAT ">
      <w:r w:rsidR="0027489B">
        <w:t>P:\ESP\ITU-R\CONF-R\CMR19\000\024ADD14S.docx</w:t>
      </w:r>
    </w:fldSimple>
    <w:r w:rsidR="009C62CF">
      <w:t xml:space="preserve"> (461125)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F9AF1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69665B17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0C872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238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C6A6FD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24(Add.14)-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00A8E"/>
    <w:rsid w:val="001032DE"/>
    <w:rsid w:val="00121170"/>
    <w:rsid w:val="00123CC5"/>
    <w:rsid w:val="0015142D"/>
    <w:rsid w:val="001523CF"/>
    <w:rsid w:val="001616DC"/>
    <w:rsid w:val="00163962"/>
    <w:rsid w:val="00191A97"/>
    <w:rsid w:val="00196C3C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7489B"/>
    <w:rsid w:val="00294729"/>
    <w:rsid w:val="002A791F"/>
    <w:rsid w:val="002C1A52"/>
    <w:rsid w:val="002C1B26"/>
    <w:rsid w:val="002C2D25"/>
    <w:rsid w:val="002C5D6C"/>
    <w:rsid w:val="002C7D36"/>
    <w:rsid w:val="002E701F"/>
    <w:rsid w:val="003248A9"/>
    <w:rsid w:val="00324FFA"/>
    <w:rsid w:val="0032680B"/>
    <w:rsid w:val="0033006E"/>
    <w:rsid w:val="00331C2E"/>
    <w:rsid w:val="003434A1"/>
    <w:rsid w:val="00363A65"/>
    <w:rsid w:val="003B1E8C"/>
    <w:rsid w:val="003B69D2"/>
    <w:rsid w:val="003C2508"/>
    <w:rsid w:val="003D0AA3"/>
    <w:rsid w:val="003E2086"/>
    <w:rsid w:val="003F634B"/>
    <w:rsid w:val="003F7F66"/>
    <w:rsid w:val="00404C15"/>
    <w:rsid w:val="004238E7"/>
    <w:rsid w:val="00440B3A"/>
    <w:rsid w:val="0044375A"/>
    <w:rsid w:val="00450E8A"/>
    <w:rsid w:val="0045384C"/>
    <w:rsid w:val="00454553"/>
    <w:rsid w:val="00472A86"/>
    <w:rsid w:val="004B124A"/>
    <w:rsid w:val="004B3095"/>
    <w:rsid w:val="004D2C7C"/>
    <w:rsid w:val="004E5366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411B1"/>
    <w:rsid w:val="00662BA0"/>
    <w:rsid w:val="0067344B"/>
    <w:rsid w:val="00684A94"/>
    <w:rsid w:val="00692AAE"/>
    <w:rsid w:val="006C0E38"/>
    <w:rsid w:val="006D6E67"/>
    <w:rsid w:val="006D7D17"/>
    <w:rsid w:val="006E1A13"/>
    <w:rsid w:val="00701C20"/>
    <w:rsid w:val="00702F3D"/>
    <w:rsid w:val="0070518E"/>
    <w:rsid w:val="007354E9"/>
    <w:rsid w:val="0074579D"/>
    <w:rsid w:val="0075678D"/>
    <w:rsid w:val="00765578"/>
    <w:rsid w:val="00766333"/>
    <w:rsid w:val="0077084A"/>
    <w:rsid w:val="007952C7"/>
    <w:rsid w:val="007A2E57"/>
    <w:rsid w:val="007A57C8"/>
    <w:rsid w:val="007B7DBC"/>
    <w:rsid w:val="007C0B95"/>
    <w:rsid w:val="007C2317"/>
    <w:rsid w:val="007D330A"/>
    <w:rsid w:val="007F062F"/>
    <w:rsid w:val="00835E42"/>
    <w:rsid w:val="00866AE6"/>
    <w:rsid w:val="008750A8"/>
    <w:rsid w:val="008E5AF2"/>
    <w:rsid w:val="0090121B"/>
    <w:rsid w:val="009144C9"/>
    <w:rsid w:val="009167C0"/>
    <w:rsid w:val="0094091F"/>
    <w:rsid w:val="00962171"/>
    <w:rsid w:val="00973754"/>
    <w:rsid w:val="009C0BED"/>
    <w:rsid w:val="009C62CF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86034"/>
    <w:rsid w:val="00BE2E80"/>
    <w:rsid w:val="00BE5EDD"/>
    <w:rsid w:val="00BE6A1F"/>
    <w:rsid w:val="00BF3C56"/>
    <w:rsid w:val="00C126C4"/>
    <w:rsid w:val="00C44935"/>
    <w:rsid w:val="00C44E9E"/>
    <w:rsid w:val="00C63EB5"/>
    <w:rsid w:val="00C87DA7"/>
    <w:rsid w:val="00CC01E0"/>
    <w:rsid w:val="00CD5FEE"/>
    <w:rsid w:val="00CE60D2"/>
    <w:rsid w:val="00CE7431"/>
    <w:rsid w:val="00D0288A"/>
    <w:rsid w:val="00D60469"/>
    <w:rsid w:val="00D72A5D"/>
    <w:rsid w:val="00DA71A3"/>
    <w:rsid w:val="00DB0EF2"/>
    <w:rsid w:val="00DC629B"/>
    <w:rsid w:val="00DE1C31"/>
    <w:rsid w:val="00E05BFF"/>
    <w:rsid w:val="00E262F1"/>
    <w:rsid w:val="00E3176A"/>
    <w:rsid w:val="00E54754"/>
    <w:rsid w:val="00E56BD3"/>
    <w:rsid w:val="00E63B56"/>
    <w:rsid w:val="00E645C8"/>
    <w:rsid w:val="00E71D14"/>
    <w:rsid w:val="00E731D4"/>
    <w:rsid w:val="00E76229"/>
    <w:rsid w:val="00EA77F0"/>
    <w:rsid w:val="00F26259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057CE67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10pt">
    <w:name w:val="Art_ref + 10 pt"/>
    <w:basedOn w:val="Artref"/>
    <w:rsid w:val="006537F1"/>
    <w:rPr>
      <w:color w:val="000000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E645C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45C8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R16-WRC19-C-0024!A14!MSW-S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82FCB-CB33-4BB1-8E3B-C5D870ACE5FE}">
  <ds:schemaRefs>
    <ds:schemaRef ds:uri="http://schemas.microsoft.com/office/2006/metadata/properties"/>
    <ds:schemaRef ds:uri="http://purl.org/dc/dcmitype/"/>
    <ds:schemaRef ds:uri="996b2e75-67fd-4955-a3b0-5ab9934cb50b"/>
    <ds:schemaRef ds:uri="http://www.w3.org/XML/1998/namespace"/>
    <ds:schemaRef ds:uri="http://schemas.microsoft.com/office/2006/documentManagement/types"/>
    <ds:schemaRef ds:uri="32a1a8c5-2265-4ebc-b7a0-2071e2c5c9b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6E5B9-A768-4173-AB63-60EE2E9E8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C3F039-1D6A-4966-A213-B757FF5FCA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72629B-FB3F-4353-8F8C-C797E2CC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R16-WRC19-C-0024!A14!MSW-S</vt:lpstr>
    </vt:vector>
  </TitlesOfParts>
  <Manager>Secretaría General - Pool</Manager>
  <Company>Unión Internacional de Telecomunicaciones (UIT)</Company>
  <LinksUpToDate>false</LinksUpToDate>
  <CharactersWithSpaces>2620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R16-WRC19-C-0024!A14!MSW-S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26</cp:revision>
  <cp:lastPrinted>2019-10-03T09:38:00Z</cp:lastPrinted>
  <dcterms:created xsi:type="dcterms:W3CDTF">2019-10-03T09:19:00Z</dcterms:created>
  <dcterms:modified xsi:type="dcterms:W3CDTF">2019-10-07T14:02:00Z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