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92"/>
        <w:gridCol w:w="2980"/>
      </w:tblGrid>
      <w:tr w:rsidR="00280E04" w14:paraId="25282E69" w14:textId="77777777" w:rsidTr="009C2EA7">
        <w:trPr>
          <w:cantSplit/>
          <w:trHeight w:val="20"/>
        </w:trPr>
        <w:tc>
          <w:tcPr>
            <w:tcW w:w="6692" w:type="dxa"/>
          </w:tcPr>
          <w:p w14:paraId="6CB0BFC7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2980" w:type="dxa"/>
          </w:tcPr>
          <w:p w14:paraId="53BA1799" w14:textId="77777777" w:rsidR="00280E04" w:rsidRPr="009C2EA7" w:rsidRDefault="00A375BD" w:rsidP="00D44350">
            <w:pPr>
              <w:rPr>
                <w:sz w:val="30"/>
                <w:rtl/>
                <w:lang w:bidi="ar-EG"/>
              </w:rPr>
            </w:pPr>
            <w:bookmarkStart w:id="0" w:name="ditulogo"/>
            <w:bookmarkEnd w:id="0"/>
            <w:r w:rsidRPr="009C2EA7">
              <w:rPr>
                <w:noProof/>
                <w:sz w:val="30"/>
                <w:lang w:eastAsia="zh-CN"/>
              </w:rPr>
              <w:drawing>
                <wp:inline distT="0" distB="0" distL="0" distR="0" wp14:anchorId="6D38D6E3" wp14:editId="3898C00C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69906826" w14:textId="77777777" w:rsidTr="009C2EA7">
        <w:trPr>
          <w:cantSplit/>
          <w:trHeight w:val="20"/>
        </w:trPr>
        <w:tc>
          <w:tcPr>
            <w:tcW w:w="6692" w:type="dxa"/>
            <w:tcBorders>
              <w:bottom w:val="single" w:sz="12" w:space="0" w:color="auto"/>
            </w:tcBorders>
          </w:tcPr>
          <w:p w14:paraId="11894638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2980" w:type="dxa"/>
            <w:tcBorders>
              <w:bottom w:val="single" w:sz="12" w:space="0" w:color="auto"/>
            </w:tcBorders>
          </w:tcPr>
          <w:p w14:paraId="5A577E2D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47CA3D81" w14:textId="77777777" w:rsidTr="009C2EA7">
        <w:trPr>
          <w:cantSplit/>
          <w:trHeight w:val="20"/>
        </w:trPr>
        <w:tc>
          <w:tcPr>
            <w:tcW w:w="6692" w:type="dxa"/>
            <w:tcBorders>
              <w:top w:val="single" w:sz="12" w:space="0" w:color="auto"/>
            </w:tcBorders>
          </w:tcPr>
          <w:p w14:paraId="63F877E8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2980" w:type="dxa"/>
            <w:tcBorders>
              <w:top w:val="single" w:sz="12" w:space="0" w:color="auto"/>
            </w:tcBorders>
          </w:tcPr>
          <w:p w14:paraId="4E1CF405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A809E8" w:rsidRPr="00F545E4" w14:paraId="682B0F79" w14:textId="77777777" w:rsidTr="009C2EA7">
        <w:trPr>
          <w:cantSplit/>
        </w:trPr>
        <w:tc>
          <w:tcPr>
            <w:tcW w:w="6692" w:type="dxa"/>
          </w:tcPr>
          <w:p w14:paraId="34A667F6" w14:textId="77777777" w:rsidR="00A809E8" w:rsidRPr="009C2EA7" w:rsidRDefault="00F55E63" w:rsidP="00B45BFC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b w:val="0"/>
                <w:sz w:val="18"/>
                <w:rtl/>
              </w:rPr>
            </w:pPr>
            <w:r w:rsidRPr="009C2EA7">
              <w:rPr>
                <w:rFonts w:ascii="Verdana" w:hAnsi="Verdana"/>
                <w:b w:val="0"/>
                <w:sz w:val="18"/>
                <w:rtl/>
              </w:rPr>
              <w:t>الجلسة العامة</w:t>
            </w:r>
          </w:p>
        </w:tc>
        <w:tc>
          <w:tcPr>
            <w:tcW w:w="2980" w:type="dxa"/>
            <w:vAlign w:val="center"/>
          </w:tcPr>
          <w:p w14:paraId="6EEF29FF" w14:textId="659B50A0" w:rsidR="00A809E8" w:rsidRPr="00B45BFC" w:rsidRDefault="00B45BFC" w:rsidP="00B45BFC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b w:val="0"/>
                <w:sz w:val="18"/>
                <w:rtl/>
                <w:lang w:val="en-GB" w:bidi="ar-SA"/>
              </w:rPr>
            </w:pPr>
            <w:r w:rsidRPr="00B45BFC">
              <w:rPr>
                <w:rFonts w:ascii="Traditional Arabic" w:hAnsi="Traditional Arabic"/>
                <w:b w:val="0"/>
                <w:sz w:val="18"/>
                <w:rtl/>
                <w:lang w:val="en-GB" w:bidi="ar-SA"/>
              </w:rPr>
              <w:t xml:space="preserve">الإضافة </w:t>
            </w:r>
            <w:r w:rsidRPr="00B45BFC">
              <w:rPr>
                <w:rFonts w:ascii="Verdana" w:hAnsi="Verdana"/>
                <w:bCs w:val="0"/>
                <w:szCs w:val="19"/>
                <w:lang w:val="en-GB" w:bidi="ar-SA"/>
              </w:rPr>
              <w:t>6</w:t>
            </w:r>
            <w:r w:rsidR="007C7603" w:rsidRPr="009C2EA7">
              <w:rPr>
                <w:rFonts w:ascii="Verdana" w:hAnsi="Verdana"/>
                <w:b w:val="0"/>
                <w:sz w:val="18"/>
              </w:rPr>
              <w:br/>
            </w:r>
            <w:r w:rsidRPr="00B45BFC">
              <w:rPr>
                <w:rFonts w:ascii="Traditional Arabic" w:hAnsi="Traditional Arabic"/>
                <w:b w:val="0"/>
                <w:sz w:val="18"/>
                <w:rtl/>
                <w:lang w:val="en-GB" w:bidi="ar-SA"/>
              </w:rPr>
              <w:t>للوثيقة</w:t>
            </w:r>
            <w:r>
              <w:rPr>
                <w:rFonts w:ascii="Traditional Arabic" w:hAnsi="Traditional Arabic" w:hint="cs"/>
                <w:b w:val="0"/>
                <w:sz w:val="18"/>
                <w:rtl/>
                <w:lang w:val="en-GB" w:bidi="ar-SA"/>
              </w:rPr>
              <w:t>:</w:t>
            </w:r>
            <w:r w:rsidRPr="00B45BFC">
              <w:rPr>
                <w:rFonts w:ascii="Traditional Arabic" w:hAnsi="Traditional Arabic"/>
                <w:b w:val="0"/>
                <w:sz w:val="18"/>
                <w:rtl/>
                <w:lang w:val="en-GB" w:bidi="ar-SA"/>
              </w:rPr>
              <w:t xml:space="preserve"> </w:t>
            </w:r>
            <w:r w:rsidRPr="00B45BFC">
              <w:rPr>
                <w:rFonts w:ascii="Verdana" w:hAnsi="Verdana"/>
                <w:bCs w:val="0"/>
                <w:szCs w:val="19"/>
              </w:rPr>
              <w:t>24(Add.</w:t>
            </w:r>
            <w:proofErr w:type="gramStart"/>
            <w:r w:rsidRPr="00B45BFC">
              <w:rPr>
                <w:rFonts w:ascii="Verdana" w:hAnsi="Verdana"/>
                <w:bCs w:val="0"/>
                <w:szCs w:val="19"/>
              </w:rPr>
              <w:t>13)-</w:t>
            </w:r>
            <w:proofErr w:type="gramEnd"/>
            <w:r w:rsidRPr="00B45BFC">
              <w:rPr>
                <w:rFonts w:ascii="Verdana" w:hAnsi="Verdana"/>
                <w:bCs w:val="0"/>
                <w:szCs w:val="19"/>
              </w:rPr>
              <w:t>A</w:t>
            </w:r>
          </w:p>
        </w:tc>
      </w:tr>
      <w:tr w:rsidR="00A809E8" w:rsidRPr="00F545E4" w14:paraId="4F56E120" w14:textId="77777777" w:rsidTr="009C2EA7">
        <w:trPr>
          <w:cantSplit/>
        </w:trPr>
        <w:tc>
          <w:tcPr>
            <w:tcW w:w="6692" w:type="dxa"/>
          </w:tcPr>
          <w:p w14:paraId="56FD8E44" w14:textId="77777777" w:rsidR="00A809E8" w:rsidRPr="00B45BFC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bCs w:val="0"/>
                <w:sz w:val="18"/>
                <w:rtl/>
              </w:rPr>
            </w:pPr>
          </w:p>
        </w:tc>
        <w:tc>
          <w:tcPr>
            <w:tcW w:w="2980" w:type="dxa"/>
            <w:vAlign w:val="center"/>
          </w:tcPr>
          <w:p w14:paraId="5847A377" w14:textId="47E484C6" w:rsidR="00A809E8" w:rsidRPr="00B45BFC" w:rsidRDefault="00B45BFC" w:rsidP="00A42709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bCs w:val="0"/>
                <w:sz w:val="18"/>
                <w:rtl/>
              </w:rPr>
            </w:pPr>
            <w:r w:rsidRPr="00B45BFC">
              <w:rPr>
                <w:rFonts w:ascii="Verdana" w:eastAsia="SimSun" w:hAnsi="Verdana"/>
                <w:bCs w:val="0"/>
                <w:szCs w:val="19"/>
              </w:rPr>
              <w:t>20</w:t>
            </w:r>
            <w:r w:rsidR="00F55E63" w:rsidRPr="00B45BFC">
              <w:rPr>
                <w:rFonts w:ascii="Verdana" w:eastAsia="SimSun" w:hAnsi="Verdana"/>
                <w:bCs w:val="0"/>
                <w:sz w:val="18"/>
                <w:rtl/>
              </w:rPr>
              <w:t xml:space="preserve"> </w:t>
            </w:r>
            <w:r w:rsidR="00F55E63" w:rsidRPr="00B45BFC">
              <w:rPr>
                <w:rFonts w:ascii="Verdana" w:eastAsia="SimSun" w:hAnsi="Verdana"/>
                <w:b w:val="0"/>
                <w:sz w:val="18"/>
                <w:rtl/>
              </w:rPr>
              <w:t>سبتمبر</w:t>
            </w:r>
            <w:r w:rsidR="00F55E63" w:rsidRPr="00B45BFC">
              <w:rPr>
                <w:rFonts w:ascii="Verdana" w:eastAsia="SimSun" w:hAnsi="Verdana"/>
                <w:bCs w:val="0"/>
                <w:sz w:val="18"/>
                <w:rtl/>
              </w:rPr>
              <w:t xml:space="preserve"> </w:t>
            </w:r>
            <w:r w:rsidR="00F55E63" w:rsidRPr="00B45BFC">
              <w:rPr>
                <w:rFonts w:ascii="Verdana" w:eastAsia="SimSun" w:hAnsi="Verdana"/>
                <w:bCs w:val="0"/>
                <w:szCs w:val="19"/>
              </w:rPr>
              <w:t>2019</w:t>
            </w:r>
          </w:p>
        </w:tc>
      </w:tr>
      <w:tr w:rsidR="00A809E8" w:rsidRPr="00F545E4" w14:paraId="65C71C91" w14:textId="77777777" w:rsidTr="009C2EA7">
        <w:trPr>
          <w:cantSplit/>
        </w:trPr>
        <w:tc>
          <w:tcPr>
            <w:tcW w:w="6692" w:type="dxa"/>
          </w:tcPr>
          <w:p w14:paraId="53075ABF" w14:textId="77777777" w:rsidR="00A809E8" w:rsidRPr="009C2EA7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ascii="Verdana" w:eastAsia="SimSun" w:hAnsi="Verdana"/>
                <w:b w:val="0"/>
                <w:sz w:val="18"/>
              </w:rPr>
            </w:pPr>
          </w:p>
        </w:tc>
        <w:tc>
          <w:tcPr>
            <w:tcW w:w="2980" w:type="dxa"/>
            <w:vAlign w:val="center"/>
          </w:tcPr>
          <w:p w14:paraId="5C312E39" w14:textId="77777777" w:rsidR="00A809E8" w:rsidRPr="009C2EA7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ascii="Verdana" w:eastAsia="SimSun" w:hAnsi="Verdana"/>
                <w:b w:val="0"/>
                <w:sz w:val="18"/>
              </w:rPr>
            </w:pPr>
            <w:r w:rsidRPr="009C2EA7">
              <w:rPr>
                <w:rFonts w:ascii="Verdana" w:hAnsi="Verdana"/>
                <w:b w:val="0"/>
                <w:sz w:val="18"/>
                <w:rtl/>
              </w:rPr>
              <w:t>الأصل: بالإنكليزية</w:t>
            </w:r>
          </w:p>
        </w:tc>
      </w:tr>
      <w:tr w:rsidR="00764079" w14:paraId="69A2EBD7" w14:textId="77777777" w:rsidTr="00F55E63">
        <w:trPr>
          <w:cantSplit/>
        </w:trPr>
        <w:tc>
          <w:tcPr>
            <w:tcW w:w="9672" w:type="dxa"/>
            <w:gridSpan w:val="2"/>
          </w:tcPr>
          <w:p w14:paraId="229FDB0B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3E0605F5" w14:textId="77777777" w:rsidTr="00F55E63">
        <w:trPr>
          <w:cantSplit/>
        </w:trPr>
        <w:tc>
          <w:tcPr>
            <w:tcW w:w="9672" w:type="dxa"/>
            <w:gridSpan w:val="2"/>
          </w:tcPr>
          <w:p w14:paraId="2A3E95D0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مقترحـات مشتركـة</w:t>
            </w:r>
            <w:bookmarkStart w:id="1" w:name="_GoBack"/>
            <w:bookmarkEnd w:id="1"/>
            <w:r w:rsidRPr="00F55E63">
              <w:rPr>
                <w:rtl/>
              </w:rPr>
              <w:t xml:space="preserve"> مقدمة من جماعة آسيا والمحيط الهادئ للاتصالات</w:t>
            </w:r>
          </w:p>
        </w:tc>
      </w:tr>
      <w:tr w:rsidR="00764079" w14:paraId="37C2A417" w14:textId="77777777" w:rsidTr="00F55E63">
        <w:trPr>
          <w:cantSplit/>
        </w:trPr>
        <w:tc>
          <w:tcPr>
            <w:tcW w:w="9672" w:type="dxa"/>
            <w:gridSpan w:val="2"/>
          </w:tcPr>
          <w:p w14:paraId="081F6717" w14:textId="04655FF3" w:rsidR="00764079" w:rsidRPr="00BD6EF3" w:rsidRDefault="00BB0357" w:rsidP="00F55E63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14:paraId="2F20D304" w14:textId="77777777" w:rsidTr="00F55E63">
        <w:trPr>
          <w:cantSplit/>
        </w:trPr>
        <w:tc>
          <w:tcPr>
            <w:tcW w:w="9672" w:type="dxa"/>
            <w:gridSpan w:val="2"/>
          </w:tcPr>
          <w:p w14:paraId="411DCBD0" w14:textId="77777777" w:rsidR="00764079" w:rsidRPr="00BD6EF3" w:rsidRDefault="00764079" w:rsidP="008D4773">
            <w:pPr>
              <w:pStyle w:val="Title2"/>
              <w:spacing w:before="240"/>
              <w:rPr>
                <w:rtl/>
              </w:rPr>
            </w:pPr>
          </w:p>
        </w:tc>
      </w:tr>
      <w:tr w:rsidR="00764079" w14:paraId="130A756D" w14:textId="77777777" w:rsidTr="00F55E63">
        <w:trPr>
          <w:cantSplit/>
        </w:trPr>
        <w:tc>
          <w:tcPr>
            <w:tcW w:w="9672" w:type="dxa"/>
            <w:gridSpan w:val="2"/>
          </w:tcPr>
          <w:p w14:paraId="194BFBE0" w14:textId="1E7E6A48" w:rsidR="00764079" w:rsidRPr="0012545F" w:rsidRDefault="00DB4CC9" w:rsidP="008D4773">
            <w:pPr>
              <w:pStyle w:val="Agendaitem"/>
              <w:spacing w:before="120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BB0357">
              <w:rPr>
                <w:rFonts w:hint="cs"/>
                <w:rtl/>
                <w:lang w:val="en-US"/>
              </w:rPr>
              <w:t xml:space="preserve"> </w:t>
            </w:r>
            <w:r w:rsidR="00BB0357">
              <w:rPr>
                <w:lang w:val="en-US"/>
              </w:rPr>
              <w:t>13.1</w:t>
            </w:r>
          </w:p>
        </w:tc>
      </w:tr>
    </w:tbl>
    <w:p w14:paraId="1347A128" w14:textId="66255708" w:rsidR="001D597A" w:rsidRPr="008213CF" w:rsidRDefault="00BB0357" w:rsidP="008213CF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13.1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/>
          <w:rtl/>
          <w:lang w:eastAsia="zh-CN"/>
        </w:rPr>
        <w:t>النظر في </w:t>
      </w:r>
      <w:r w:rsidRPr="00723691">
        <w:rPr>
          <w:rFonts w:eastAsia="SimSun" w:hint="cs"/>
          <w:rtl/>
          <w:lang w:eastAsia="zh-CN"/>
        </w:rPr>
        <w:t>تحديد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>نطاقات</w:t>
      </w:r>
      <w:r w:rsidRPr="00723691">
        <w:rPr>
          <w:rFonts w:eastAsia="SimSun"/>
          <w:rtl/>
          <w:lang w:eastAsia="zh-CN"/>
        </w:rPr>
        <w:t xml:space="preserve"> تردد</w:t>
      </w:r>
      <w:r w:rsidRPr="00723691">
        <w:rPr>
          <w:rFonts w:eastAsia="SimSun" w:hint="cs"/>
          <w:rtl/>
          <w:lang w:eastAsia="zh-CN"/>
        </w:rPr>
        <w:t xml:space="preserve"> من أجل التطوير المستقبلي للاتصالات المتنقلة الدولية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(IMT)</w:t>
      </w:r>
      <w:r w:rsidRPr="00723691">
        <w:rPr>
          <w:rFonts w:eastAsia="SimSun" w:hint="cs"/>
          <w:rtl/>
          <w:lang w:eastAsia="zh-CN"/>
        </w:rPr>
        <w:t>،</w:t>
      </w:r>
      <w:r w:rsidRPr="00723691">
        <w:rPr>
          <w:rFonts w:eastAsia="SimSun"/>
          <w:rtl/>
          <w:lang w:eastAsia="zh-CN"/>
        </w:rPr>
        <w:t xml:space="preserve"> بما في ذلك</w:t>
      </w:r>
      <w:r w:rsidRPr="00723691">
        <w:rPr>
          <w:rFonts w:eastAsia="SimSun" w:hint="cs"/>
          <w:rtl/>
          <w:lang w:eastAsia="zh-CN"/>
        </w:rPr>
        <w:t xml:space="preserve"> إمكانية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>توزيع</w:t>
      </w:r>
      <w:r w:rsidRPr="00723691">
        <w:rPr>
          <w:rFonts w:eastAsia="SimSun"/>
          <w:rtl/>
          <w:lang w:eastAsia="zh-CN"/>
        </w:rPr>
        <w:t xml:space="preserve"> ترددات إضافية للخدمة المتنقلة</w:t>
      </w:r>
      <w:r w:rsidRPr="00723691">
        <w:rPr>
          <w:rFonts w:eastAsia="SimSun" w:hint="cs"/>
          <w:rtl/>
          <w:lang w:eastAsia="zh-CN"/>
        </w:rPr>
        <w:t xml:space="preserve"> على أساس أولي</w:t>
      </w:r>
      <w:r w:rsidRPr="00723691">
        <w:rPr>
          <w:rFonts w:eastAsia="SimSun"/>
          <w:rtl/>
          <w:lang w:eastAsia="zh-CN"/>
        </w:rPr>
        <w:t xml:space="preserve">، وفقاً </w:t>
      </w:r>
      <w:r w:rsidRPr="002E6F3B">
        <w:rPr>
          <w:rFonts w:eastAsia="SimSun"/>
          <w:rtl/>
          <w:lang w:eastAsia="zh-CN"/>
        </w:rPr>
        <w:t>للقرار</w:t>
      </w:r>
      <w:r w:rsidR="00B45BFC">
        <w:rPr>
          <w:rFonts w:eastAsia="SimSun" w:hint="cs"/>
          <w:b/>
          <w:bCs/>
          <w:rtl/>
          <w:lang w:eastAsia="zh-CN" w:bidi="ar-SY"/>
        </w:rPr>
        <w:t>؛</w:t>
      </w:r>
    </w:p>
    <w:p w14:paraId="3DFE24BE" w14:textId="5454FB02" w:rsidR="002F3E46" w:rsidRDefault="00BB0357" w:rsidP="00BB0357">
      <w:pPr>
        <w:pStyle w:val="Title4"/>
      </w:pPr>
      <w:r w:rsidRPr="004C2EC4">
        <w:rPr>
          <w:rFonts w:hint="cs"/>
          <w:rtl/>
        </w:rPr>
        <w:t xml:space="preserve">الجزء </w:t>
      </w:r>
      <w:r w:rsidRPr="004C2EC4">
        <w:t>6</w:t>
      </w:r>
      <w:r w:rsidRPr="004C2EC4">
        <w:rPr>
          <w:rFonts w:hint="cs"/>
          <w:rtl/>
        </w:rPr>
        <w:t xml:space="preserve"> </w:t>
      </w:r>
      <w:r w:rsidRPr="004C2EC4">
        <w:rPr>
          <w:rtl/>
        </w:rPr>
        <w:t>–</w:t>
      </w:r>
      <w:r w:rsidRPr="004C2EC4">
        <w:rPr>
          <w:rFonts w:hint="cs"/>
          <w:rtl/>
        </w:rPr>
        <w:t xml:space="preserve"> نطاق التردد </w:t>
      </w:r>
      <w:r w:rsidRPr="004C2EC4">
        <w:t>GHz 71-66</w:t>
      </w:r>
    </w:p>
    <w:p w14:paraId="5B2E5617" w14:textId="4BFD4CB9" w:rsidR="00BB0357" w:rsidRDefault="00BB0357" w:rsidP="00BB0357">
      <w:pPr>
        <w:pStyle w:val="Headingb"/>
        <w:rPr>
          <w:rtl/>
        </w:rPr>
      </w:pPr>
      <w:r w:rsidRPr="004C2EC4">
        <w:rPr>
          <w:rFonts w:hint="cs"/>
          <w:rtl/>
        </w:rPr>
        <w:t>مقدمة</w:t>
      </w:r>
    </w:p>
    <w:p w14:paraId="777400CC" w14:textId="64874DE5" w:rsidR="004C2EC4" w:rsidRPr="00B45BFC" w:rsidRDefault="004C2EC4" w:rsidP="004C2EC4">
      <w:pPr>
        <w:rPr>
          <w:spacing w:val="-2"/>
          <w:lang w:val="en-GB" w:bidi="ar-EG"/>
        </w:rPr>
      </w:pPr>
      <w:r w:rsidRPr="00B45BFC">
        <w:rPr>
          <w:rFonts w:hint="cs"/>
          <w:spacing w:val="-2"/>
          <w:rtl/>
        </w:rPr>
        <w:t>تقدم</w:t>
      </w:r>
      <w:r w:rsidRPr="00B45BFC">
        <w:rPr>
          <w:rFonts w:hint="cs"/>
          <w:spacing w:val="-2"/>
          <w:rtl/>
          <w:lang w:bidi="ar"/>
        </w:rPr>
        <w:t xml:space="preserve"> هذه الوثيقة المقترح المشترك ل</w:t>
      </w:r>
      <w:r w:rsidRPr="00B45BFC">
        <w:rPr>
          <w:spacing w:val="-2"/>
          <w:rtl/>
          <w:lang w:val="en-GB"/>
        </w:rPr>
        <w:t>جماعة آسيا والمحيط الهادئ للاتصالات</w:t>
      </w:r>
      <w:r w:rsidRPr="00B45BFC">
        <w:rPr>
          <w:rFonts w:hint="cs"/>
          <w:spacing w:val="-2"/>
          <w:rtl/>
          <w:lang w:val="en-GB" w:bidi="ar"/>
        </w:rPr>
        <w:t xml:space="preserve"> </w:t>
      </w:r>
      <w:r w:rsidRPr="00B45BFC">
        <w:rPr>
          <w:rFonts w:hint="cs"/>
          <w:spacing w:val="-2"/>
          <w:rtl/>
          <w:lang w:bidi="ar"/>
        </w:rPr>
        <w:t xml:space="preserve">فيما يتعلق بنطاق التردد </w:t>
      </w:r>
      <w:r w:rsidRPr="00B45BFC">
        <w:rPr>
          <w:rFonts w:hint="cs"/>
          <w:spacing w:val="-2"/>
          <w:lang w:val="en-GB" w:bidi="ar-EG"/>
        </w:rPr>
        <w:t>GHz 71-66</w:t>
      </w:r>
      <w:r w:rsidRPr="00B45BFC">
        <w:rPr>
          <w:rFonts w:hint="cs"/>
          <w:spacing w:val="-2"/>
          <w:rtl/>
          <w:lang w:bidi="ar"/>
        </w:rPr>
        <w:t xml:space="preserve"> في إطار البند </w:t>
      </w:r>
      <w:r w:rsidRPr="00B45BFC">
        <w:rPr>
          <w:spacing w:val="-2"/>
        </w:rPr>
        <w:t>13.1</w:t>
      </w:r>
      <w:r w:rsidRPr="00B45BFC">
        <w:rPr>
          <w:rFonts w:hint="cs"/>
          <w:spacing w:val="-2"/>
          <w:rtl/>
        </w:rPr>
        <w:t xml:space="preserve"> </w:t>
      </w:r>
      <w:r w:rsidRPr="00B45BFC">
        <w:rPr>
          <w:rFonts w:hint="cs"/>
          <w:spacing w:val="-2"/>
          <w:rtl/>
          <w:lang w:bidi="ar"/>
        </w:rPr>
        <w:t xml:space="preserve">من جدول أعمال المؤتمر العالمي للاتصالات الراديوية لعام </w:t>
      </w:r>
      <w:r w:rsidRPr="00B45BFC">
        <w:rPr>
          <w:spacing w:val="-2"/>
          <w:lang w:val="fr-FR" w:bidi="ar"/>
        </w:rPr>
        <w:t>2019</w:t>
      </w:r>
      <w:r w:rsidRPr="00B45BFC">
        <w:rPr>
          <w:rFonts w:hint="cs"/>
          <w:spacing w:val="-2"/>
          <w:rtl/>
          <w:lang w:bidi="ar"/>
        </w:rPr>
        <w:t xml:space="preserve"> </w:t>
      </w:r>
      <w:r w:rsidRPr="00B45BFC">
        <w:rPr>
          <w:spacing w:val="-2"/>
          <w:lang w:bidi="ar"/>
        </w:rPr>
        <w:t>(</w:t>
      </w:r>
      <w:r w:rsidRPr="00B45BFC">
        <w:rPr>
          <w:rFonts w:hint="cs"/>
          <w:spacing w:val="-2"/>
          <w:lang w:val="en-GB" w:bidi="ar-EG"/>
        </w:rPr>
        <w:t>WRC-19</w:t>
      </w:r>
      <w:r w:rsidRPr="00B45BFC">
        <w:rPr>
          <w:spacing w:val="-2"/>
          <w:lang w:val="en-GB" w:bidi="ar-EG"/>
        </w:rPr>
        <w:t>)</w:t>
      </w:r>
      <w:r w:rsidRPr="00B45BFC">
        <w:rPr>
          <w:rFonts w:hint="cs"/>
          <w:spacing w:val="-2"/>
          <w:rtl/>
          <w:lang w:bidi="ar"/>
        </w:rPr>
        <w:t>.</w:t>
      </w:r>
    </w:p>
    <w:p w14:paraId="1FE97E8B" w14:textId="58949D69" w:rsidR="00BB0357" w:rsidRDefault="00EE080C" w:rsidP="00BB0357">
      <w:pPr>
        <w:pStyle w:val="Headingb"/>
        <w:rPr>
          <w:rtl/>
        </w:rPr>
      </w:pPr>
      <w:r>
        <w:rPr>
          <w:rFonts w:hint="cs"/>
          <w:rtl/>
        </w:rPr>
        <w:t>ال</w:t>
      </w:r>
      <w:r w:rsidR="00BB0357" w:rsidRPr="004C2EC4">
        <w:rPr>
          <w:rFonts w:hint="cs"/>
          <w:rtl/>
        </w:rPr>
        <w:t>مقترحات</w:t>
      </w:r>
    </w:p>
    <w:p w14:paraId="0C8B9517" w14:textId="68420424" w:rsidR="004C2EC4" w:rsidRPr="004C2EC4" w:rsidRDefault="00B45BFC" w:rsidP="004C2EC4">
      <w:pPr>
        <w:rPr>
          <w:lang w:val="en-GB" w:bidi="ar-EG"/>
        </w:rPr>
      </w:pPr>
      <w:bookmarkStart w:id="2" w:name="_Hlk20738423"/>
      <w:r>
        <w:rPr>
          <w:rFonts w:hint="cs"/>
          <w:rtl/>
          <w:lang w:bidi="ar"/>
        </w:rPr>
        <w:t xml:space="preserve">يؤيد </w:t>
      </w:r>
      <w:r w:rsidR="004C2EC4" w:rsidRPr="004C2EC4">
        <w:rPr>
          <w:rFonts w:hint="cs"/>
          <w:rtl/>
          <w:lang w:bidi="ar"/>
        </w:rPr>
        <w:t xml:space="preserve">أعضاء </w:t>
      </w:r>
      <w:r w:rsidR="004C2EC4">
        <w:rPr>
          <w:rFonts w:hint="cs"/>
          <w:rtl/>
        </w:rPr>
        <w:t xml:space="preserve">جماعة </w:t>
      </w:r>
      <w:r w:rsidR="004C2EC4" w:rsidRPr="004C2EC4">
        <w:rPr>
          <w:rtl/>
          <w:lang w:val="en-GB"/>
        </w:rPr>
        <w:t>آسيا والمحيط الهادئ للاتصالات</w:t>
      </w:r>
      <w:r>
        <w:rPr>
          <w:rFonts w:hint="cs"/>
          <w:rtl/>
          <w:lang w:val="en-GB"/>
        </w:rPr>
        <w:t>،</w:t>
      </w:r>
      <w:r w:rsidR="004C2EC4" w:rsidRPr="004C2EC4">
        <w:rPr>
          <w:rFonts w:hint="cs"/>
          <w:rtl/>
          <w:lang w:val="en-GB" w:bidi="ar"/>
        </w:rPr>
        <w:t xml:space="preserve"> </w:t>
      </w:r>
      <w:r>
        <w:rPr>
          <w:rFonts w:hint="cs"/>
          <w:rtl/>
          <w:lang w:val="en-GB" w:bidi="ar"/>
        </w:rPr>
        <w:t xml:space="preserve">من حيث المبدأ </w:t>
      </w:r>
      <w:r w:rsidR="004C2EC4" w:rsidRPr="004C2EC4">
        <w:rPr>
          <w:rFonts w:hint="cs"/>
          <w:rtl/>
          <w:lang w:bidi="ar"/>
        </w:rPr>
        <w:t xml:space="preserve">تحديد نطاق التردد </w:t>
      </w:r>
      <w:r w:rsidR="004C2EC4" w:rsidRPr="004C2EC4">
        <w:rPr>
          <w:rFonts w:hint="cs"/>
          <w:lang w:val="en-GB" w:bidi="ar-EG"/>
        </w:rPr>
        <w:t>GHz 71-66</w:t>
      </w:r>
      <w:r w:rsidR="004C2EC4" w:rsidRPr="004C2EC4">
        <w:rPr>
          <w:rFonts w:hint="cs"/>
          <w:rtl/>
          <w:lang w:bidi="ar"/>
        </w:rPr>
        <w:t xml:space="preserve"> للاتصالات المتنقلة الدولية.</w:t>
      </w:r>
      <w:bookmarkEnd w:id="2"/>
      <w:r w:rsidR="004C2EC4" w:rsidRPr="004C2EC4">
        <w:rPr>
          <w:rFonts w:hint="cs"/>
          <w:rtl/>
          <w:lang w:bidi="ar"/>
        </w:rPr>
        <w:t xml:space="preserve"> ومع ذلك، ما زال أعضاء </w:t>
      </w:r>
      <w:r w:rsidR="00B61372">
        <w:rPr>
          <w:rFonts w:hint="cs"/>
          <w:rtl/>
        </w:rPr>
        <w:t xml:space="preserve">جماعة </w:t>
      </w:r>
      <w:r w:rsidR="00B61372" w:rsidRPr="004C2EC4">
        <w:rPr>
          <w:rtl/>
          <w:lang w:val="en-GB"/>
        </w:rPr>
        <w:t>آسيا والمحيط الهادئ للاتصالات</w:t>
      </w:r>
      <w:r w:rsidR="00B61372" w:rsidRPr="004C2EC4">
        <w:rPr>
          <w:rFonts w:hint="cs"/>
          <w:rtl/>
          <w:lang w:val="en-GB" w:bidi="ar"/>
        </w:rPr>
        <w:t xml:space="preserve"> </w:t>
      </w:r>
      <w:r w:rsidR="00A47BF6">
        <w:rPr>
          <w:rFonts w:hint="cs"/>
          <w:rtl/>
          <w:lang w:bidi="ar"/>
        </w:rPr>
        <w:t>يبحثون</w:t>
      </w:r>
      <w:r w:rsidR="004C2EC4" w:rsidRPr="004C2EC4">
        <w:rPr>
          <w:rFonts w:hint="cs"/>
          <w:rtl/>
          <w:lang w:bidi="ar"/>
        </w:rPr>
        <w:t xml:space="preserve"> في </w:t>
      </w:r>
      <w:r w:rsidR="0051213B">
        <w:rPr>
          <w:rFonts w:hint="cs"/>
          <w:rtl/>
          <w:lang w:bidi="ar"/>
        </w:rPr>
        <w:t>الأسلوب</w:t>
      </w:r>
      <w:r w:rsidR="004C2EC4" w:rsidRPr="004C2EC4">
        <w:rPr>
          <w:rFonts w:hint="cs"/>
          <w:rtl/>
          <w:lang w:bidi="ar"/>
        </w:rPr>
        <w:t xml:space="preserve"> والشرط</w:t>
      </w:r>
      <w:r w:rsidR="0051213B">
        <w:rPr>
          <w:rFonts w:hint="cs"/>
          <w:rtl/>
          <w:lang w:bidi="ar"/>
        </w:rPr>
        <w:t xml:space="preserve"> (الشروط)</w:t>
      </w:r>
      <w:r w:rsidR="004C2EC4" w:rsidRPr="004C2EC4">
        <w:rPr>
          <w:rFonts w:hint="cs"/>
          <w:rtl/>
          <w:lang w:bidi="ar"/>
        </w:rPr>
        <w:t xml:space="preserve"> الواجب اعتماده</w:t>
      </w:r>
      <w:r w:rsidR="0051213B">
        <w:rPr>
          <w:rFonts w:hint="cs"/>
          <w:rtl/>
          <w:lang w:bidi="ar"/>
        </w:rPr>
        <w:t>م</w:t>
      </w:r>
      <w:r w:rsidR="004C2EC4" w:rsidRPr="004C2EC4">
        <w:rPr>
          <w:rFonts w:hint="cs"/>
          <w:rtl/>
          <w:lang w:bidi="ar"/>
        </w:rPr>
        <w:t>ا عند تحديد هذا النطاق للاتصالات المتنقلة الدولية.</w:t>
      </w:r>
    </w:p>
    <w:p w14:paraId="07E81C1C" w14:textId="77777777" w:rsidR="00E3277D" w:rsidRDefault="00BB0357">
      <w:pPr>
        <w:pStyle w:val="Proposal"/>
      </w:pPr>
      <w:r>
        <w:tab/>
        <w:t>ACP/24A13A6/1</w:t>
      </w:r>
    </w:p>
    <w:p w14:paraId="6C921682" w14:textId="16B26830" w:rsidR="004C2EC4" w:rsidRDefault="004C2EC4" w:rsidP="004C2EC4">
      <w:pPr>
        <w:rPr>
          <w:rtl/>
          <w:lang w:bidi="ar"/>
        </w:rPr>
      </w:pPr>
      <w:r w:rsidRPr="004C2EC4">
        <w:rPr>
          <w:rFonts w:hint="cs"/>
          <w:rtl/>
          <w:lang w:bidi="ar"/>
        </w:rPr>
        <w:t xml:space="preserve">يدعم أعضاء </w:t>
      </w:r>
      <w:r>
        <w:rPr>
          <w:rFonts w:hint="cs"/>
          <w:rtl/>
        </w:rPr>
        <w:t xml:space="preserve">جماعة </w:t>
      </w:r>
      <w:r w:rsidRPr="004C2EC4">
        <w:rPr>
          <w:rtl/>
          <w:lang w:val="en-GB"/>
        </w:rPr>
        <w:t>آسيا والمحيط الهادئ للاتصالات</w:t>
      </w:r>
      <w:r w:rsidR="008D4773">
        <w:rPr>
          <w:rFonts w:hint="cs"/>
          <w:rtl/>
          <w:lang w:val="en-GB"/>
        </w:rPr>
        <w:t>،</w:t>
      </w:r>
      <w:r w:rsidR="008D4773" w:rsidRPr="008D4773">
        <w:rPr>
          <w:rFonts w:hint="cs"/>
          <w:rtl/>
          <w:lang w:bidi="ar"/>
        </w:rPr>
        <w:t xml:space="preserve"> </w:t>
      </w:r>
      <w:r w:rsidR="008D4773" w:rsidRPr="004C2EC4">
        <w:rPr>
          <w:rFonts w:hint="cs"/>
          <w:rtl/>
          <w:lang w:bidi="ar"/>
        </w:rPr>
        <w:t xml:space="preserve">من حيث المبدأ </w:t>
      </w:r>
      <w:r w:rsidRPr="004C2EC4">
        <w:rPr>
          <w:rFonts w:hint="cs"/>
          <w:rtl/>
          <w:lang w:bidi="ar"/>
        </w:rPr>
        <w:t xml:space="preserve">تحديد نطاق التردد </w:t>
      </w:r>
      <w:r w:rsidRPr="004C2EC4">
        <w:rPr>
          <w:rFonts w:hint="cs"/>
          <w:lang w:val="en-GB" w:bidi="ar-EG"/>
        </w:rPr>
        <w:t>GHz 71-66</w:t>
      </w:r>
      <w:r w:rsidRPr="004C2EC4">
        <w:rPr>
          <w:rFonts w:hint="cs"/>
          <w:rtl/>
          <w:lang w:bidi="ar"/>
        </w:rPr>
        <w:t xml:space="preserve"> للاتصالات المتنقلة الدولية. </w:t>
      </w:r>
    </w:p>
    <w:p w14:paraId="65DECF16" w14:textId="4EA98818" w:rsidR="00BB0357" w:rsidRPr="00EE080C" w:rsidRDefault="00BB0357" w:rsidP="008D4773">
      <w:pPr>
        <w:pStyle w:val="Reasons"/>
        <w:rPr>
          <w:rFonts w:ascii="Times New Roman" w:hAnsi="Times New Roman"/>
          <w:b w:val="0"/>
          <w:bCs w:val="0"/>
          <w:highlight w:val="cyan"/>
          <w:rtl/>
          <w:lang w:val="en-GB" w:bidi="ar-EG"/>
        </w:rPr>
      </w:pPr>
      <w:r w:rsidRPr="004C2EC4">
        <w:rPr>
          <w:rtl/>
        </w:rPr>
        <w:t>الأسباب:</w:t>
      </w:r>
      <w:r>
        <w:tab/>
      </w:r>
      <w:r w:rsidR="004C2EC4" w:rsidRPr="00EE080C">
        <w:rPr>
          <w:rFonts w:ascii="Times New Roman" w:hAnsi="Times New Roman" w:hint="cs"/>
          <w:b w:val="0"/>
          <w:bCs w:val="0"/>
          <w:rtl/>
          <w:lang w:bidi="ar"/>
        </w:rPr>
        <w:t xml:space="preserve">من شأن تحديد نطاق التردد </w:t>
      </w:r>
      <w:r w:rsidR="004C2EC4" w:rsidRPr="00EE080C">
        <w:rPr>
          <w:rFonts w:ascii="Times New Roman" w:hAnsi="Times New Roman" w:hint="cs"/>
          <w:b w:val="0"/>
          <w:bCs w:val="0"/>
          <w:lang w:val="en-GB" w:bidi="ar-EG"/>
        </w:rPr>
        <w:t>GHz 71-66</w:t>
      </w:r>
      <w:r w:rsidR="004C2EC4" w:rsidRPr="00EE080C">
        <w:rPr>
          <w:rFonts w:ascii="Times New Roman" w:hAnsi="Times New Roman" w:hint="cs"/>
          <w:b w:val="0"/>
          <w:bCs w:val="0"/>
          <w:rtl/>
          <w:lang w:bidi="ar"/>
        </w:rPr>
        <w:t xml:space="preserve"> للاتصالات المتنقلة الدولية أن يساعد على تلبية الحاجة </w:t>
      </w:r>
      <w:r w:rsidR="00D928B9" w:rsidRPr="00EE080C">
        <w:rPr>
          <w:rFonts w:ascii="Times New Roman" w:hAnsi="Times New Roman" w:hint="cs"/>
          <w:b w:val="0"/>
          <w:bCs w:val="0"/>
          <w:rtl/>
          <w:lang w:bidi="ar"/>
        </w:rPr>
        <w:t xml:space="preserve">إلى </w:t>
      </w:r>
      <w:r w:rsidR="004C2EC4" w:rsidRPr="00EE080C">
        <w:rPr>
          <w:rFonts w:ascii="Times New Roman" w:hAnsi="Times New Roman" w:hint="cs"/>
          <w:b w:val="0"/>
          <w:bCs w:val="0"/>
          <w:rtl/>
          <w:lang w:bidi="ar"/>
        </w:rPr>
        <w:t xml:space="preserve">طيف إضافي في نطاقات التردد فوق </w:t>
      </w:r>
      <w:r w:rsidR="004C2EC4" w:rsidRPr="00EE080C">
        <w:rPr>
          <w:rFonts w:ascii="Times New Roman" w:hAnsi="Times New Roman" w:hint="cs"/>
          <w:b w:val="0"/>
          <w:bCs w:val="0"/>
          <w:lang w:val="en-GB" w:bidi="ar-EG"/>
        </w:rPr>
        <w:t>GHz 24</w:t>
      </w:r>
      <w:r w:rsidR="004C2EC4" w:rsidRPr="00EE080C">
        <w:rPr>
          <w:rFonts w:ascii="Times New Roman" w:hAnsi="Times New Roman" w:hint="cs"/>
          <w:b w:val="0"/>
          <w:bCs w:val="0"/>
          <w:rtl/>
          <w:lang w:bidi="ar"/>
        </w:rPr>
        <w:t>.</w:t>
      </w:r>
    </w:p>
    <w:p w14:paraId="2FBB63B2" w14:textId="77777777" w:rsidR="00BB0357" w:rsidRPr="00A55576" w:rsidRDefault="00BB0357" w:rsidP="00EE080C">
      <w:pPr>
        <w:spacing w:before="48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BB0357" w:rsidRPr="00A5557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D0F0A" w14:textId="77777777" w:rsidR="00EA5D25" w:rsidRDefault="00EA5D25" w:rsidP="002919E1">
      <w:r>
        <w:separator/>
      </w:r>
    </w:p>
    <w:p w14:paraId="0DD6F589" w14:textId="77777777" w:rsidR="00EA5D25" w:rsidRDefault="00EA5D25" w:rsidP="002919E1"/>
    <w:p w14:paraId="0A9648D6" w14:textId="77777777" w:rsidR="00EA5D25" w:rsidRDefault="00EA5D25" w:rsidP="002919E1"/>
    <w:p w14:paraId="4274F8D5" w14:textId="77777777" w:rsidR="00EA5D25" w:rsidRDefault="00EA5D25"/>
  </w:endnote>
  <w:endnote w:type="continuationSeparator" w:id="0">
    <w:p w14:paraId="302F42E6" w14:textId="77777777" w:rsidR="00EA5D25" w:rsidRDefault="00EA5D25" w:rsidP="002919E1">
      <w:r>
        <w:continuationSeparator/>
      </w:r>
    </w:p>
    <w:p w14:paraId="20262D20" w14:textId="77777777" w:rsidR="00EA5D25" w:rsidRDefault="00EA5D25" w:rsidP="002919E1"/>
    <w:p w14:paraId="739DE79C" w14:textId="77777777" w:rsidR="00EA5D25" w:rsidRDefault="00EA5D25" w:rsidP="002919E1"/>
    <w:p w14:paraId="0BCB345A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84CB4" w14:textId="5DFF1562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851496">
      <w:rPr>
        <w:noProof/>
      </w:rPr>
      <w:t>P:\ARA\ITU-R\CONF-R\CMR19\000\024ADD13ADD06A.docx</w:t>
    </w:r>
    <w:r>
      <w:fldChar w:fldCharType="end"/>
    </w:r>
    <w:proofErr w:type="gramStart"/>
    <w:r w:rsidRPr="00A809E8">
      <w:t xml:space="preserve">   (</w:t>
    </w:r>
    <w:proofErr w:type="gramEnd"/>
    <w:r w:rsidR="005A3C74">
      <w:t>461123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F861C" w14:textId="57F4A36D" w:rsidR="00281F5F" w:rsidRPr="005A3C74" w:rsidRDefault="005A3C74" w:rsidP="005A3C74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851496">
      <w:rPr>
        <w:noProof/>
      </w:rPr>
      <w:t>P:\ARA\ITU-R\CONF-R\CMR19\000\024ADD13ADD06A.docx</w:t>
    </w:r>
    <w:r>
      <w:fldChar w:fldCharType="end"/>
    </w:r>
    <w:proofErr w:type="gramStart"/>
    <w:r w:rsidRPr="00A809E8">
      <w:t xml:space="preserve">   (</w:t>
    </w:r>
    <w:proofErr w:type="gramEnd"/>
    <w:r>
      <w:t>461123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C5051" w14:textId="77777777" w:rsidR="00EA5D25" w:rsidRDefault="00EA5D25" w:rsidP="002919E1">
      <w:r>
        <w:t>___________________</w:t>
      </w:r>
    </w:p>
  </w:footnote>
  <w:footnote w:type="continuationSeparator" w:id="0">
    <w:p w14:paraId="4CC0A9D8" w14:textId="77777777" w:rsidR="00EA5D25" w:rsidRDefault="00EA5D25" w:rsidP="002919E1">
      <w:r>
        <w:continuationSeparator/>
      </w:r>
    </w:p>
    <w:p w14:paraId="16409764" w14:textId="77777777" w:rsidR="00EA5D25" w:rsidRDefault="00EA5D25" w:rsidP="002919E1"/>
    <w:p w14:paraId="46FC9B96" w14:textId="77777777" w:rsidR="00EA5D25" w:rsidRDefault="00EA5D25" w:rsidP="002919E1"/>
    <w:p w14:paraId="63E9B589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C7DF3" w14:textId="77777777" w:rsidR="00281F5F" w:rsidRDefault="00281F5F" w:rsidP="002919E1"/>
  <w:p w14:paraId="50B8C132" w14:textId="77777777" w:rsidR="00281F5F" w:rsidRDefault="00281F5F" w:rsidP="002919E1"/>
  <w:p w14:paraId="5AD886E9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60387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24(Add.</w:t>
    </w:r>
    <w:proofErr w:type="gramStart"/>
    <w:r>
      <w:rPr>
        <w:rStyle w:val="PageNumber"/>
      </w:rPr>
      <w:t>13)(</w:t>
    </w:r>
    <w:proofErr w:type="gramEnd"/>
    <w:r>
      <w:rPr>
        <w:rStyle w:val="PageNumber"/>
      </w:rPr>
      <w:t>Add.6)-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3841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7626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E466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A4A5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2EC4"/>
    <w:rsid w:val="004C5C04"/>
    <w:rsid w:val="004D0448"/>
    <w:rsid w:val="004D4AE6"/>
    <w:rsid w:val="00505FCA"/>
    <w:rsid w:val="00510C2D"/>
    <w:rsid w:val="0051213B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A3C74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1496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4773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C2EA7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47BF6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45BFC"/>
    <w:rsid w:val="00B606BA"/>
    <w:rsid w:val="00B61372"/>
    <w:rsid w:val="00B66817"/>
    <w:rsid w:val="00B71E3B"/>
    <w:rsid w:val="00B721D5"/>
    <w:rsid w:val="00B81CB5"/>
    <w:rsid w:val="00B8351F"/>
    <w:rsid w:val="00B86C44"/>
    <w:rsid w:val="00B9727C"/>
    <w:rsid w:val="00BA7D44"/>
    <w:rsid w:val="00BB0357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05DE5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28B9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277D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080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4461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DAF6A53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VolumeTitle0">
    <w:name w:val="VolumeTitle"/>
    <w:basedOn w:val="Normal"/>
    <w:next w:val="Normal"/>
    <w:autoRedefine/>
    <w:qFormat/>
    <w:rsid w:val="00BB0357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Traditional Arabic" w:hAnsi="Traditional Arabic"/>
      <w:b/>
      <w:bCs/>
      <w:sz w:val="44"/>
      <w:szCs w:val="44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4C2EC4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C2EC4"/>
    <w:rPr>
      <w:rFonts w:ascii="Consolas" w:hAnsi="Consolas" w:cs="Traditional Arabic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R16-WRC19-C-0024!A13-A6!MSW-A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93CD9-341D-468B-989F-16E76CC96BE4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996b2e75-67fd-4955-a3b0-5ab9934cb50b"/>
    <ds:schemaRef ds:uri="32a1a8c5-2265-4ebc-b7a0-2071e2c5c9bb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8A8BE23-B4F8-44CC-BDDE-D32C41F347B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10C0FAD-9F55-48D2-AA98-E0DAF88B84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0A35A0-7F1F-4F93-9AC1-7BF60001B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1AED7C-0AAB-4C48-AEF9-E4345FCE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195</Words>
  <Characters>1059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R16-WRC19-C-0024!A13-A6!MSW-A</vt:lpstr>
    </vt:vector>
  </TitlesOfParts>
  <Manager>General Secretariat - Pool</Manager>
  <Company>International Telecommunication Union (ITU)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R16-WRC19-C-0024!A13-A6!MSW-A</dc:title>
  <dc:creator>Documents Proposals Manager (DPM)</dc:creator>
  <cp:keywords>DPM_v2019.9.25.1_prod</cp:keywords>
  <cp:lastModifiedBy>Riz, Imad</cp:lastModifiedBy>
  <cp:revision>5</cp:revision>
  <cp:lastPrinted>2019-10-16T12:24:00Z</cp:lastPrinted>
  <dcterms:created xsi:type="dcterms:W3CDTF">2019-10-08T08:30:00Z</dcterms:created>
  <dcterms:modified xsi:type="dcterms:W3CDTF">2019-10-16T12:24:00Z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