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0A0EF3" w14:paraId="0745CC01" w14:textId="77777777" w:rsidTr="009C5AC7">
        <w:trPr>
          <w:cantSplit/>
        </w:trPr>
        <w:tc>
          <w:tcPr>
            <w:tcW w:w="6663" w:type="dxa"/>
          </w:tcPr>
          <w:p w14:paraId="53140235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368" w:type="dxa"/>
          </w:tcPr>
          <w:p w14:paraId="41A58E02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5BD0FB13" wp14:editId="7B3CF5D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54C6BC33" w14:textId="77777777" w:rsidTr="009C5AC7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1BAFFDB6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49A4DD33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18DFE23A" w14:textId="77777777" w:rsidTr="009C5AC7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672EE616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0D3DD9F9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14:paraId="4DFB0969" w14:textId="77777777" w:rsidTr="009C5AC7">
        <w:trPr>
          <w:cantSplit/>
        </w:trPr>
        <w:tc>
          <w:tcPr>
            <w:tcW w:w="6663" w:type="dxa"/>
          </w:tcPr>
          <w:p w14:paraId="5FF68A75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368" w:type="dxa"/>
          </w:tcPr>
          <w:p w14:paraId="102A9DF9" w14:textId="585640CA" w:rsidR="005651C9" w:rsidRPr="009C5AC7" w:rsidRDefault="005A295E" w:rsidP="009C5AC7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9C5AC7">
              <w:rPr>
                <w:rFonts w:ascii="Verdana" w:hAnsi="Verdana"/>
                <w:b/>
                <w:bCs/>
                <w:sz w:val="18"/>
                <w:szCs w:val="18"/>
              </w:rPr>
              <w:t xml:space="preserve">Дополнительный документ </w:t>
            </w:r>
            <w:r w:rsidR="009D2DD9" w:rsidRPr="009D2DD9">
              <w:rPr>
                <w:rFonts w:ascii="Verdana" w:hAnsi="Verdana"/>
                <w:b/>
                <w:bCs/>
                <w:sz w:val="18"/>
                <w:szCs w:val="18"/>
              </w:rPr>
              <w:t>13</w:t>
            </w:r>
            <w:r w:rsidRPr="009C5AC7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9C5AC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40297ABD" w14:textId="77777777" w:rsidTr="009C5AC7">
        <w:trPr>
          <w:cantSplit/>
        </w:trPr>
        <w:tc>
          <w:tcPr>
            <w:tcW w:w="6663" w:type="dxa"/>
          </w:tcPr>
          <w:p w14:paraId="32A4E493" w14:textId="77777777" w:rsidR="000F33D8" w:rsidRPr="009C5AC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7AE1B6A9" w14:textId="77777777" w:rsidR="000F33D8" w:rsidRPr="005651C9" w:rsidRDefault="000F33D8" w:rsidP="009C5AC7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57B9E37" w14:textId="77777777" w:rsidTr="009C5AC7">
        <w:trPr>
          <w:cantSplit/>
        </w:trPr>
        <w:tc>
          <w:tcPr>
            <w:tcW w:w="6663" w:type="dxa"/>
          </w:tcPr>
          <w:p w14:paraId="12567C8E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368" w:type="dxa"/>
          </w:tcPr>
          <w:p w14:paraId="1AF50989" w14:textId="77777777" w:rsidR="000F33D8" w:rsidRPr="005651C9" w:rsidRDefault="000F33D8" w:rsidP="009C5AC7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4981359B" w14:textId="77777777" w:rsidTr="009546EA">
        <w:trPr>
          <w:cantSplit/>
        </w:trPr>
        <w:tc>
          <w:tcPr>
            <w:tcW w:w="10031" w:type="dxa"/>
            <w:gridSpan w:val="2"/>
          </w:tcPr>
          <w:p w14:paraId="32718ED4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7571DEBA" w14:textId="77777777">
        <w:trPr>
          <w:cantSplit/>
        </w:trPr>
        <w:tc>
          <w:tcPr>
            <w:tcW w:w="10031" w:type="dxa"/>
            <w:gridSpan w:val="2"/>
          </w:tcPr>
          <w:p w14:paraId="7CF245EF" w14:textId="77777777" w:rsidR="000F33D8" w:rsidRPr="009C5AC7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9C5AC7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723FDC20" w14:textId="77777777">
        <w:trPr>
          <w:cantSplit/>
        </w:trPr>
        <w:tc>
          <w:tcPr>
            <w:tcW w:w="10031" w:type="dxa"/>
            <w:gridSpan w:val="2"/>
          </w:tcPr>
          <w:p w14:paraId="2C7A7DFB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5" w:name="dtitle1" w:colFirst="0" w:colLast="0"/>
            <w:bookmarkEnd w:id="4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0E8C5D6C" w14:textId="77777777">
        <w:trPr>
          <w:cantSplit/>
        </w:trPr>
        <w:tc>
          <w:tcPr>
            <w:tcW w:w="10031" w:type="dxa"/>
            <w:gridSpan w:val="2"/>
          </w:tcPr>
          <w:p w14:paraId="16EC9E94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313DB231" w14:textId="77777777">
        <w:trPr>
          <w:cantSplit/>
        </w:trPr>
        <w:tc>
          <w:tcPr>
            <w:tcW w:w="10031" w:type="dxa"/>
            <w:gridSpan w:val="2"/>
          </w:tcPr>
          <w:p w14:paraId="39E8C0EA" w14:textId="5FE03599"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 xml:space="preserve">Пункт </w:t>
            </w:r>
            <w:r w:rsidR="009D2DD9">
              <w:t>1</w:t>
            </w:r>
            <w:r w:rsidR="009D2DD9">
              <w:rPr>
                <w:lang w:val="ru-RU"/>
              </w:rPr>
              <w:t>.13</w:t>
            </w:r>
            <w:r w:rsidRPr="005A295E">
              <w:t xml:space="preserve"> повестки дня</w:t>
            </w:r>
          </w:p>
        </w:tc>
      </w:tr>
    </w:tbl>
    <w:bookmarkEnd w:id="7"/>
    <w:p w14:paraId="214B6387" w14:textId="4D8D61F6" w:rsidR="009D2DD9" w:rsidRPr="006802EA" w:rsidRDefault="009D2DD9" w:rsidP="006802EA">
      <w:r w:rsidRPr="006802EA">
        <w:t>1.13</w:t>
      </w:r>
      <w:r w:rsidRPr="006802EA">
        <w:tab/>
        <w:t xml:space="preserve"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 </w:t>
      </w:r>
      <w:r w:rsidRPr="006802EA">
        <w:rPr>
          <w:b/>
          <w:bCs/>
        </w:rPr>
        <w:t>238 (</w:t>
      </w:r>
      <w:r w:rsidR="006802EA" w:rsidRPr="006802EA">
        <w:rPr>
          <w:b/>
          <w:bCs/>
        </w:rPr>
        <w:t>ВКР</w:t>
      </w:r>
      <w:r w:rsidRPr="006802EA">
        <w:rPr>
          <w:b/>
          <w:bCs/>
        </w:rPr>
        <w:t>-15)</w:t>
      </w:r>
      <w:r w:rsidRPr="006802EA">
        <w:t>;</w:t>
      </w:r>
    </w:p>
    <w:p w14:paraId="6435F76D" w14:textId="784D5EF9" w:rsidR="009D2DD9" w:rsidRPr="006802EA" w:rsidRDefault="009D2DD9" w:rsidP="006802EA">
      <w:r w:rsidRPr="006802EA">
        <w:t xml:space="preserve">Общие предложения Азиатско-Тихоокеанского сообщества электросвязи (ОП АТСЭ) по пункту 1.13 повестки дня ВКР-19 содержатся в дополнительных документах к настоящему документу. Различные дополнительные документы были подготовлены </w:t>
      </w:r>
      <w:r w:rsidR="006C6CCF" w:rsidRPr="006802EA">
        <w:t xml:space="preserve">в отношении </w:t>
      </w:r>
      <w:r w:rsidRPr="006802EA">
        <w:t xml:space="preserve">полос </w:t>
      </w:r>
      <w:r w:rsidR="006C6CCF" w:rsidRPr="006802EA">
        <w:t xml:space="preserve">для рассмотрения в рамках </w:t>
      </w:r>
      <w:r w:rsidRPr="006802EA">
        <w:t>данно</w:t>
      </w:r>
      <w:r w:rsidR="006C6CCF" w:rsidRPr="006802EA">
        <w:t>го</w:t>
      </w:r>
      <w:r w:rsidRPr="006802EA">
        <w:t xml:space="preserve"> пункт</w:t>
      </w:r>
      <w:r w:rsidR="006C6CCF" w:rsidRPr="006802EA">
        <w:t>а</w:t>
      </w:r>
      <w:r w:rsidRPr="006802EA">
        <w:t xml:space="preserve"> повестки дня. </w:t>
      </w:r>
      <w:r w:rsidR="006C6CCF" w:rsidRPr="006802EA">
        <w:t xml:space="preserve">Кроме того, в отдельном дополнительном документе </w:t>
      </w:r>
      <w:r w:rsidR="008251AA" w:rsidRPr="006802EA">
        <w:t>содержатся общие</w:t>
      </w:r>
      <w:r w:rsidR="006C6CCF" w:rsidRPr="006802EA">
        <w:t xml:space="preserve"> предложения АТСЭ относительно рассмотрения вопроса о</w:t>
      </w:r>
      <w:r w:rsidR="008251AA" w:rsidRPr="006802EA">
        <w:t>б</w:t>
      </w:r>
      <w:r w:rsidR="006C6CCF" w:rsidRPr="006802EA">
        <w:t xml:space="preserve"> общей излучаемой мощности </w:t>
      </w:r>
      <w:r w:rsidRPr="006802EA">
        <w:t xml:space="preserve">(TRP). </w:t>
      </w:r>
      <w:r w:rsidR="006C6CCF" w:rsidRPr="006802EA">
        <w:t>В</w:t>
      </w:r>
      <w:r w:rsidR="006802EA">
        <w:t> </w:t>
      </w:r>
      <w:r w:rsidR="006C6CCF" w:rsidRPr="006802EA">
        <w:t>приведенной таблице показан</w:t>
      </w:r>
      <w:r w:rsidR="008251AA" w:rsidRPr="006802EA">
        <w:t>о распределени</w:t>
      </w:r>
      <w:bookmarkStart w:id="8" w:name="_GoBack"/>
      <w:bookmarkEnd w:id="8"/>
      <w:r w:rsidR="008251AA" w:rsidRPr="006802EA">
        <w:t>е ОП АТСЭ в различных дополнительных документах</w:t>
      </w:r>
      <w:r w:rsidRPr="006802EA">
        <w:t>:</w:t>
      </w:r>
    </w:p>
    <w:p w14:paraId="0561F215" w14:textId="77777777" w:rsidR="009D2DD9" w:rsidRPr="008251AA" w:rsidRDefault="009D2DD9" w:rsidP="009D2D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960"/>
        <w:gridCol w:w="3604"/>
      </w:tblGrid>
      <w:tr w:rsidR="009D2DD9" w:rsidRPr="00467A63" w14:paraId="14AD93C7" w14:textId="77777777" w:rsidTr="00DA6CBE">
        <w:tc>
          <w:tcPr>
            <w:tcW w:w="2065" w:type="dxa"/>
            <w:shd w:val="clear" w:color="auto" w:fill="D9D9D9" w:themeFill="background1" w:themeFillShade="D9"/>
          </w:tcPr>
          <w:p w14:paraId="1990CF2C" w14:textId="5E775E18" w:rsidR="009D2DD9" w:rsidRPr="006802EA" w:rsidRDefault="009D2DD9" w:rsidP="006802EA">
            <w:pPr>
              <w:pStyle w:val="Tablehead"/>
              <w:rPr>
                <w:lang w:val="ru-RU"/>
              </w:rPr>
            </w:pPr>
            <w:r w:rsidRPr="006802EA">
              <w:t xml:space="preserve">Доп. док. </w:t>
            </w:r>
            <w:r w:rsidR="006802EA">
              <w:rPr>
                <w:lang w:val="ru-RU"/>
              </w:rPr>
              <w:t>№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3687FA8" w14:textId="2F1CADA1" w:rsidR="009D2DD9" w:rsidRPr="006802EA" w:rsidRDefault="009D2DD9" w:rsidP="006802EA">
            <w:pPr>
              <w:pStyle w:val="Tablehead"/>
            </w:pPr>
            <w:r w:rsidRPr="006802EA">
              <w:t xml:space="preserve">Полосы частот 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14:paraId="3AF64478" w14:textId="67E56119" w:rsidR="009D2DD9" w:rsidRPr="006802EA" w:rsidRDefault="009D2DD9" w:rsidP="006802EA">
            <w:pPr>
              <w:pStyle w:val="Tablehead"/>
            </w:pPr>
            <w:r w:rsidRPr="006802EA">
              <w:t xml:space="preserve">ОП АТСЭ </w:t>
            </w:r>
            <w:r w:rsidR="006802EA">
              <w:rPr>
                <w:lang w:val="ru-RU"/>
              </w:rPr>
              <w:t>№</w:t>
            </w:r>
            <w:r w:rsidRPr="006802EA">
              <w:t xml:space="preserve"> </w:t>
            </w:r>
          </w:p>
        </w:tc>
      </w:tr>
      <w:tr w:rsidR="009D2DD9" w:rsidRPr="00467A63" w14:paraId="3461443E" w14:textId="77777777" w:rsidTr="00DA6CBE">
        <w:tc>
          <w:tcPr>
            <w:tcW w:w="2065" w:type="dxa"/>
          </w:tcPr>
          <w:p w14:paraId="620AE726" w14:textId="77777777" w:rsidR="009D2DD9" w:rsidRPr="006802EA" w:rsidRDefault="009D2DD9" w:rsidP="006802EA">
            <w:pPr>
              <w:pStyle w:val="Tabletext"/>
            </w:pPr>
            <w:r w:rsidRPr="006802EA">
              <w:t>A1</w:t>
            </w:r>
          </w:p>
        </w:tc>
        <w:tc>
          <w:tcPr>
            <w:tcW w:w="3960" w:type="dxa"/>
          </w:tcPr>
          <w:p w14:paraId="57527CF0" w14:textId="208E1F0D" w:rsidR="009D2DD9" w:rsidRPr="006802EA" w:rsidRDefault="009D2DD9" w:rsidP="006802EA">
            <w:pPr>
              <w:pStyle w:val="Tabletext"/>
            </w:pPr>
            <w:r w:rsidRPr="006802EA">
              <w:rPr>
                <w:rFonts w:eastAsia="MS Mincho"/>
              </w:rPr>
              <w:t>24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>25</w:t>
            </w:r>
            <w:r w:rsidR="006802EA" w:rsidRPr="006802EA">
              <w:rPr>
                <w:rFonts w:eastAsia="MS Mincho"/>
              </w:rPr>
              <w:t>–</w:t>
            </w:r>
            <w:r w:rsidRPr="006802EA">
              <w:rPr>
                <w:rFonts w:eastAsia="MS Mincho"/>
              </w:rPr>
              <w:t>27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 xml:space="preserve">5 </w:t>
            </w:r>
            <w:r w:rsidRPr="006802EA">
              <w:t>МГц</w:t>
            </w:r>
          </w:p>
        </w:tc>
        <w:tc>
          <w:tcPr>
            <w:tcW w:w="3604" w:type="dxa"/>
          </w:tcPr>
          <w:p w14:paraId="128FDEC1" w14:textId="1F1A43C4" w:rsidR="009D2DD9" w:rsidRPr="006802EA" w:rsidRDefault="009D2DD9" w:rsidP="006802EA">
            <w:pPr>
              <w:pStyle w:val="Tabletext"/>
            </w:pPr>
            <w:r w:rsidRPr="006802EA">
              <w:t>A13-A1/1−6</w:t>
            </w:r>
          </w:p>
        </w:tc>
      </w:tr>
      <w:tr w:rsidR="009D2DD9" w:rsidRPr="00467A63" w14:paraId="35CEBB56" w14:textId="77777777" w:rsidTr="00DA6CBE">
        <w:tc>
          <w:tcPr>
            <w:tcW w:w="2065" w:type="dxa"/>
          </w:tcPr>
          <w:p w14:paraId="1283C5DC" w14:textId="77777777" w:rsidR="009D2DD9" w:rsidRPr="006802EA" w:rsidRDefault="009D2DD9" w:rsidP="006802EA">
            <w:pPr>
              <w:pStyle w:val="Tabletext"/>
            </w:pPr>
            <w:r w:rsidRPr="006802EA">
              <w:t>A2</w:t>
            </w:r>
          </w:p>
        </w:tc>
        <w:tc>
          <w:tcPr>
            <w:tcW w:w="3960" w:type="dxa"/>
          </w:tcPr>
          <w:p w14:paraId="644A3966" w14:textId="5CBEFACE" w:rsidR="009D2DD9" w:rsidRPr="006802EA" w:rsidRDefault="009D2DD9" w:rsidP="006802EA">
            <w:pPr>
              <w:pStyle w:val="Tabletext"/>
            </w:pPr>
            <w:r w:rsidRPr="006802EA">
              <w:rPr>
                <w:rFonts w:eastAsia="MS Mincho"/>
              </w:rPr>
              <w:t>31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>8</w:t>
            </w:r>
            <w:r w:rsidR="006802EA" w:rsidRPr="006802EA">
              <w:rPr>
                <w:rFonts w:eastAsia="MS Mincho"/>
              </w:rPr>
              <w:t>–</w:t>
            </w:r>
            <w:r w:rsidRPr="006802EA">
              <w:rPr>
                <w:rFonts w:eastAsia="MS Mincho"/>
              </w:rPr>
              <w:t>33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 xml:space="preserve">4 </w:t>
            </w:r>
            <w:r w:rsidRPr="006802EA">
              <w:t>МГц</w:t>
            </w:r>
          </w:p>
        </w:tc>
        <w:tc>
          <w:tcPr>
            <w:tcW w:w="3604" w:type="dxa"/>
          </w:tcPr>
          <w:p w14:paraId="0E88EBE7" w14:textId="77777777" w:rsidR="009D2DD9" w:rsidRPr="006802EA" w:rsidRDefault="009D2DD9" w:rsidP="006802EA">
            <w:pPr>
              <w:pStyle w:val="Tabletext"/>
            </w:pPr>
            <w:r w:rsidRPr="006802EA">
              <w:t>A13-A2/1</w:t>
            </w:r>
          </w:p>
        </w:tc>
      </w:tr>
      <w:tr w:rsidR="009D2DD9" w:rsidRPr="00467A63" w14:paraId="35E5C807" w14:textId="77777777" w:rsidTr="00DA6CBE">
        <w:tc>
          <w:tcPr>
            <w:tcW w:w="2065" w:type="dxa"/>
          </w:tcPr>
          <w:p w14:paraId="56F5917B" w14:textId="77777777" w:rsidR="009D2DD9" w:rsidRPr="006802EA" w:rsidRDefault="009D2DD9" w:rsidP="006802EA">
            <w:pPr>
              <w:pStyle w:val="Tabletext"/>
            </w:pPr>
            <w:r w:rsidRPr="006802EA">
              <w:t>A3</w:t>
            </w:r>
          </w:p>
        </w:tc>
        <w:tc>
          <w:tcPr>
            <w:tcW w:w="3960" w:type="dxa"/>
          </w:tcPr>
          <w:p w14:paraId="25DB0137" w14:textId="65EABAB2" w:rsidR="009D2DD9" w:rsidRPr="006802EA" w:rsidRDefault="009D2DD9" w:rsidP="006802EA">
            <w:pPr>
              <w:pStyle w:val="Tabletext"/>
            </w:pPr>
            <w:r w:rsidRPr="006802EA">
              <w:rPr>
                <w:rFonts w:eastAsia="MS Mincho"/>
              </w:rPr>
              <w:t>37</w:t>
            </w:r>
            <w:r w:rsidR="006802EA" w:rsidRPr="006802EA">
              <w:rPr>
                <w:rFonts w:eastAsia="MS Mincho"/>
              </w:rPr>
              <w:t>–</w:t>
            </w:r>
            <w:r w:rsidRPr="006802EA">
              <w:rPr>
                <w:rFonts w:eastAsia="MS Mincho"/>
              </w:rPr>
              <w:t>40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>5, 40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>5</w:t>
            </w:r>
            <w:r w:rsidR="006802EA" w:rsidRPr="006802EA">
              <w:rPr>
                <w:rFonts w:eastAsia="MS Mincho"/>
              </w:rPr>
              <w:t>–</w:t>
            </w:r>
            <w:r w:rsidRPr="006802EA">
              <w:rPr>
                <w:rFonts w:eastAsia="MS Mincho"/>
              </w:rPr>
              <w:t>42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>5 и 42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>5</w:t>
            </w:r>
            <w:r w:rsidR="006802EA" w:rsidRPr="006802EA">
              <w:rPr>
                <w:rFonts w:eastAsia="MS Mincho"/>
              </w:rPr>
              <w:t>–</w:t>
            </w:r>
            <w:r w:rsidRPr="006802EA">
              <w:rPr>
                <w:rFonts w:eastAsia="MS Mincho"/>
              </w:rPr>
              <w:t>43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 xml:space="preserve">5 </w:t>
            </w:r>
            <w:r w:rsidRPr="006802EA">
              <w:t>МГц</w:t>
            </w:r>
          </w:p>
        </w:tc>
        <w:tc>
          <w:tcPr>
            <w:tcW w:w="3604" w:type="dxa"/>
          </w:tcPr>
          <w:p w14:paraId="5DCA532D" w14:textId="0B1339E9" w:rsidR="009D2DD9" w:rsidRPr="006802EA" w:rsidRDefault="009D2DD9" w:rsidP="006802EA">
            <w:pPr>
              <w:pStyle w:val="Tabletext"/>
            </w:pPr>
            <w:r w:rsidRPr="006802EA">
              <w:t>A13-A3/1−5</w:t>
            </w:r>
          </w:p>
        </w:tc>
      </w:tr>
      <w:tr w:rsidR="009D2DD9" w:rsidRPr="00467A63" w14:paraId="1CF4FA6E" w14:textId="77777777" w:rsidTr="00DA6CBE">
        <w:tc>
          <w:tcPr>
            <w:tcW w:w="2065" w:type="dxa"/>
          </w:tcPr>
          <w:p w14:paraId="4B3796D9" w14:textId="77777777" w:rsidR="009D2DD9" w:rsidRPr="006802EA" w:rsidRDefault="009D2DD9" w:rsidP="006802EA">
            <w:pPr>
              <w:pStyle w:val="Tabletext"/>
            </w:pPr>
            <w:r w:rsidRPr="006802EA">
              <w:t>A4</w:t>
            </w:r>
          </w:p>
        </w:tc>
        <w:tc>
          <w:tcPr>
            <w:tcW w:w="3960" w:type="dxa"/>
          </w:tcPr>
          <w:p w14:paraId="2EA2E8A9" w14:textId="724AA17E" w:rsidR="009D2DD9" w:rsidRPr="006802EA" w:rsidRDefault="009D2DD9" w:rsidP="006802EA">
            <w:pPr>
              <w:pStyle w:val="Tabletext"/>
            </w:pPr>
            <w:r w:rsidRPr="006802EA">
              <w:rPr>
                <w:rFonts w:eastAsia="MS Mincho"/>
              </w:rPr>
              <w:t>45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>5</w:t>
            </w:r>
            <w:r w:rsidR="006802EA" w:rsidRPr="006802EA">
              <w:rPr>
                <w:rFonts w:eastAsia="MS Mincho"/>
              </w:rPr>
              <w:t>–</w:t>
            </w:r>
            <w:r w:rsidRPr="006802EA">
              <w:rPr>
                <w:rFonts w:eastAsia="MS Mincho"/>
              </w:rPr>
              <w:t xml:space="preserve">47 </w:t>
            </w:r>
            <w:r w:rsidRPr="006802EA">
              <w:t>МГц</w:t>
            </w:r>
          </w:p>
        </w:tc>
        <w:tc>
          <w:tcPr>
            <w:tcW w:w="3604" w:type="dxa"/>
          </w:tcPr>
          <w:p w14:paraId="3AC46F77" w14:textId="77777777" w:rsidR="009D2DD9" w:rsidRPr="006802EA" w:rsidRDefault="009D2DD9" w:rsidP="006802EA">
            <w:pPr>
              <w:pStyle w:val="Tabletext"/>
            </w:pPr>
            <w:r w:rsidRPr="006802EA">
              <w:t>A13-A4/1</w:t>
            </w:r>
          </w:p>
        </w:tc>
      </w:tr>
      <w:tr w:rsidR="009D2DD9" w:rsidRPr="00467A63" w14:paraId="2F5D4DA1" w14:textId="77777777" w:rsidTr="00DA6CBE">
        <w:tc>
          <w:tcPr>
            <w:tcW w:w="2065" w:type="dxa"/>
          </w:tcPr>
          <w:p w14:paraId="7D380B66" w14:textId="77777777" w:rsidR="009D2DD9" w:rsidRPr="006802EA" w:rsidRDefault="009D2DD9" w:rsidP="006802EA">
            <w:pPr>
              <w:pStyle w:val="Tabletext"/>
            </w:pPr>
            <w:r w:rsidRPr="006802EA">
              <w:t>A5</w:t>
            </w:r>
          </w:p>
        </w:tc>
        <w:tc>
          <w:tcPr>
            <w:tcW w:w="3960" w:type="dxa"/>
          </w:tcPr>
          <w:p w14:paraId="6A1A4628" w14:textId="218C1DA5" w:rsidR="009D2DD9" w:rsidRPr="006802EA" w:rsidRDefault="009D2DD9" w:rsidP="006802EA">
            <w:pPr>
              <w:pStyle w:val="Tabletext"/>
            </w:pPr>
            <w:r w:rsidRPr="006802EA">
              <w:rPr>
                <w:rFonts w:eastAsia="MS Mincho"/>
              </w:rPr>
              <w:t>47</w:t>
            </w:r>
            <w:r w:rsidR="006802EA" w:rsidRPr="006802EA">
              <w:rPr>
                <w:rFonts w:eastAsia="MS Mincho"/>
              </w:rPr>
              <w:t>–</w:t>
            </w:r>
            <w:r w:rsidRPr="006802EA">
              <w:rPr>
                <w:rFonts w:eastAsia="MS Mincho"/>
              </w:rPr>
              <w:t>47</w:t>
            </w:r>
            <w:r w:rsidR="006802EA">
              <w:rPr>
                <w:rFonts w:eastAsia="MS Mincho"/>
              </w:rPr>
              <w:t>,</w:t>
            </w:r>
            <w:r w:rsidRPr="006802EA">
              <w:rPr>
                <w:rFonts w:eastAsia="MS Mincho"/>
              </w:rPr>
              <w:t xml:space="preserve">2 </w:t>
            </w:r>
            <w:r w:rsidRPr="006802EA">
              <w:t>МГц</w:t>
            </w:r>
          </w:p>
        </w:tc>
        <w:tc>
          <w:tcPr>
            <w:tcW w:w="3604" w:type="dxa"/>
          </w:tcPr>
          <w:p w14:paraId="0D026159" w14:textId="77777777" w:rsidR="009D2DD9" w:rsidRPr="006802EA" w:rsidRDefault="009D2DD9" w:rsidP="006802EA">
            <w:pPr>
              <w:pStyle w:val="Tabletext"/>
            </w:pPr>
            <w:r w:rsidRPr="006802EA">
              <w:t>A13-A5/1</w:t>
            </w:r>
          </w:p>
        </w:tc>
      </w:tr>
      <w:tr w:rsidR="009D2DD9" w:rsidRPr="00467A63" w14:paraId="5784F559" w14:textId="77777777" w:rsidTr="00DA6CBE">
        <w:tc>
          <w:tcPr>
            <w:tcW w:w="2065" w:type="dxa"/>
          </w:tcPr>
          <w:p w14:paraId="2977D91B" w14:textId="77777777" w:rsidR="009D2DD9" w:rsidRPr="006802EA" w:rsidRDefault="009D2DD9" w:rsidP="006802EA">
            <w:pPr>
              <w:pStyle w:val="Tabletext"/>
            </w:pPr>
            <w:r w:rsidRPr="006802EA">
              <w:t>A6</w:t>
            </w:r>
          </w:p>
        </w:tc>
        <w:tc>
          <w:tcPr>
            <w:tcW w:w="3960" w:type="dxa"/>
          </w:tcPr>
          <w:p w14:paraId="75D09C73" w14:textId="6BB06223" w:rsidR="009D2DD9" w:rsidRPr="006802EA" w:rsidRDefault="009D2DD9" w:rsidP="006802EA">
            <w:pPr>
              <w:pStyle w:val="Tabletext"/>
            </w:pPr>
            <w:r w:rsidRPr="006802EA">
              <w:rPr>
                <w:rFonts w:eastAsia="MS Mincho"/>
              </w:rPr>
              <w:t>66</w:t>
            </w:r>
            <w:r w:rsidR="006802EA" w:rsidRPr="006802EA">
              <w:rPr>
                <w:rFonts w:eastAsia="MS Mincho"/>
              </w:rPr>
              <w:t>–</w:t>
            </w:r>
            <w:r w:rsidRPr="006802EA">
              <w:rPr>
                <w:rFonts w:eastAsia="MS Mincho"/>
              </w:rPr>
              <w:t xml:space="preserve">71 </w:t>
            </w:r>
            <w:r w:rsidRPr="006802EA">
              <w:t>МГц</w:t>
            </w:r>
          </w:p>
        </w:tc>
        <w:tc>
          <w:tcPr>
            <w:tcW w:w="3604" w:type="dxa"/>
          </w:tcPr>
          <w:p w14:paraId="5F0ED818" w14:textId="77777777" w:rsidR="009D2DD9" w:rsidRPr="006802EA" w:rsidRDefault="009D2DD9" w:rsidP="006802EA">
            <w:pPr>
              <w:pStyle w:val="Tabletext"/>
            </w:pPr>
            <w:r w:rsidRPr="006802EA">
              <w:t>A13-A6/1</w:t>
            </w:r>
          </w:p>
        </w:tc>
      </w:tr>
      <w:tr w:rsidR="009D2DD9" w:rsidRPr="00467A63" w14:paraId="4A107B95" w14:textId="77777777" w:rsidTr="00DA6CBE">
        <w:tc>
          <w:tcPr>
            <w:tcW w:w="2065" w:type="dxa"/>
          </w:tcPr>
          <w:p w14:paraId="22C52F00" w14:textId="77777777" w:rsidR="009D2DD9" w:rsidRPr="006802EA" w:rsidRDefault="009D2DD9" w:rsidP="006802EA">
            <w:pPr>
              <w:pStyle w:val="Tabletext"/>
            </w:pPr>
            <w:r w:rsidRPr="006802EA">
              <w:t>A7</w:t>
            </w:r>
          </w:p>
        </w:tc>
        <w:tc>
          <w:tcPr>
            <w:tcW w:w="3960" w:type="dxa"/>
          </w:tcPr>
          <w:p w14:paraId="01A8DA69" w14:textId="27EB2688" w:rsidR="009D2DD9" w:rsidRPr="006802EA" w:rsidRDefault="006C6CCF" w:rsidP="006802EA">
            <w:pPr>
              <w:pStyle w:val="Tabletext"/>
            </w:pPr>
            <w:r w:rsidRPr="006802EA">
              <w:rPr>
                <w:rFonts w:hint="eastAsia"/>
              </w:rPr>
              <w:t>Рассмотрение</w:t>
            </w:r>
            <w:r w:rsidRPr="006802EA">
              <w:t xml:space="preserve"> вопроса о</w:t>
            </w:r>
            <w:r w:rsidR="009D2DD9" w:rsidRPr="006802EA">
              <w:t xml:space="preserve"> </w:t>
            </w:r>
            <w:r w:rsidR="009D2DD9" w:rsidRPr="006802EA">
              <w:rPr>
                <w:rFonts w:eastAsia="MS Mincho"/>
              </w:rPr>
              <w:t>TRP</w:t>
            </w:r>
          </w:p>
        </w:tc>
        <w:tc>
          <w:tcPr>
            <w:tcW w:w="3604" w:type="dxa"/>
          </w:tcPr>
          <w:p w14:paraId="45CFA597" w14:textId="77777777" w:rsidR="009D2DD9" w:rsidRPr="006802EA" w:rsidRDefault="009D2DD9" w:rsidP="006802EA">
            <w:pPr>
              <w:pStyle w:val="Tabletext"/>
            </w:pPr>
            <w:r w:rsidRPr="006802EA">
              <w:t>A13-A7/1</w:t>
            </w:r>
          </w:p>
        </w:tc>
      </w:tr>
    </w:tbl>
    <w:p w14:paraId="340364B0" w14:textId="2AF5B043" w:rsidR="009C5AC7" w:rsidRPr="009C5AC7" w:rsidRDefault="009C5AC7" w:rsidP="009C5AC7">
      <w:pPr>
        <w:spacing w:before="480"/>
        <w:jc w:val="center"/>
      </w:pPr>
      <w:r>
        <w:t>______________</w:t>
      </w:r>
    </w:p>
    <w:sectPr w:rsidR="009C5AC7" w:rsidRPr="009C5AC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C9C36" w14:textId="77777777" w:rsidR="00F1578A" w:rsidRDefault="00F1578A">
      <w:r>
        <w:separator/>
      </w:r>
    </w:p>
  </w:endnote>
  <w:endnote w:type="continuationSeparator" w:id="0">
    <w:p w14:paraId="78F1CBD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389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DCCF018" w14:textId="25F7D57B" w:rsidR="00567276" w:rsidRPr="006802EA" w:rsidRDefault="00567276">
    <w:pPr>
      <w:ind w:right="360"/>
      <w:rPr>
        <w:lang w:val="en-GB"/>
      </w:rPr>
    </w:pPr>
    <w:r>
      <w:fldChar w:fldCharType="begin"/>
    </w:r>
    <w:r w:rsidRPr="006802EA">
      <w:rPr>
        <w:lang w:val="en-GB"/>
      </w:rPr>
      <w:instrText xml:space="preserve"> FILENAME \p  \* MERGEFORMAT </w:instrText>
    </w:r>
    <w:r>
      <w:fldChar w:fldCharType="separate"/>
    </w:r>
    <w:r w:rsidR="00F1535C" w:rsidRPr="006802EA">
      <w:rPr>
        <w:noProof/>
        <w:lang w:val="en-GB"/>
      </w:rPr>
      <w:t>P:\R\ITU-R\CONF-R\CMR19\000\024ADD13R.docx</w:t>
    </w:r>
    <w:r>
      <w:fldChar w:fldCharType="end"/>
    </w:r>
    <w:r w:rsidRPr="006802EA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02EA">
      <w:rPr>
        <w:noProof/>
      </w:rPr>
      <w:t>16.10.19</w:t>
    </w:r>
    <w:r>
      <w:fldChar w:fldCharType="end"/>
    </w:r>
    <w:r w:rsidRPr="006802EA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1535C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5EE3D" w14:textId="60164FE0" w:rsidR="00567276" w:rsidRDefault="00567276" w:rsidP="00F33B22">
    <w:pPr>
      <w:pStyle w:val="Footer"/>
    </w:pPr>
    <w:r>
      <w:fldChar w:fldCharType="begin"/>
    </w:r>
    <w:r w:rsidRPr="006802EA">
      <w:instrText xml:space="preserve"> FILENAME \p  \* MERGEFORMAT </w:instrText>
    </w:r>
    <w:r>
      <w:fldChar w:fldCharType="separate"/>
    </w:r>
    <w:r w:rsidR="00F1535C" w:rsidRPr="006802EA">
      <w:t>P:\R\ITU-R\CONF-R\CMR19\000\024ADD13R.docx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BCE90" w14:textId="483C1939" w:rsidR="00567276" w:rsidRPr="007E6C9B" w:rsidRDefault="00567276" w:rsidP="00FB67E5">
    <w:pPr>
      <w:pStyle w:val="Footer"/>
    </w:pPr>
    <w:r>
      <w:fldChar w:fldCharType="begin"/>
    </w:r>
    <w:r w:rsidRPr="006802EA">
      <w:instrText xml:space="preserve"> FILENAME \p  \* MERGEFORMAT </w:instrText>
    </w:r>
    <w:r>
      <w:fldChar w:fldCharType="separate"/>
    </w:r>
    <w:r w:rsidR="006802EA">
      <w:t>P:\RUS\ITU-R\CONF-R\CMR19\000\024ADD13R.docx</w:t>
    </w:r>
    <w:r>
      <w:fldChar w:fldCharType="end"/>
    </w:r>
    <w:r w:rsidR="007E6C9B" w:rsidRPr="007E6C9B">
      <w:t xml:space="preserve"> (461</w:t>
    </w:r>
    <w:r w:rsidR="006802EA" w:rsidRPr="006802EA">
      <w:t>108</w:t>
    </w:r>
    <w:r w:rsidR="007E6C9B" w:rsidRPr="007E6C9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EBE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F8D375B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B974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107D505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24(Add.24)-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52AD4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4760A"/>
    <w:rsid w:val="005651C9"/>
    <w:rsid w:val="00567276"/>
    <w:rsid w:val="005755E2"/>
    <w:rsid w:val="00597005"/>
    <w:rsid w:val="005A295E"/>
    <w:rsid w:val="005D1879"/>
    <w:rsid w:val="005D79A3"/>
    <w:rsid w:val="005E61DD"/>
    <w:rsid w:val="005F7FA0"/>
    <w:rsid w:val="006023DF"/>
    <w:rsid w:val="006115BE"/>
    <w:rsid w:val="00614771"/>
    <w:rsid w:val="00620DD7"/>
    <w:rsid w:val="00657DE0"/>
    <w:rsid w:val="006802EA"/>
    <w:rsid w:val="00681534"/>
    <w:rsid w:val="00692C06"/>
    <w:rsid w:val="006A6E9B"/>
    <w:rsid w:val="006C6CCF"/>
    <w:rsid w:val="00763F4F"/>
    <w:rsid w:val="00775720"/>
    <w:rsid w:val="007917AE"/>
    <w:rsid w:val="007A08B5"/>
    <w:rsid w:val="007E6C9B"/>
    <w:rsid w:val="00811633"/>
    <w:rsid w:val="00812452"/>
    <w:rsid w:val="00815749"/>
    <w:rsid w:val="008251AA"/>
    <w:rsid w:val="0085177B"/>
    <w:rsid w:val="00872FC8"/>
    <w:rsid w:val="00885571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C5AC7"/>
    <w:rsid w:val="009D2DD9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35C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0093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99E5D-D276-4AD3-9B00-2DE1EE6A77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B1C5EB-B21E-4AF4-8420-7E9F0B258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600EB-1074-4EE6-8F0B-E3B965D2BD0C}">
  <ds:schemaRefs>
    <ds:schemaRef ds:uri="32a1a8c5-2265-4ebc-b7a0-2071e2c5c9bb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2078A1-C866-43EA-A939-DC5004410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1225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R16-WRC19-C-0024!A24!MSW-R</vt:lpstr>
    </vt:vector>
  </TitlesOfParts>
  <Manager>General Secretariat - Pool</Manager>
  <Company>International Telecommunication Union (ITU)</Company>
  <LinksUpToDate>false</LinksUpToDate>
  <CharactersWithSpaces>1388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4</cp:revision>
  <cp:lastPrinted>2019-10-16T14:30:00Z</cp:lastPrinted>
  <dcterms:created xsi:type="dcterms:W3CDTF">2019-10-16T14:30:00Z</dcterms:created>
  <dcterms:modified xsi:type="dcterms:W3CDTF">2019-10-16T15:26:00Z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