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911"/>
        <w:gridCol w:w="3120"/>
      </w:tblGrid>
      <w:tr w:rsidR="0090121B" w:rsidRPr="0002785D" w14:paraId="18B289E3" w14:textId="77777777" w:rsidTr="0050008E">
        <w:trPr>
          <w:cantSplit/>
        </w:trPr>
        <w:tc>
          <w:tcPr>
            <w:tcW w:w="6911" w:type="dxa"/>
          </w:tcPr>
          <w:p w14:paraId="745E945F" w14:textId="77777777" w:rsidR="0090121B" w:rsidRPr="00EA77F0" w:rsidRDefault="005D46FB" w:rsidP="00C44E9E">
            <w:pPr>
              <w:spacing w:before="400" w:after="48" w:line="240" w:lineRule="atLeast"/>
              <w:rPr>
                <w:rFonts w:ascii="Verdana" w:hAnsi="Verdana"/>
                <w:position w:val="6"/>
                <w:lang w:val="es-ES"/>
              </w:rPr>
            </w:pPr>
            <w:r w:rsidRPr="00123CC5">
              <w:rPr>
                <w:rFonts w:ascii="Verdana" w:hAnsi="Verdana" w:cs="Times"/>
                <w:b/>
                <w:position w:val="6"/>
                <w:sz w:val="20"/>
              </w:rPr>
              <w:t>Conferencia Mundial de Radiocomunicaciones (CMR-1</w:t>
            </w:r>
            <w:r w:rsidR="00C44E9E">
              <w:rPr>
                <w:rFonts w:ascii="Verdana" w:hAnsi="Verdana" w:cs="Times"/>
                <w:b/>
                <w:position w:val="6"/>
                <w:sz w:val="20"/>
              </w:rPr>
              <w:t>9</w:t>
            </w:r>
            <w:r w:rsidRPr="00123CC5">
              <w:rPr>
                <w:rFonts w:ascii="Verdana" w:hAnsi="Verdana" w:cs="Times"/>
                <w:b/>
                <w:position w:val="6"/>
                <w:sz w:val="20"/>
              </w:rPr>
              <w:t>)</w:t>
            </w:r>
            <w:r w:rsidRPr="00C63EB5">
              <w:rPr>
                <w:rFonts w:ascii="Verdana" w:hAnsi="Verdana" w:cs="Times"/>
                <w:b/>
                <w:position w:val="6"/>
                <w:sz w:val="20"/>
              </w:rPr>
              <w:br/>
            </w:r>
            <w:r w:rsidR="006124AD" w:rsidRPr="006124AD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>Sharm el-Sheikh (Egipto)</w:t>
            </w:r>
            <w:r w:rsidRPr="006124AD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>, 2</w:t>
            </w:r>
            <w:r w:rsidR="00C44E9E" w:rsidRPr="006124AD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 xml:space="preserve">8 de octubre </w:t>
            </w:r>
            <w:r w:rsidR="00DE1C31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>–</w:t>
            </w:r>
            <w:r w:rsidR="00C44E9E" w:rsidRPr="006124AD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 xml:space="preserve"> </w:t>
            </w:r>
            <w:r w:rsidRPr="006124AD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>2</w:t>
            </w:r>
            <w:r w:rsidR="00C44E9E" w:rsidRPr="006124AD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>2</w:t>
            </w:r>
            <w:r w:rsidRPr="006124AD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 xml:space="preserve"> de noviembre de 201</w:t>
            </w:r>
            <w:r w:rsidR="00C44E9E" w:rsidRPr="006124AD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>9</w:t>
            </w:r>
          </w:p>
        </w:tc>
        <w:tc>
          <w:tcPr>
            <w:tcW w:w="3120" w:type="dxa"/>
          </w:tcPr>
          <w:p w14:paraId="6B6EE776" w14:textId="77777777" w:rsidR="0090121B" w:rsidRPr="0002785D" w:rsidRDefault="00DA71A3" w:rsidP="00CE7431">
            <w:pPr>
              <w:spacing w:before="0" w:line="240" w:lineRule="atLeast"/>
              <w:jc w:val="right"/>
              <w:rPr>
                <w:lang w:val="en-US"/>
              </w:rPr>
            </w:pPr>
            <w:r>
              <w:rPr>
                <w:rFonts w:ascii="Verdana" w:hAnsi="Verdana"/>
                <w:b/>
                <w:bCs/>
                <w:noProof/>
                <w:szCs w:val="24"/>
                <w:lang w:val="en-US" w:eastAsia="zh-CN"/>
              </w:rPr>
              <w:drawing>
                <wp:inline distT="0" distB="0" distL="0" distR="0" wp14:anchorId="7C745363" wp14:editId="15B00A5C">
                  <wp:extent cx="1771650" cy="695325"/>
                  <wp:effectExtent l="0" t="0" r="0" b="9525"/>
                  <wp:docPr id="3" name="Picture 3" descr="logo_S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_S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165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121B" w:rsidRPr="0002785D" w14:paraId="54C10C0B" w14:textId="77777777" w:rsidTr="0050008E">
        <w:trPr>
          <w:cantSplit/>
        </w:trPr>
        <w:tc>
          <w:tcPr>
            <w:tcW w:w="6911" w:type="dxa"/>
            <w:tcBorders>
              <w:bottom w:val="single" w:sz="12" w:space="0" w:color="auto"/>
            </w:tcBorders>
          </w:tcPr>
          <w:p w14:paraId="14609239" w14:textId="77777777" w:rsidR="0090121B" w:rsidRPr="0002785D" w:rsidRDefault="0090121B" w:rsidP="0090121B">
            <w:pPr>
              <w:spacing w:before="0" w:after="48" w:line="240" w:lineRule="atLeast"/>
              <w:rPr>
                <w:b/>
                <w:smallCaps/>
                <w:szCs w:val="24"/>
                <w:lang w:val="en-US"/>
              </w:rPr>
            </w:pPr>
            <w:bookmarkStart w:id="0" w:name="dhead"/>
          </w:p>
        </w:tc>
        <w:tc>
          <w:tcPr>
            <w:tcW w:w="3120" w:type="dxa"/>
            <w:tcBorders>
              <w:bottom w:val="single" w:sz="12" w:space="0" w:color="auto"/>
            </w:tcBorders>
          </w:tcPr>
          <w:p w14:paraId="57D6567E" w14:textId="77777777" w:rsidR="0090121B" w:rsidRPr="0002785D" w:rsidRDefault="0090121B" w:rsidP="0090121B">
            <w:pPr>
              <w:spacing w:before="0" w:line="240" w:lineRule="atLeast"/>
              <w:rPr>
                <w:rFonts w:ascii="Verdana" w:hAnsi="Verdana"/>
                <w:szCs w:val="24"/>
                <w:lang w:val="en-US"/>
              </w:rPr>
            </w:pPr>
          </w:p>
        </w:tc>
      </w:tr>
      <w:tr w:rsidR="0090121B" w:rsidRPr="0002785D" w14:paraId="04B0D58D" w14:textId="77777777" w:rsidTr="0090121B">
        <w:trPr>
          <w:cantSplit/>
        </w:trPr>
        <w:tc>
          <w:tcPr>
            <w:tcW w:w="6911" w:type="dxa"/>
            <w:tcBorders>
              <w:top w:val="single" w:sz="12" w:space="0" w:color="auto"/>
            </w:tcBorders>
          </w:tcPr>
          <w:p w14:paraId="0CF7EDE5" w14:textId="77777777" w:rsidR="0090121B" w:rsidRPr="0002785D" w:rsidRDefault="0090121B" w:rsidP="0090121B">
            <w:pPr>
              <w:spacing w:before="0" w:after="48" w:line="240" w:lineRule="atLeast"/>
              <w:rPr>
                <w:rFonts w:ascii="Verdana" w:hAnsi="Verdana"/>
                <w:b/>
                <w:smallCaps/>
                <w:sz w:val="20"/>
                <w:lang w:val="en-US"/>
              </w:rPr>
            </w:pPr>
          </w:p>
        </w:tc>
        <w:tc>
          <w:tcPr>
            <w:tcW w:w="3120" w:type="dxa"/>
            <w:tcBorders>
              <w:top w:val="single" w:sz="12" w:space="0" w:color="auto"/>
            </w:tcBorders>
          </w:tcPr>
          <w:p w14:paraId="1E6E3340" w14:textId="77777777" w:rsidR="0090121B" w:rsidRPr="0002785D" w:rsidRDefault="0090121B" w:rsidP="0090121B">
            <w:pPr>
              <w:spacing w:before="0" w:line="240" w:lineRule="atLeast"/>
              <w:rPr>
                <w:rFonts w:ascii="Verdana" w:hAnsi="Verdana"/>
                <w:sz w:val="20"/>
                <w:lang w:val="en-US"/>
              </w:rPr>
            </w:pPr>
          </w:p>
        </w:tc>
      </w:tr>
      <w:tr w:rsidR="0090121B" w:rsidRPr="0002785D" w14:paraId="4DFC9E93" w14:textId="77777777" w:rsidTr="0090121B">
        <w:trPr>
          <w:cantSplit/>
        </w:trPr>
        <w:tc>
          <w:tcPr>
            <w:tcW w:w="6911" w:type="dxa"/>
          </w:tcPr>
          <w:p w14:paraId="0EFD37A6" w14:textId="77777777" w:rsidR="0090121B" w:rsidRPr="0023659C" w:rsidRDefault="001E7D42" w:rsidP="00EA77F0">
            <w:pPr>
              <w:pStyle w:val="Committee"/>
              <w:framePr w:hSpace="0" w:wrap="auto" w:hAnchor="text" w:yAlign="inline"/>
              <w:rPr>
                <w:sz w:val="18"/>
                <w:szCs w:val="18"/>
              </w:rPr>
            </w:pPr>
            <w:r w:rsidRPr="0023659C">
              <w:rPr>
                <w:sz w:val="18"/>
                <w:szCs w:val="18"/>
              </w:rPr>
              <w:t>SESIÓN PLENARIA</w:t>
            </w:r>
          </w:p>
        </w:tc>
        <w:tc>
          <w:tcPr>
            <w:tcW w:w="3120" w:type="dxa"/>
          </w:tcPr>
          <w:p w14:paraId="234CA257" w14:textId="77777777" w:rsidR="0090121B" w:rsidRPr="0023659C" w:rsidRDefault="00AE658F" w:rsidP="0045384C">
            <w:pPr>
              <w:spacing w:before="0"/>
              <w:rPr>
                <w:rFonts w:ascii="Verdana" w:hAnsi="Verdana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b/>
                <w:sz w:val="18"/>
                <w:szCs w:val="18"/>
                <w:lang w:val="en-US"/>
              </w:rPr>
              <w:t>Addéndum 10 al</w:t>
            </w:r>
            <w:r>
              <w:rPr>
                <w:rFonts w:ascii="Verdana" w:hAnsi="Verdana"/>
                <w:b/>
                <w:sz w:val="18"/>
                <w:szCs w:val="18"/>
                <w:lang w:val="en-US"/>
              </w:rPr>
              <w:br/>
            </w:r>
            <w:proofErr w:type="spellStart"/>
            <w:r>
              <w:rPr>
                <w:rFonts w:ascii="Verdana" w:hAnsi="Verdana"/>
                <w:b/>
                <w:sz w:val="18"/>
                <w:szCs w:val="18"/>
                <w:lang w:val="en-US"/>
              </w:rPr>
              <w:t>Documento</w:t>
            </w:r>
            <w:proofErr w:type="spellEnd"/>
            <w:r>
              <w:rPr>
                <w:rFonts w:ascii="Verdana" w:hAnsi="Verdana"/>
                <w:b/>
                <w:sz w:val="18"/>
                <w:szCs w:val="18"/>
                <w:lang w:val="en-US"/>
              </w:rPr>
              <w:t xml:space="preserve"> 24</w:t>
            </w:r>
            <w:r w:rsidR="0090121B" w:rsidRPr="0023659C">
              <w:rPr>
                <w:rFonts w:ascii="Verdana" w:hAnsi="Verdana"/>
                <w:b/>
                <w:sz w:val="18"/>
                <w:szCs w:val="18"/>
                <w:lang w:val="en-US"/>
              </w:rPr>
              <w:t>-</w:t>
            </w:r>
            <w:r w:rsidRPr="0023659C">
              <w:rPr>
                <w:rFonts w:ascii="Verdana" w:hAnsi="Verdana"/>
                <w:b/>
                <w:sz w:val="18"/>
                <w:szCs w:val="18"/>
                <w:lang w:val="en-US"/>
              </w:rPr>
              <w:t>S</w:t>
            </w:r>
          </w:p>
        </w:tc>
      </w:tr>
      <w:bookmarkEnd w:id="0"/>
      <w:tr w:rsidR="000A5B9A" w:rsidRPr="0002785D" w14:paraId="7E42EB5C" w14:textId="77777777" w:rsidTr="0090121B">
        <w:trPr>
          <w:cantSplit/>
        </w:trPr>
        <w:tc>
          <w:tcPr>
            <w:tcW w:w="6911" w:type="dxa"/>
          </w:tcPr>
          <w:p w14:paraId="6F5C455E" w14:textId="77777777" w:rsidR="000A5B9A" w:rsidRPr="0023659C" w:rsidRDefault="000A5B9A" w:rsidP="0045384C">
            <w:pPr>
              <w:spacing w:before="0" w:after="48"/>
              <w:rPr>
                <w:rFonts w:ascii="Verdana" w:hAnsi="Verdana"/>
                <w:b/>
                <w:smallCaps/>
                <w:sz w:val="18"/>
                <w:szCs w:val="18"/>
                <w:lang w:val="en-US"/>
              </w:rPr>
            </w:pPr>
          </w:p>
        </w:tc>
        <w:tc>
          <w:tcPr>
            <w:tcW w:w="3120" w:type="dxa"/>
          </w:tcPr>
          <w:p w14:paraId="41DE0A6E" w14:textId="77777777" w:rsidR="000A5B9A" w:rsidRPr="0023659C" w:rsidRDefault="000A5B9A" w:rsidP="0045384C">
            <w:pPr>
              <w:spacing w:before="0"/>
              <w:rPr>
                <w:rFonts w:ascii="Verdana" w:hAnsi="Verdana"/>
                <w:b/>
                <w:sz w:val="18"/>
                <w:szCs w:val="18"/>
                <w:lang w:val="en-US"/>
              </w:rPr>
            </w:pPr>
            <w:r w:rsidRPr="0023659C">
              <w:rPr>
                <w:rFonts w:ascii="Verdana" w:hAnsi="Verdana"/>
                <w:b/>
                <w:sz w:val="18"/>
                <w:szCs w:val="18"/>
                <w:lang w:val="en-US"/>
              </w:rPr>
              <w:t xml:space="preserve">20 de </w:t>
            </w:r>
            <w:proofErr w:type="spellStart"/>
            <w:r w:rsidRPr="0023659C">
              <w:rPr>
                <w:rFonts w:ascii="Verdana" w:hAnsi="Verdana"/>
                <w:b/>
                <w:sz w:val="18"/>
                <w:szCs w:val="18"/>
                <w:lang w:val="en-US"/>
              </w:rPr>
              <w:t>septiembre</w:t>
            </w:r>
            <w:proofErr w:type="spellEnd"/>
            <w:r w:rsidRPr="0023659C">
              <w:rPr>
                <w:rFonts w:ascii="Verdana" w:hAnsi="Verdana"/>
                <w:b/>
                <w:sz w:val="18"/>
                <w:szCs w:val="18"/>
                <w:lang w:val="en-US"/>
              </w:rPr>
              <w:t xml:space="preserve"> de 2019</w:t>
            </w:r>
          </w:p>
        </w:tc>
      </w:tr>
      <w:tr w:rsidR="000A5B9A" w:rsidRPr="0002785D" w14:paraId="558F38F2" w14:textId="77777777" w:rsidTr="0090121B">
        <w:trPr>
          <w:cantSplit/>
        </w:trPr>
        <w:tc>
          <w:tcPr>
            <w:tcW w:w="6911" w:type="dxa"/>
          </w:tcPr>
          <w:p w14:paraId="684C1A9C" w14:textId="77777777" w:rsidR="000A5B9A" w:rsidRPr="0023659C" w:rsidRDefault="000A5B9A" w:rsidP="0045384C">
            <w:pPr>
              <w:spacing w:before="0" w:after="48"/>
              <w:rPr>
                <w:rFonts w:ascii="Verdana" w:hAnsi="Verdana"/>
                <w:b/>
                <w:smallCaps/>
                <w:sz w:val="18"/>
                <w:szCs w:val="18"/>
                <w:lang w:val="en-US"/>
              </w:rPr>
            </w:pPr>
          </w:p>
        </w:tc>
        <w:tc>
          <w:tcPr>
            <w:tcW w:w="3120" w:type="dxa"/>
          </w:tcPr>
          <w:p w14:paraId="4AA5CBFB" w14:textId="77777777" w:rsidR="000A5B9A" w:rsidRPr="0023659C" w:rsidRDefault="000A5B9A" w:rsidP="0045384C">
            <w:pPr>
              <w:spacing w:before="0"/>
              <w:rPr>
                <w:rFonts w:ascii="Verdana" w:hAnsi="Verdana"/>
                <w:b/>
                <w:sz w:val="18"/>
                <w:szCs w:val="18"/>
                <w:lang w:val="en-US"/>
              </w:rPr>
            </w:pPr>
            <w:r w:rsidRPr="0023659C">
              <w:rPr>
                <w:rFonts w:ascii="Verdana" w:hAnsi="Verdana"/>
                <w:b/>
                <w:sz w:val="18"/>
                <w:szCs w:val="18"/>
                <w:lang w:val="en-US"/>
              </w:rPr>
              <w:t xml:space="preserve">Original: </w:t>
            </w:r>
            <w:proofErr w:type="spellStart"/>
            <w:r w:rsidRPr="0023659C">
              <w:rPr>
                <w:rFonts w:ascii="Verdana" w:hAnsi="Verdana"/>
                <w:b/>
                <w:sz w:val="18"/>
                <w:szCs w:val="18"/>
                <w:lang w:val="en-US"/>
              </w:rPr>
              <w:t>inglés</w:t>
            </w:r>
            <w:proofErr w:type="spellEnd"/>
          </w:p>
        </w:tc>
      </w:tr>
      <w:tr w:rsidR="000A5B9A" w:rsidRPr="0002785D" w14:paraId="775C8751" w14:textId="77777777" w:rsidTr="006744FC">
        <w:trPr>
          <w:cantSplit/>
        </w:trPr>
        <w:tc>
          <w:tcPr>
            <w:tcW w:w="10031" w:type="dxa"/>
            <w:gridSpan w:val="2"/>
          </w:tcPr>
          <w:p w14:paraId="728870CE" w14:textId="77777777" w:rsidR="000A5B9A" w:rsidRPr="007424E8" w:rsidRDefault="000A5B9A" w:rsidP="0045384C">
            <w:pPr>
              <w:spacing w:before="0"/>
              <w:rPr>
                <w:rFonts w:ascii="Verdana" w:hAnsi="Verdana"/>
                <w:b/>
                <w:sz w:val="18"/>
                <w:szCs w:val="22"/>
                <w:lang w:val="en-US"/>
              </w:rPr>
            </w:pPr>
          </w:p>
        </w:tc>
      </w:tr>
      <w:tr w:rsidR="000A5B9A" w:rsidRPr="0002785D" w14:paraId="6F3CA30F" w14:textId="77777777" w:rsidTr="0050008E">
        <w:trPr>
          <w:cantSplit/>
        </w:trPr>
        <w:tc>
          <w:tcPr>
            <w:tcW w:w="10031" w:type="dxa"/>
            <w:gridSpan w:val="2"/>
          </w:tcPr>
          <w:p w14:paraId="33C031A0" w14:textId="77777777" w:rsidR="000A5B9A" w:rsidRPr="00CE43C4" w:rsidRDefault="000A5B9A" w:rsidP="000A5B9A">
            <w:pPr>
              <w:pStyle w:val="Source"/>
              <w:rPr>
                <w:lang w:val="es-ES"/>
              </w:rPr>
            </w:pPr>
            <w:bookmarkStart w:id="1" w:name="dsource" w:colFirst="0" w:colLast="0"/>
            <w:r w:rsidRPr="00CE43C4">
              <w:rPr>
                <w:lang w:val="es-ES"/>
              </w:rPr>
              <w:t xml:space="preserve">Propuestas Comunes de la </w:t>
            </w:r>
            <w:proofErr w:type="spellStart"/>
            <w:r w:rsidRPr="00CE43C4">
              <w:rPr>
                <w:lang w:val="es-ES"/>
              </w:rPr>
              <w:t>Telecomunidad</w:t>
            </w:r>
            <w:proofErr w:type="spellEnd"/>
            <w:r w:rsidRPr="00CE43C4">
              <w:rPr>
                <w:lang w:val="es-ES"/>
              </w:rPr>
              <w:t xml:space="preserve"> Asia-Pacífico</w:t>
            </w:r>
          </w:p>
        </w:tc>
      </w:tr>
      <w:tr w:rsidR="000A5B9A" w:rsidRPr="0002785D" w14:paraId="6A41DEE5" w14:textId="77777777" w:rsidTr="0050008E">
        <w:trPr>
          <w:cantSplit/>
        </w:trPr>
        <w:tc>
          <w:tcPr>
            <w:tcW w:w="10031" w:type="dxa"/>
            <w:gridSpan w:val="2"/>
          </w:tcPr>
          <w:p w14:paraId="044871C9" w14:textId="4B89C64A" w:rsidR="000A5B9A" w:rsidRPr="00CE43C4" w:rsidRDefault="00CE43C4" w:rsidP="000A5B9A">
            <w:pPr>
              <w:pStyle w:val="Title1"/>
              <w:rPr>
                <w:lang w:val="es-ES"/>
              </w:rPr>
            </w:pPr>
            <w:bookmarkStart w:id="2" w:name="dtitle1" w:colFirst="0" w:colLast="0"/>
            <w:bookmarkEnd w:id="1"/>
            <w:r w:rsidRPr="00CE43C4">
              <w:rPr>
                <w:lang w:val="es-ES"/>
              </w:rPr>
              <w:t>PROPUESTAS PARA LOS TRABAJOS DE LA CONFERENCIA</w:t>
            </w:r>
          </w:p>
        </w:tc>
      </w:tr>
      <w:tr w:rsidR="000A5B9A" w:rsidRPr="0002785D" w14:paraId="2E1B7B77" w14:textId="77777777" w:rsidTr="0050008E">
        <w:trPr>
          <w:cantSplit/>
        </w:trPr>
        <w:tc>
          <w:tcPr>
            <w:tcW w:w="10031" w:type="dxa"/>
            <w:gridSpan w:val="2"/>
          </w:tcPr>
          <w:p w14:paraId="7C10DDD7" w14:textId="77777777" w:rsidR="000A5B9A" w:rsidRPr="00CE43C4" w:rsidRDefault="000A5B9A" w:rsidP="000A5B9A">
            <w:pPr>
              <w:pStyle w:val="Title2"/>
              <w:rPr>
                <w:lang w:val="es-ES"/>
              </w:rPr>
            </w:pPr>
            <w:bookmarkStart w:id="3" w:name="dtitle2" w:colFirst="0" w:colLast="0"/>
            <w:bookmarkEnd w:id="2"/>
          </w:p>
        </w:tc>
      </w:tr>
      <w:tr w:rsidR="000A5B9A" w14:paraId="4364034D" w14:textId="77777777" w:rsidTr="0050008E">
        <w:trPr>
          <w:cantSplit/>
        </w:trPr>
        <w:tc>
          <w:tcPr>
            <w:tcW w:w="10031" w:type="dxa"/>
            <w:gridSpan w:val="2"/>
          </w:tcPr>
          <w:p w14:paraId="6F5C4F88" w14:textId="77777777" w:rsidR="000A5B9A" w:rsidRDefault="000A5B9A" w:rsidP="000A5B9A">
            <w:pPr>
              <w:pStyle w:val="Agendaitem"/>
            </w:pPr>
            <w:bookmarkStart w:id="4" w:name="dtitle3" w:colFirst="0" w:colLast="0"/>
            <w:bookmarkEnd w:id="3"/>
            <w:r w:rsidRPr="00AE658F">
              <w:t>Punto 1.10 del orden del día</w:t>
            </w:r>
          </w:p>
        </w:tc>
      </w:tr>
    </w:tbl>
    <w:bookmarkEnd w:id="4"/>
    <w:p w14:paraId="6EDF7437" w14:textId="77777777" w:rsidR="001C0E40" w:rsidRPr="00E9771B" w:rsidRDefault="00A66D1D" w:rsidP="003A37B0">
      <w:r w:rsidRPr="00E8457B">
        <w:t>1.10</w:t>
      </w:r>
      <w:r w:rsidRPr="00E8457B">
        <w:tab/>
        <w:t xml:space="preserve">las necesidades de espectro y la posibilidad de adoptar disposiciones reglamentarias para la introducción y utilización del </w:t>
      </w:r>
      <w:r w:rsidRPr="00E8457B">
        <w:t>Sistema Mundial de Socorro y Seguridad Aeronáuticos (GADSS) de conformidad con la Resolución </w:t>
      </w:r>
      <w:r w:rsidRPr="00E8457B">
        <w:rPr>
          <w:b/>
          <w:bCs/>
        </w:rPr>
        <w:t>426</w:t>
      </w:r>
      <w:r w:rsidRPr="00E8457B">
        <w:rPr>
          <w:b/>
        </w:rPr>
        <w:t xml:space="preserve"> (CMR-15)</w:t>
      </w:r>
      <w:r w:rsidRPr="00E8457B">
        <w:t>;</w:t>
      </w:r>
    </w:p>
    <w:p w14:paraId="7E3A0D15" w14:textId="77777777" w:rsidR="00CE43C4" w:rsidRPr="003E47F6" w:rsidRDefault="00CE43C4" w:rsidP="00CE43C4">
      <w:pPr>
        <w:pStyle w:val="Headingb"/>
      </w:pPr>
      <w:r w:rsidRPr="003E47F6">
        <w:t>Introducción</w:t>
      </w:r>
    </w:p>
    <w:p w14:paraId="1414E85A" w14:textId="63E922F5" w:rsidR="00CE43C4" w:rsidRPr="001229AA" w:rsidRDefault="00CE43C4" w:rsidP="00CE43C4">
      <w:pPr>
        <w:rPr>
          <w:lang w:val="es-ES"/>
        </w:rPr>
      </w:pPr>
      <w:r w:rsidRPr="001229AA">
        <w:rPr>
          <w:lang w:val="es-ES"/>
        </w:rPr>
        <w:t xml:space="preserve">Los </w:t>
      </w:r>
      <w:r w:rsidR="00A66D1D" w:rsidRPr="001229AA">
        <w:rPr>
          <w:lang w:val="es-ES"/>
        </w:rPr>
        <w:t xml:space="preserve">miembros </w:t>
      </w:r>
      <w:r w:rsidRPr="001229AA">
        <w:rPr>
          <w:lang w:val="es-ES"/>
        </w:rPr>
        <w:t xml:space="preserve">de la </w:t>
      </w:r>
      <w:r w:rsidRPr="001229AA">
        <w:rPr>
          <w:rFonts w:hint="eastAsia"/>
          <w:lang w:val="es-ES"/>
        </w:rPr>
        <w:t xml:space="preserve">APT </w:t>
      </w:r>
      <w:r w:rsidRPr="001229AA">
        <w:rPr>
          <w:lang w:val="es-ES"/>
        </w:rPr>
        <w:t>están a favor de que el UIT-R emprenda estudios destinados a la introducción y utilización del Sistema Mundial de Socorro y Seguridad Aero</w:t>
      </w:r>
      <w:r>
        <w:rPr>
          <w:lang w:val="es-ES"/>
        </w:rPr>
        <w:t>náuticos (SMSSA) de conformidad con la Resolución</w:t>
      </w:r>
      <w:r w:rsidRPr="001229AA">
        <w:rPr>
          <w:rFonts w:hint="eastAsia"/>
          <w:lang w:val="es-ES"/>
        </w:rPr>
        <w:t xml:space="preserve"> </w:t>
      </w:r>
      <w:r w:rsidRPr="001229AA">
        <w:rPr>
          <w:rFonts w:hint="eastAsia"/>
          <w:b/>
          <w:lang w:val="es-ES"/>
        </w:rPr>
        <w:t>426 (</w:t>
      </w:r>
      <w:r>
        <w:rPr>
          <w:b/>
          <w:lang w:val="es-ES"/>
        </w:rPr>
        <w:t>CMR</w:t>
      </w:r>
      <w:r w:rsidRPr="001229AA">
        <w:rPr>
          <w:rFonts w:hint="eastAsia"/>
          <w:b/>
          <w:lang w:val="es-ES"/>
        </w:rPr>
        <w:t>-15)</w:t>
      </w:r>
      <w:r w:rsidRPr="001229AA">
        <w:rPr>
          <w:rFonts w:hint="eastAsia"/>
          <w:lang w:val="es-ES"/>
        </w:rPr>
        <w:t xml:space="preserve">. </w:t>
      </w:r>
    </w:p>
    <w:p w14:paraId="012272C8" w14:textId="732B4BB7" w:rsidR="00CE43C4" w:rsidRPr="001229AA" w:rsidRDefault="00CE43C4" w:rsidP="00CE43C4">
      <w:pPr>
        <w:rPr>
          <w:lang w:val="es-ES"/>
        </w:rPr>
      </w:pPr>
      <w:r w:rsidRPr="001229AA">
        <w:rPr>
          <w:lang w:val="es-ES"/>
        </w:rPr>
        <w:t xml:space="preserve">Los </w:t>
      </w:r>
      <w:r w:rsidR="00A66D1D" w:rsidRPr="001229AA">
        <w:rPr>
          <w:lang w:val="es-ES"/>
        </w:rPr>
        <w:t xml:space="preserve">miembros </w:t>
      </w:r>
      <w:r w:rsidRPr="001229AA">
        <w:rPr>
          <w:lang w:val="es-ES"/>
        </w:rPr>
        <w:t>de la APT consideran</w:t>
      </w:r>
      <w:r w:rsidRPr="001229AA">
        <w:rPr>
          <w:rFonts w:hint="eastAsia"/>
          <w:lang w:val="es-ES"/>
        </w:rPr>
        <w:t>:</w:t>
      </w:r>
    </w:p>
    <w:p w14:paraId="219A0AF8" w14:textId="77777777" w:rsidR="00CE43C4" w:rsidRPr="001229AA" w:rsidRDefault="00CE43C4" w:rsidP="00CE43C4">
      <w:pPr>
        <w:pStyle w:val="enumlev1"/>
        <w:rPr>
          <w:lang w:val="es-ES"/>
        </w:rPr>
      </w:pPr>
      <w:r w:rsidRPr="003E47F6">
        <w:rPr>
          <w:lang w:val="es-ES"/>
        </w:rPr>
        <w:t>–</w:t>
      </w:r>
      <w:r>
        <w:rPr>
          <w:lang w:val="es-ES"/>
        </w:rPr>
        <w:tab/>
        <w:t>q</w:t>
      </w:r>
      <w:r w:rsidRPr="001229AA">
        <w:rPr>
          <w:lang w:val="es-ES"/>
        </w:rPr>
        <w:t>ue no es necesario efectuar atribuciones de espectro adicionale</w:t>
      </w:r>
      <w:r>
        <w:rPr>
          <w:lang w:val="es-ES"/>
        </w:rPr>
        <w:t xml:space="preserve">s ni modificar el Artículo </w:t>
      </w:r>
      <w:r>
        <w:rPr>
          <w:b/>
          <w:bCs/>
          <w:lang w:val="es-ES"/>
        </w:rPr>
        <w:t xml:space="preserve">5 </w:t>
      </w:r>
      <w:r>
        <w:rPr>
          <w:lang w:val="es-ES"/>
        </w:rPr>
        <w:t>del Reglamento de Radiocomunicaciones;</w:t>
      </w:r>
    </w:p>
    <w:p w14:paraId="2DA39B4C" w14:textId="77777777" w:rsidR="00CE43C4" w:rsidRPr="001229AA" w:rsidRDefault="00CE43C4" w:rsidP="00CE43C4">
      <w:pPr>
        <w:pStyle w:val="enumlev1"/>
        <w:rPr>
          <w:lang w:val="es-ES"/>
        </w:rPr>
      </w:pPr>
      <w:r w:rsidRPr="003E47F6">
        <w:rPr>
          <w:lang w:val="es-ES"/>
        </w:rPr>
        <w:t>–</w:t>
      </w:r>
      <w:r>
        <w:rPr>
          <w:lang w:val="es-ES"/>
        </w:rPr>
        <w:tab/>
        <w:t>q</w:t>
      </w:r>
      <w:r w:rsidRPr="001229AA">
        <w:rPr>
          <w:lang w:val="es-ES"/>
        </w:rPr>
        <w:t>ue para facilita</w:t>
      </w:r>
      <w:r>
        <w:rPr>
          <w:lang w:val="es-ES"/>
        </w:rPr>
        <w:t>r la introducción del SMSSA</w:t>
      </w:r>
      <w:r w:rsidRPr="001229AA">
        <w:rPr>
          <w:lang w:val="es-ES"/>
        </w:rPr>
        <w:t xml:space="preserve"> es necesario modificar el Capítulo VII del Reglamento de R</w:t>
      </w:r>
      <w:r>
        <w:rPr>
          <w:lang w:val="es-ES"/>
        </w:rPr>
        <w:t>a</w:t>
      </w:r>
      <w:r w:rsidRPr="001229AA">
        <w:rPr>
          <w:lang w:val="es-ES"/>
        </w:rPr>
        <w:t>diocomunicaciones</w:t>
      </w:r>
      <w:r>
        <w:rPr>
          <w:lang w:val="es-ES"/>
        </w:rPr>
        <w:t>, incluido el Artículo</w:t>
      </w:r>
      <w:r w:rsidRPr="001229AA">
        <w:rPr>
          <w:lang w:val="es-ES"/>
        </w:rPr>
        <w:t xml:space="preserve"> </w:t>
      </w:r>
      <w:r w:rsidRPr="003B10EE">
        <w:rPr>
          <w:bCs/>
          <w:lang w:val="es-ES"/>
        </w:rPr>
        <w:t>30</w:t>
      </w:r>
      <w:r w:rsidRPr="001229AA">
        <w:rPr>
          <w:lang w:val="es-ES"/>
        </w:rPr>
        <w:t xml:space="preserve"> </w:t>
      </w:r>
      <w:r>
        <w:rPr>
          <w:lang w:val="es-ES"/>
        </w:rPr>
        <w:t>Disposiciones generales, y añadir un nuevo Artículo</w:t>
      </w:r>
      <w:r w:rsidRPr="001229AA">
        <w:rPr>
          <w:rFonts w:hint="eastAsia"/>
          <w:lang w:val="es-ES"/>
        </w:rPr>
        <w:t xml:space="preserve"> </w:t>
      </w:r>
      <w:r w:rsidRPr="003B10EE">
        <w:rPr>
          <w:rFonts w:hint="eastAsia"/>
          <w:bCs/>
          <w:lang w:val="es-ES"/>
        </w:rPr>
        <w:t>34</w:t>
      </w:r>
      <w:r>
        <w:rPr>
          <w:bCs/>
          <w:lang w:val="es-ES"/>
        </w:rPr>
        <w:t>A;</w:t>
      </w:r>
    </w:p>
    <w:p w14:paraId="7889715C" w14:textId="77777777" w:rsidR="00CE43C4" w:rsidRPr="001229AA" w:rsidRDefault="00CE43C4" w:rsidP="00CE43C4">
      <w:pPr>
        <w:pStyle w:val="enumlev1"/>
        <w:rPr>
          <w:lang w:val="es-ES"/>
        </w:rPr>
      </w:pPr>
      <w:r w:rsidRPr="003E47F6">
        <w:rPr>
          <w:lang w:val="es-ES"/>
        </w:rPr>
        <w:t>–</w:t>
      </w:r>
      <w:r>
        <w:rPr>
          <w:lang w:val="es-ES"/>
        </w:rPr>
        <w:tab/>
        <w:t>q</w:t>
      </w:r>
      <w:r w:rsidRPr="001229AA">
        <w:rPr>
          <w:lang w:val="es-ES"/>
        </w:rPr>
        <w:t>ue los detalles de</w:t>
      </w:r>
      <w:r>
        <w:rPr>
          <w:lang w:val="es-ES"/>
        </w:rPr>
        <w:t xml:space="preserve"> </w:t>
      </w:r>
      <w:r w:rsidRPr="001229AA">
        <w:rPr>
          <w:lang w:val="es-ES"/>
        </w:rPr>
        <w:t>l</w:t>
      </w:r>
      <w:r>
        <w:rPr>
          <w:lang w:val="es-ES"/>
        </w:rPr>
        <w:t xml:space="preserve">os elementos del </w:t>
      </w:r>
      <w:r w:rsidRPr="001229AA">
        <w:rPr>
          <w:lang w:val="es-ES"/>
        </w:rPr>
        <w:t xml:space="preserve">SMSSA </w:t>
      </w:r>
      <w:r>
        <w:rPr>
          <w:lang w:val="es-ES"/>
        </w:rPr>
        <w:t>figuran</w:t>
      </w:r>
      <w:r w:rsidRPr="001229AA">
        <w:rPr>
          <w:lang w:val="es-ES"/>
        </w:rPr>
        <w:t xml:space="preserve"> en los Anexos al Convenio de</w:t>
      </w:r>
      <w:r>
        <w:rPr>
          <w:lang w:val="es-ES"/>
        </w:rPr>
        <w:t xml:space="preserve"> la OACI;</w:t>
      </w:r>
    </w:p>
    <w:p w14:paraId="4BCEC833" w14:textId="77777777" w:rsidR="00CE43C4" w:rsidRPr="001229AA" w:rsidRDefault="00CE43C4" w:rsidP="00CE43C4">
      <w:pPr>
        <w:pStyle w:val="enumlev1"/>
        <w:rPr>
          <w:lang w:val="es-ES"/>
        </w:rPr>
      </w:pPr>
      <w:r w:rsidRPr="003E47F6">
        <w:rPr>
          <w:lang w:val="es-ES"/>
        </w:rPr>
        <w:t>–</w:t>
      </w:r>
      <w:r>
        <w:rPr>
          <w:lang w:val="es-ES"/>
        </w:rPr>
        <w:tab/>
        <w:t>q</w:t>
      </w:r>
      <w:r w:rsidRPr="001229AA">
        <w:rPr>
          <w:lang w:val="es-ES"/>
        </w:rPr>
        <w:t>ue todos los estudios sobre las disposiciones reglamentarias necesarias para la implantación de</w:t>
      </w:r>
      <w:r>
        <w:rPr>
          <w:lang w:val="es-ES"/>
        </w:rPr>
        <w:t>l SMSSA han de tener presente el concepto de SMSSA facilitado por la OACI.</w:t>
      </w:r>
    </w:p>
    <w:p w14:paraId="56E332CE" w14:textId="3A8954FF" w:rsidR="00CE43C4" w:rsidRDefault="00CE43C4" w:rsidP="00CE43C4">
      <w:pPr>
        <w:rPr>
          <w:lang w:val="es-ES"/>
        </w:rPr>
      </w:pPr>
      <w:r w:rsidRPr="001229AA">
        <w:rPr>
          <w:lang w:val="es-ES"/>
        </w:rPr>
        <w:t xml:space="preserve">Los </w:t>
      </w:r>
      <w:r w:rsidR="00A66D1D" w:rsidRPr="001229AA">
        <w:rPr>
          <w:lang w:val="es-ES"/>
        </w:rPr>
        <w:t xml:space="preserve">miembros </w:t>
      </w:r>
      <w:r w:rsidRPr="001229AA">
        <w:rPr>
          <w:lang w:val="es-ES"/>
        </w:rPr>
        <w:t xml:space="preserve">de la </w:t>
      </w:r>
      <w:r w:rsidRPr="001229AA">
        <w:rPr>
          <w:rFonts w:hint="eastAsia"/>
          <w:lang w:val="es-ES"/>
        </w:rPr>
        <w:t xml:space="preserve">APT </w:t>
      </w:r>
      <w:r w:rsidRPr="001229AA">
        <w:rPr>
          <w:lang w:val="es-ES"/>
        </w:rPr>
        <w:t xml:space="preserve">están a favor del Método </w:t>
      </w:r>
      <w:r>
        <w:rPr>
          <w:lang w:val="es-ES"/>
        </w:rPr>
        <w:t>A consignado en el Informe de la RPC en relación con este punto del orden del día</w:t>
      </w:r>
      <w:r w:rsidRPr="001229AA">
        <w:rPr>
          <w:rFonts w:hint="eastAsia"/>
          <w:lang w:val="es-ES"/>
        </w:rPr>
        <w:t>.</w:t>
      </w:r>
    </w:p>
    <w:p w14:paraId="0D7A5A9E" w14:textId="77777777" w:rsidR="00363A65" w:rsidRPr="00CE43C4" w:rsidRDefault="00363A65" w:rsidP="002C1A52">
      <w:pPr>
        <w:rPr>
          <w:lang w:val="es-ES"/>
        </w:rPr>
      </w:pPr>
    </w:p>
    <w:p w14:paraId="29F323F6" w14:textId="77777777" w:rsidR="008750A8" w:rsidRDefault="008750A8" w:rsidP="008750A8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  <w:r>
        <w:br w:type="page"/>
      </w:r>
    </w:p>
    <w:p w14:paraId="0B421AB2" w14:textId="1852EFCB" w:rsidR="00CE43C4" w:rsidRPr="00CE43C4" w:rsidRDefault="00CE43C4" w:rsidP="00CE43C4">
      <w:pPr>
        <w:pStyle w:val="Headingb"/>
        <w:rPr>
          <w:lang w:val="es-ES"/>
        </w:rPr>
      </w:pPr>
      <w:r w:rsidRPr="00A66D1D">
        <w:lastRenderedPageBreak/>
        <w:t>Prop</w:t>
      </w:r>
      <w:r w:rsidRPr="003E47F6">
        <w:t>uestas</w:t>
      </w:r>
    </w:p>
    <w:p w14:paraId="6FB74F8F" w14:textId="298C6D19" w:rsidR="00452EC5" w:rsidRDefault="00A66D1D">
      <w:pPr>
        <w:pStyle w:val="Proposal"/>
      </w:pPr>
      <w:r>
        <w:rPr>
          <w:u w:val="single"/>
        </w:rPr>
        <w:t>N</w:t>
      </w:r>
      <w:r>
        <w:rPr>
          <w:u w:val="single"/>
        </w:rPr>
        <w:t>OC</w:t>
      </w:r>
      <w:r>
        <w:tab/>
        <w:t>ACP/24A10/1</w:t>
      </w:r>
    </w:p>
    <w:p w14:paraId="66740DD1" w14:textId="77777777" w:rsidR="006537F1" w:rsidRPr="006537F1" w:rsidRDefault="00A66D1D" w:rsidP="00CE43C4">
      <w:pPr>
        <w:pStyle w:val="ArtNo"/>
      </w:pPr>
      <w:r w:rsidRPr="00CE43C4">
        <w:t>ARTÍCULO</w:t>
      </w:r>
      <w:r w:rsidRPr="006537F1">
        <w:t xml:space="preserve"> </w:t>
      </w:r>
      <w:r w:rsidRPr="006537F1">
        <w:rPr>
          <w:rStyle w:val="href"/>
        </w:rPr>
        <w:t>5</w:t>
      </w:r>
    </w:p>
    <w:p w14:paraId="0D430849" w14:textId="77777777" w:rsidR="006537F1" w:rsidRPr="006537F1" w:rsidRDefault="00A66D1D" w:rsidP="006537F1">
      <w:pPr>
        <w:pStyle w:val="Arttitle"/>
      </w:pPr>
      <w:r w:rsidRPr="006537F1">
        <w:t>Atribuciones de frecuencia</w:t>
      </w:r>
    </w:p>
    <w:p w14:paraId="5FA18793" w14:textId="206C9D46" w:rsidR="00452EC5" w:rsidRDefault="00A66D1D">
      <w:pPr>
        <w:pStyle w:val="Reasons"/>
      </w:pPr>
      <w:r>
        <w:rPr>
          <w:b/>
        </w:rPr>
        <w:t>Motivos:</w:t>
      </w:r>
      <w:r>
        <w:tab/>
      </w:r>
      <w:r w:rsidR="00CE43C4" w:rsidRPr="00CE43C4">
        <w:rPr>
          <w:lang w:val="es-ES"/>
        </w:rPr>
        <w:t>De acuerdo con el Método A del Informe de la RPC.</w:t>
      </w:r>
    </w:p>
    <w:p w14:paraId="52DAEEF0" w14:textId="77777777" w:rsidR="006537F1" w:rsidRPr="006537F1" w:rsidRDefault="00A66D1D" w:rsidP="00CE43C4">
      <w:pPr>
        <w:pStyle w:val="ArtNo"/>
      </w:pPr>
      <w:r w:rsidRPr="00CE43C4">
        <w:t>ARTÍCULO</w:t>
      </w:r>
      <w:r w:rsidRPr="006537F1">
        <w:t xml:space="preserve"> </w:t>
      </w:r>
      <w:r w:rsidRPr="006537F1">
        <w:rPr>
          <w:rStyle w:val="href"/>
        </w:rPr>
        <w:t>30</w:t>
      </w:r>
    </w:p>
    <w:p w14:paraId="340D538A" w14:textId="77777777" w:rsidR="006537F1" w:rsidRPr="006537F1" w:rsidRDefault="00A66D1D" w:rsidP="006537F1">
      <w:pPr>
        <w:pStyle w:val="Arttitle"/>
      </w:pPr>
      <w:r w:rsidRPr="006537F1">
        <w:t>Disposiciones generales</w:t>
      </w:r>
    </w:p>
    <w:p w14:paraId="7E4AB39D" w14:textId="77777777" w:rsidR="006537F1" w:rsidRPr="006537F1" w:rsidRDefault="00A66D1D" w:rsidP="006537F1">
      <w:pPr>
        <w:pStyle w:val="Section1"/>
      </w:pPr>
      <w:r w:rsidRPr="006537F1">
        <w:t>Sección I – Introducción</w:t>
      </w:r>
    </w:p>
    <w:p w14:paraId="12D9901D" w14:textId="77777777" w:rsidR="00452EC5" w:rsidRDefault="00A66D1D">
      <w:pPr>
        <w:pStyle w:val="Proposal"/>
      </w:pPr>
      <w:r>
        <w:t>MOD</w:t>
      </w:r>
      <w:r>
        <w:tab/>
      </w:r>
      <w:r>
        <w:t>ACP/24A10/2</w:t>
      </w:r>
      <w:r>
        <w:rPr>
          <w:vanish/>
          <w:color w:val="7F7F7F" w:themeColor="text1" w:themeTint="80"/>
          <w:vertAlign w:val="superscript"/>
        </w:rPr>
        <w:t>#50337</w:t>
      </w:r>
    </w:p>
    <w:p w14:paraId="3F7A6899" w14:textId="77777777" w:rsidR="00B571EC" w:rsidRPr="00497F23" w:rsidRDefault="00A66D1D" w:rsidP="004F2D3F">
      <w:r w:rsidRPr="00497F23">
        <w:rPr>
          <w:rStyle w:val="Artdef"/>
        </w:rPr>
        <w:t>30.1</w:t>
      </w:r>
      <w:r w:rsidRPr="00497F23">
        <w:tab/>
        <w:t>§ 1</w:t>
      </w:r>
      <w:r w:rsidRPr="00497F23">
        <w:tab/>
      </w:r>
      <w:ins w:id="5" w:author="Spanish" w:date="2018-06-18T14:53:00Z">
        <w:r w:rsidRPr="00497F23">
          <w:t>Los números</w:t>
        </w:r>
      </w:ins>
      <w:ins w:id="6" w:author="Microsoft Office User" w:date="2017-11-13T08:32:00Z">
        <w:r w:rsidRPr="00497F23">
          <w:t xml:space="preserve"> </w:t>
        </w:r>
        <w:r w:rsidRPr="00497F23">
          <w:rPr>
            <w:rStyle w:val="Artref"/>
            <w:b/>
            <w:bCs/>
          </w:rPr>
          <w:t>30.</w:t>
        </w:r>
      </w:ins>
      <w:ins w:id="7" w:author="Cramer, Joseph" w:date="2018-05-22T16:47:00Z">
        <w:r w:rsidRPr="00497F23">
          <w:rPr>
            <w:rStyle w:val="Artref"/>
            <w:b/>
            <w:bCs/>
          </w:rPr>
          <w:t>4</w:t>
        </w:r>
      </w:ins>
      <w:ins w:id="8" w:author="ANFR_JAE" w:date="2018-04-24T15:37:00Z">
        <w:r w:rsidRPr="00497F23">
          <w:rPr>
            <w:rStyle w:val="Artref"/>
            <w:bCs/>
          </w:rPr>
          <w:t>-</w:t>
        </w:r>
      </w:ins>
      <w:ins w:id="9" w:author="Microsoft Office User" w:date="2017-11-13T08:32:00Z">
        <w:r w:rsidRPr="00497F23">
          <w:rPr>
            <w:rStyle w:val="Artref"/>
            <w:b/>
            <w:bCs/>
          </w:rPr>
          <w:t>30.13</w:t>
        </w:r>
      </w:ins>
      <w:ins w:id="10" w:author="ANFR_JAE" w:date="2018-03-13T16:03:00Z">
        <w:r w:rsidRPr="00497F23">
          <w:t xml:space="preserve"> </w:t>
        </w:r>
      </w:ins>
      <w:ins w:id="11" w:author="Spanish" w:date="2018-06-18T14:53:00Z">
        <w:r w:rsidRPr="00497F23">
          <w:t xml:space="preserve">y los Artículos </w:t>
        </w:r>
      </w:ins>
      <w:ins w:id="12" w:author="Microsoft Office User" w:date="2017-11-13T08:32:00Z">
        <w:r w:rsidRPr="00497F23">
          <w:rPr>
            <w:rStyle w:val="Artref"/>
            <w:b/>
            <w:bCs/>
          </w:rPr>
          <w:t>31</w:t>
        </w:r>
        <w:r w:rsidRPr="00497F23">
          <w:t xml:space="preserve">, </w:t>
        </w:r>
        <w:r w:rsidRPr="00497F23">
          <w:rPr>
            <w:rStyle w:val="Artref"/>
            <w:b/>
            <w:bCs/>
          </w:rPr>
          <w:t>32</w:t>
        </w:r>
        <w:r w:rsidRPr="00497F23">
          <w:t xml:space="preserve">, </w:t>
        </w:r>
        <w:r w:rsidRPr="00497F23">
          <w:rPr>
            <w:rStyle w:val="Artref"/>
            <w:b/>
            <w:bCs/>
          </w:rPr>
          <w:t>33</w:t>
        </w:r>
        <w:r w:rsidRPr="00497F23">
          <w:t xml:space="preserve"> </w:t>
        </w:r>
      </w:ins>
      <w:ins w:id="13" w:author="Spanish" w:date="2018-06-18T14:54:00Z">
        <w:r w:rsidRPr="00497F23">
          <w:t>y</w:t>
        </w:r>
      </w:ins>
      <w:ins w:id="14" w:author="Microsoft Office User" w:date="2017-11-13T08:32:00Z">
        <w:r w:rsidRPr="00497F23">
          <w:t xml:space="preserve"> </w:t>
        </w:r>
        <w:r w:rsidRPr="00497F23">
          <w:rPr>
            <w:rStyle w:val="Artref"/>
            <w:b/>
            <w:bCs/>
          </w:rPr>
          <w:t>34</w:t>
        </w:r>
        <w:r w:rsidRPr="00497F23">
          <w:t xml:space="preserve"> </w:t>
        </w:r>
      </w:ins>
      <w:ins w:id="15" w:author="Spanish" w:date="2018-06-18T14:54:00Z">
        <w:r w:rsidRPr="00497F23">
          <w:t>de</w:t>
        </w:r>
      </w:ins>
      <w:ins w:id="16" w:author="Microsoft Office User" w:date="2017-11-13T08:32:00Z">
        <w:r w:rsidRPr="00497F23">
          <w:t xml:space="preserve"> </w:t>
        </w:r>
      </w:ins>
      <w:del w:id="17" w:author="Spanish" w:date="2018-06-14T11:35:00Z">
        <w:r w:rsidRPr="00497F23" w:rsidDel="00294AB6">
          <w:delText>E</w:delText>
        </w:r>
      </w:del>
      <w:ins w:id="18" w:author="Spanish" w:date="2018-06-14T11:35:00Z">
        <w:r w:rsidRPr="00497F23">
          <w:t>e</w:t>
        </w:r>
      </w:ins>
      <w:r w:rsidRPr="00497F23">
        <w:t>ste Capítulo contiene</w:t>
      </w:r>
      <w:ins w:id="19" w:author="Spanish" w:date="2018-06-19T11:30:00Z">
        <w:r w:rsidRPr="00497F23">
          <w:t>n</w:t>
        </w:r>
      </w:ins>
      <w:r w:rsidRPr="00497F23">
        <w:t xml:space="preserve"> las disposiciones para el funcionamiento del Sistema Mundial de Socorro y Seguridad Marítimos (SMSSM) cuyos requisitos funcionales, elementos de sistema y equipos que se han de llevar a bordo se definen en el Convenio Internacional para la Seguridad de la</w:t>
      </w:r>
      <w:r w:rsidRPr="00497F23">
        <w:t xml:space="preserve"> Vida Humana en el Mar (SOLAS), 1974, modificado. </w:t>
      </w:r>
      <w:del w:id="20" w:author="Spanish" w:date="2018-06-14T11:35:00Z">
        <w:r w:rsidRPr="00497F23" w:rsidDel="00294AB6">
          <w:delText xml:space="preserve">Este Capítulo </w:delText>
        </w:r>
      </w:del>
      <w:ins w:id="21" w:author="Spanish" w:date="2018-06-18T14:54:00Z">
        <w:r w:rsidRPr="00497F23">
          <w:t xml:space="preserve">Estos números y Artículos </w:t>
        </w:r>
      </w:ins>
      <w:r w:rsidRPr="00497F23">
        <w:t>contiene</w:t>
      </w:r>
      <w:ins w:id="22" w:author="Spanish" w:date="2018-06-18T14:54:00Z">
        <w:r w:rsidRPr="00497F23">
          <w:t>n</w:t>
        </w:r>
      </w:ins>
      <w:r w:rsidRPr="00497F23">
        <w:t xml:space="preserve"> asimismo disposiciones para el inicio de comunicaciones de socorro, urgencia y seguridad por radiotelefonía en la frecuencia 156,8 MHz (canal 16 de ondas mé</w:t>
      </w:r>
      <w:r w:rsidRPr="00497F23">
        <w:t>tricas).</w:t>
      </w:r>
      <w:r w:rsidRPr="00497F23">
        <w:rPr>
          <w:sz w:val="16"/>
          <w:szCs w:val="16"/>
        </w:rPr>
        <w:t>     (CMR</w:t>
      </w:r>
      <w:r w:rsidRPr="00497F23">
        <w:rPr>
          <w:sz w:val="16"/>
          <w:szCs w:val="16"/>
        </w:rPr>
        <w:noBreakHyphen/>
      </w:r>
      <w:del w:id="23" w:author="Spanish" w:date="2018-06-14T11:35:00Z">
        <w:r w:rsidRPr="00497F23" w:rsidDel="00294AB6">
          <w:rPr>
            <w:sz w:val="16"/>
            <w:szCs w:val="16"/>
          </w:rPr>
          <w:delText>07</w:delText>
        </w:r>
      </w:del>
      <w:ins w:id="24" w:author="Spanish" w:date="2018-06-14T11:35:00Z">
        <w:r w:rsidRPr="00497F23">
          <w:rPr>
            <w:sz w:val="16"/>
            <w:szCs w:val="16"/>
          </w:rPr>
          <w:t>19</w:t>
        </w:r>
      </w:ins>
      <w:r w:rsidRPr="00497F23">
        <w:rPr>
          <w:sz w:val="16"/>
          <w:szCs w:val="16"/>
        </w:rPr>
        <w:t>)</w:t>
      </w:r>
    </w:p>
    <w:p w14:paraId="560B9B09" w14:textId="69A0A6DD" w:rsidR="00452EC5" w:rsidRDefault="00A66D1D">
      <w:pPr>
        <w:pStyle w:val="Reasons"/>
      </w:pPr>
      <w:r>
        <w:rPr>
          <w:b/>
        </w:rPr>
        <w:t>Motivos:</w:t>
      </w:r>
      <w:r>
        <w:tab/>
      </w:r>
      <w:r w:rsidR="00CE43C4" w:rsidRPr="00CE43C4">
        <w:rPr>
          <w:lang w:val="es-ES"/>
        </w:rPr>
        <w:t>De acuerdo con el Método A del Informe de la RPC-19.</w:t>
      </w:r>
    </w:p>
    <w:p w14:paraId="16477FDD" w14:textId="77777777" w:rsidR="00452EC5" w:rsidRDefault="00A66D1D">
      <w:pPr>
        <w:pStyle w:val="Proposal"/>
      </w:pPr>
      <w:r>
        <w:t>ADD</w:t>
      </w:r>
      <w:r>
        <w:tab/>
        <w:t>ACP/24A10/3</w:t>
      </w:r>
      <w:r>
        <w:rPr>
          <w:vanish/>
          <w:color w:val="7F7F7F" w:themeColor="text1" w:themeTint="80"/>
          <w:vertAlign w:val="superscript"/>
        </w:rPr>
        <w:t>#50338</w:t>
      </w:r>
    </w:p>
    <w:p w14:paraId="500101B9" w14:textId="77777777" w:rsidR="00B571EC" w:rsidRPr="00497F23" w:rsidRDefault="00A66D1D" w:rsidP="004F2D3F">
      <w:pPr>
        <w:rPr>
          <w:rStyle w:val="Artdef"/>
          <w:b w:val="0"/>
          <w:bCs/>
        </w:rPr>
      </w:pPr>
      <w:r w:rsidRPr="00497F23">
        <w:rPr>
          <w:rStyle w:val="Artdef"/>
        </w:rPr>
        <w:t>30.1A</w:t>
      </w:r>
      <w:r w:rsidRPr="00497F23">
        <w:rPr>
          <w:rStyle w:val="Artdef"/>
        </w:rPr>
        <w:tab/>
      </w:r>
      <w:r w:rsidRPr="00497F23">
        <w:rPr>
          <w:rStyle w:val="Artdef"/>
        </w:rPr>
        <w:tab/>
      </w:r>
      <w:r w:rsidRPr="00497F23">
        <w:t>El Artículo</w:t>
      </w:r>
      <w:r w:rsidRPr="00497F23">
        <w:rPr>
          <w:rStyle w:val="Artdef"/>
          <w:bCs/>
        </w:rPr>
        <w:t xml:space="preserve"> </w:t>
      </w:r>
      <w:r w:rsidRPr="00497F23">
        <w:rPr>
          <w:rStyle w:val="Artref"/>
          <w:b/>
          <w:bCs/>
        </w:rPr>
        <w:t>34A</w:t>
      </w:r>
      <w:r w:rsidRPr="00497F23">
        <w:t xml:space="preserve"> del presente Capítulo contiene disposiciones relativas al sistema mundial de socorro y seguridad aeronáuticos (SMSSA), cuyos requisitos funcionales figuran en los anexos al Convenio sobre Aviación Civil Internacional, en su forma enmendada.</w:t>
      </w:r>
      <w:r w:rsidRPr="00497F23">
        <w:rPr>
          <w:sz w:val="16"/>
          <w:szCs w:val="16"/>
        </w:rPr>
        <w:t>     (CMR</w:t>
      </w:r>
      <w:r w:rsidRPr="00497F23">
        <w:rPr>
          <w:sz w:val="16"/>
          <w:szCs w:val="16"/>
        </w:rPr>
        <w:noBreakHyphen/>
        <w:t>19)</w:t>
      </w:r>
    </w:p>
    <w:p w14:paraId="51ABF823" w14:textId="7D717943" w:rsidR="00452EC5" w:rsidRDefault="00A66D1D">
      <w:pPr>
        <w:pStyle w:val="Reasons"/>
      </w:pPr>
      <w:r>
        <w:rPr>
          <w:b/>
        </w:rPr>
        <w:t>M</w:t>
      </w:r>
      <w:r>
        <w:rPr>
          <w:b/>
        </w:rPr>
        <w:t>otivos:</w:t>
      </w:r>
      <w:r>
        <w:tab/>
      </w:r>
      <w:r w:rsidR="00CE43C4" w:rsidRPr="00CE43C4">
        <w:rPr>
          <w:lang w:val="es-ES"/>
        </w:rPr>
        <w:t>De acuerdo con el Método A del Informe de la RPC-19</w:t>
      </w:r>
      <w:r w:rsidR="00CE43C4">
        <w:rPr>
          <w:lang w:val="es-ES"/>
        </w:rPr>
        <w:t>.</w:t>
      </w:r>
    </w:p>
    <w:p w14:paraId="4D5B4010" w14:textId="77777777" w:rsidR="00452EC5" w:rsidRDefault="00A66D1D">
      <w:pPr>
        <w:pStyle w:val="Proposal"/>
      </w:pPr>
      <w:r>
        <w:t>ADD</w:t>
      </w:r>
      <w:r>
        <w:tab/>
        <w:t>ACP/24A10/4</w:t>
      </w:r>
      <w:r>
        <w:rPr>
          <w:vanish/>
          <w:color w:val="7F7F7F" w:themeColor="text1" w:themeTint="80"/>
          <w:vertAlign w:val="superscript"/>
        </w:rPr>
        <w:t>#50339</w:t>
      </w:r>
    </w:p>
    <w:p w14:paraId="40B58E7D" w14:textId="77777777" w:rsidR="00B571EC" w:rsidRPr="00497F23" w:rsidRDefault="00A66D1D" w:rsidP="004F2D3F">
      <w:pPr>
        <w:pStyle w:val="ArtNo"/>
      </w:pPr>
      <w:r w:rsidRPr="00497F23">
        <w:t xml:space="preserve">ARTÍCULO </w:t>
      </w:r>
      <w:r w:rsidRPr="00497F23">
        <w:rPr>
          <w:rStyle w:val="href"/>
          <w:rFonts w:eastAsia="MS Gothic"/>
        </w:rPr>
        <w:t>34A</w:t>
      </w:r>
    </w:p>
    <w:p w14:paraId="102821BD" w14:textId="77777777" w:rsidR="00B571EC" w:rsidRPr="00497F23" w:rsidRDefault="00A66D1D" w:rsidP="004F2D3F">
      <w:pPr>
        <w:pStyle w:val="Arttitle"/>
      </w:pPr>
      <w:r w:rsidRPr="00497F23">
        <w:t>Sistema mundial de socorro y seguridad aeronáuticos</w:t>
      </w:r>
    </w:p>
    <w:p w14:paraId="6EA2F858" w14:textId="77777777" w:rsidR="00452EC5" w:rsidRDefault="00452EC5">
      <w:pPr>
        <w:pStyle w:val="Reasons"/>
      </w:pPr>
    </w:p>
    <w:p w14:paraId="7D1E3A02" w14:textId="77777777" w:rsidR="00452EC5" w:rsidRDefault="00A66D1D">
      <w:pPr>
        <w:pStyle w:val="Proposal"/>
      </w:pPr>
      <w:r>
        <w:t>ADD</w:t>
      </w:r>
      <w:r>
        <w:tab/>
        <w:t>ACP/24A10/5</w:t>
      </w:r>
      <w:r>
        <w:rPr>
          <w:vanish/>
          <w:color w:val="7F7F7F" w:themeColor="text1" w:themeTint="80"/>
          <w:vertAlign w:val="superscript"/>
        </w:rPr>
        <w:t>#50346</w:t>
      </w:r>
    </w:p>
    <w:p w14:paraId="0BA44A41" w14:textId="77777777" w:rsidR="00B571EC" w:rsidRPr="00497F23" w:rsidRDefault="00A66D1D">
      <w:r w:rsidRPr="00497F23">
        <w:rPr>
          <w:rStyle w:val="Artdef"/>
        </w:rPr>
        <w:t>34A.1</w:t>
      </w:r>
      <w:r w:rsidRPr="00497F23">
        <w:tab/>
      </w:r>
      <w:r w:rsidRPr="00497F23">
        <w:tab/>
        <w:t>El SMSSA determina los requisitos de calidad de funcionamiento de los sistemas de radiocomunicaciones utilizados para funciones ta</w:t>
      </w:r>
      <w:r w:rsidRPr="00497F23">
        <w:t>les como el seguimiento de aeronaves, el seguimiento de socorro autónomo y la localización y recuperación posteriores al vuelo.</w:t>
      </w:r>
    </w:p>
    <w:p w14:paraId="38C145E7" w14:textId="77777777" w:rsidR="00B571EC" w:rsidRPr="00497F23" w:rsidRDefault="00A66D1D" w:rsidP="004F2D3F">
      <w:r w:rsidRPr="00497F23">
        <w:t xml:space="preserve">El funcionamiento del SMSSA está sujeto a la Resolución </w:t>
      </w:r>
      <w:r w:rsidRPr="00497F23">
        <w:rPr>
          <w:b/>
          <w:bCs/>
        </w:rPr>
        <w:t>[A110-GADSS] (CMR-19)</w:t>
      </w:r>
      <w:r w:rsidRPr="00497F23">
        <w:t>.</w:t>
      </w:r>
      <w:r w:rsidRPr="00497F23">
        <w:rPr>
          <w:sz w:val="16"/>
          <w:szCs w:val="16"/>
        </w:rPr>
        <w:t>     (CMR</w:t>
      </w:r>
      <w:r w:rsidRPr="00497F23">
        <w:rPr>
          <w:sz w:val="16"/>
          <w:szCs w:val="16"/>
        </w:rPr>
        <w:noBreakHyphen/>
        <w:t>19)</w:t>
      </w:r>
    </w:p>
    <w:p w14:paraId="69A381C9" w14:textId="4B4F1C47" w:rsidR="00452EC5" w:rsidRDefault="00A66D1D">
      <w:pPr>
        <w:pStyle w:val="Reasons"/>
      </w:pPr>
      <w:r>
        <w:rPr>
          <w:b/>
        </w:rPr>
        <w:t>Motivos:</w:t>
      </w:r>
      <w:r>
        <w:tab/>
      </w:r>
      <w:r w:rsidR="00CE43C4" w:rsidRPr="00CE43C4">
        <w:rPr>
          <w:lang w:val="es-ES"/>
        </w:rPr>
        <w:t>De acuerdo con el Método A del Informe de la RPC-19.</w:t>
      </w:r>
    </w:p>
    <w:p w14:paraId="40B6F82D" w14:textId="77777777" w:rsidR="00452EC5" w:rsidRDefault="00A66D1D">
      <w:pPr>
        <w:pStyle w:val="Proposal"/>
      </w:pPr>
      <w:r>
        <w:lastRenderedPageBreak/>
        <w:t>ADD</w:t>
      </w:r>
      <w:r>
        <w:tab/>
        <w:t>ACP/24A10/6</w:t>
      </w:r>
      <w:r>
        <w:rPr>
          <w:vanish/>
          <w:color w:val="7F7F7F" w:themeColor="text1" w:themeTint="80"/>
          <w:vertAlign w:val="superscript"/>
        </w:rPr>
        <w:t>#50341</w:t>
      </w:r>
    </w:p>
    <w:p w14:paraId="465BAF5D" w14:textId="77777777" w:rsidR="00B571EC" w:rsidRPr="00497F23" w:rsidRDefault="00A66D1D" w:rsidP="004F2D3F">
      <w:pPr>
        <w:rPr>
          <w:sz w:val="16"/>
          <w:szCs w:val="16"/>
        </w:rPr>
      </w:pPr>
      <w:r w:rsidRPr="00497F23">
        <w:rPr>
          <w:rStyle w:val="Artdef"/>
        </w:rPr>
        <w:t>34A.</w:t>
      </w:r>
      <w:r w:rsidRPr="00497F23">
        <w:rPr>
          <w:rStyle w:val="Artdef"/>
        </w:rPr>
        <w:t>2</w:t>
      </w:r>
      <w:r w:rsidRPr="00497F23">
        <w:rPr>
          <w:rStyle w:val="Artdef"/>
        </w:rPr>
        <w:tab/>
      </w:r>
      <w:r w:rsidRPr="00497F23">
        <w:rPr>
          <w:rStyle w:val="Artdef"/>
        </w:rPr>
        <w:tab/>
      </w:r>
      <w:r w:rsidRPr="00497F23">
        <w:t>Los sistemas que contribuyen al SMSSA utilizarán el tipo de servicio(s) de radiocomunicaciones u otros en función de los requisitos de la función del SMSSA de que se trate. Los sistemas de radiocomunicaciones que contribuyen al SMSSA tienen que funciona</w:t>
      </w:r>
      <w:r w:rsidRPr="00497F23">
        <w:t>r con arreglo a lo dispuesto en el RR, pero estos sistemas no se explotarán conforme a lo dispuesto en el número </w:t>
      </w:r>
      <w:r w:rsidRPr="00497F23">
        <w:rPr>
          <w:rStyle w:val="Artref"/>
          <w:b/>
          <w:bCs/>
        </w:rPr>
        <w:t>4.4</w:t>
      </w:r>
      <w:r w:rsidRPr="00497F23">
        <w:t>.</w:t>
      </w:r>
      <w:r w:rsidRPr="00497F23">
        <w:rPr>
          <w:sz w:val="16"/>
          <w:szCs w:val="16"/>
        </w:rPr>
        <w:t>     (CMR</w:t>
      </w:r>
      <w:r w:rsidRPr="00497F23">
        <w:rPr>
          <w:sz w:val="16"/>
          <w:szCs w:val="16"/>
        </w:rPr>
        <w:noBreakHyphen/>
        <w:t>19)</w:t>
      </w:r>
    </w:p>
    <w:p w14:paraId="46635488" w14:textId="53D04762" w:rsidR="00452EC5" w:rsidRDefault="00A66D1D">
      <w:pPr>
        <w:pStyle w:val="Reasons"/>
      </w:pPr>
      <w:r>
        <w:rPr>
          <w:b/>
        </w:rPr>
        <w:t>Motivos:</w:t>
      </w:r>
      <w:r>
        <w:tab/>
      </w:r>
      <w:r w:rsidR="00CE43C4" w:rsidRPr="00CE43C4">
        <w:rPr>
          <w:lang w:val="es-ES"/>
        </w:rPr>
        <w:t>De acuerdo con el Método A del Informe de la RPC-19.</w:t>
      </w:r>
    </w:p>
    <w:p w14:paraId="6BAEC5C3" w14:textId="77777777" w:rsidR="00452EC5" w:rsidRDefault="00A66D1D">
      <w:pPr>
        <w:pStyle w:val="Proposal"/>
      </w:pPr>
      <w:r>
        <w:t>SUP</w:t>
      </w:r>
      <w:r>
        <w:tab/>
        <w:t>ACP/24A10/7</w:t>
      </w:r>
    </w:p>
    <w:p w14:paraId="2AE5BA4F" w14:textId="77777777" w:rsidR="007B7DBC" w:rsidRPr="0066363B" w:rsidRDefault="00A66D1D" w:rsidP="007B7DBC">
      <w:pPr>
        <w:pStyle w:val="ResNo"/>
        <w:spacing w:before="0"/>
      </w:pPr>
      <w:r w:rsidRPr="0066363B">
        <w:t xml:space="preserve">RESOLUCIÓN </w:t>
      </w:r>
      <w:r w:rsidRPr="0066363B">
        <w:rPr>
          <w:rStyle w:val="href"/>
        </w:rPr>
        <w:t>426</w:t>
      </w:r>
      <w:r w:rsidRPr="0066363B">
        <w:t xml:space="preserve"> (Cmr-15)</w:t>
      </w:r>
    </w:p>
    <w:p w14:paraId="4A2934E7" w14:textId="77777777" w:rsidR="007B7DBC" w:rsidRPr="0066363B" w:rsidRDefault="00A66D1D" w:rsidP="007B7DBC">
      <w:pPr>
        <w:pStyle w:val="Restitle"/>
      </w:pPr>
      <w:r w:rsidRPr="0066363B">
        <w:t>Estudio de las necesidades de espectro y de las disposiciones reglamentaria</w:t>
      </w:r>
      <w:r w:rsidRPr="0066363B">
        <w:t>s</w:t>
      </w:r>
      <w:r w:rsidRPr="0066363B">
        <w:br/>
        <w:t>para la introducción y utilización del sistema mundial de socorro</w:t>
      </w:r>
      <w:r w:rsidRPr="0066363B">
        <w:br/>
      </w:r>
      <w:bookmarkStart w:id="25" w:name="_GoBack"/>
      <w:bookmarkEnd w:id="25"/>
      <w:r w:rsidRPr="0066363B">
        <w:t>y seguridad aeronáuticos</w:t>
      </w:r>
    </w:p>
    <w:p w14:paraId="7740651F" w14:textId="0FD506CE" w:rsidR="00452EC5" w:rsidRDefault="00A66D1D">
      <w:pPr>
        <w:pStyle w:val="Reasons"/>
        <w:rPr>
          <w:lang w:val="es-ES"/>
        </w:rPr>
      </w:pPr>
      <w:r>
        <w:rPr>
          <w:b/>
        </w:rPr>
        <w:t>Motivos:</w:t>
      </w:r>
      <w:r>
        <w:tab/>
      </w:r>
      <w:r w:rsidR="00CE43C4" w:rsidRPr="00CE43C4">
        <w:rPr>
          <w:lang w:val="es-ES"/>
        </w:rPr>
        <w:t>No es necesaria tras la CMR-19.</w:t>
      </w:r>
    </w:p>
    <w:p w14:paraId="2388C6C2" w14:textId="77777777" w:rsidR="00CE43C4" w:rsidRDefault="00CE43C4">
      <w:pPr>
        <w:jc w:val="center"/>
      </w:pPr>
      <w:r>
        <w:t>______________</w:t>
      </w:r>
    </w:p>
    <w:p w14:paraId="7A72D2D1" w14:textId="77777777" w:rsidR="00CE43C4" w:rsidRDefault="00CE43C4" w:rsidP="00CE43C4"/>
    <w:sectPr w:rsidR="00CE43C4">
      <w:headerReference w:type="default" r:id="rId13"/>
      <w:footerReference w:type="even" r:id="rId14"/>
      <w:footerReference w:type="default" r:id="rId15"/>
      <w:footerReference w:type="first" r:id="rId16"/>
      <w:type w:val="oddPage"/>
      <w:pgSz w:w="11907" w:h="16840" w:code="9"/>
      <w:pgMar w:top="1418" w:right="1134" w:bottom="1418" w:left="1134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B70F9B" w14:textId="77777777" w:rsidR="003C0613" w:rsidRDefault="003C0613">
      <w:r>
        <w:separator/>
      </w:r>
    </w:p>
  </w:endnote>
  <w:endnote w:type="continuationSeparator" w:id="0">
    <w:p w14:paraId="417F37A5" w14:textId="77777777" w:rsidR="003C0613" w:rsidRDefault="003C06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9D7CE6" w14:textId="77777777" w:rsidR="0077084A" w:rsidRDefault="0077084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1CD56CD" w14:textId="067C87DC" w:rsidR="0077084A" w:rsidRDefault="0077084A">
    <w:pPr>
      <w:ind w:right="360"/>
      <w:rPr>
        <w:lang w:val="en-US"/>
      </w:rPr>
    </w:pPr>
    <w:r>
      <w:fldChar w:fldCharType="begin"/>
    </w:r>
    <w:r>
      <w:rPr>
        <w:lang w:val="en-US"/>
      </w:rPr>
      <w:instrText xml:space="preserve"> FILENAME \p  \* MERGEFORMAT </w:instrText>
    </w:r>
    <w:r>
      <w:fldChar w:fldCharType="separate"/>
    </w:r>
    <w:r w:rsidR="0090121B">
      <w:rPr>
        <w:noProof/>
        <w:lang w:val="en-US"/>
      </w:rPr>
      <w:t>Document2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CE43C4">
      <w:rPr>
        <w:noProof/>
      </w:rPr>
      <w:t>07.10.19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90121B">
      <w:rPr>
        <w:noProof/>
      </w:rPr>
      <w:t>19.02.03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2D0BCB" w14:textId="29B980D3" w:rsidR="0077084A" w:rsidRDefault="0077084A" w:rsidP="00B86034">
    <w:pPr>
      <w:pStyle w:val="Footer"/>
      <w:ind w:right="360"/>
      <w:rPr>
        <w:lang w:val="en-US"/>
      </w:rPr>
    </w:pPr>
    <w:r>
      <w:fldChar w:fldCharType="begin"/>
    </w:r>
    <w:r>
      <w:rPr>
        <w:lang w:val="en-US"/>
      </w:rPr>
      <w:instrText xml:space="preserve"> FILENAME \p  \* MERGEFORMAT </w:instrText>
    </w:r>
    <w:r>
      <w:fldChar w:fldCharType="separate"/>
    </w:r>
    <w:r w:rsidR="007E7B37">
      <w:rPr>
        <w:lang w:val="en-US"/>
      </w:rPr>
      <w:t>P:\ESP\ITU-R\CONF-R\CMR19\000\024ADD10S.docx</w:t>
    </w:r>
    <w:r>
      <w:fldChar w:fldCharType="end"/>
    </w:r>
    <w:r w:rsidR="007E7B37">
      <w:t xml:space="preserve"> (461103)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6728B0" w14:textId="1380C8FD" w:rsidR="0077084A" w:rsidRPr="007E7B37" w:rsidRDefault="007E7B37" w:rsidP="007E7B37">
    <w:pPr>
      <w:pStyle w:val="Footer"/>
      <w:ind w:right="360"/>
      <w:rPr>
        <w:lang w:val="en-US"/>
      </w:rPr>
    </w:pPr>
    <w:r>
      <w:fldChar w:fldCharType="begin"/>
    </w:r>
    <w:r>
      <w:rPr>
        <w:lang w:val="en-US"/>
      </w:rPr>
      <w:instrText xml:space="preserve"> FILENAME \p  \* MERGEFORMAT </w:instrText>
    </w:r>
    <w:r>
      <w:fldChar w:fldCharType="separate"/>
    </w:r>
    <w:r>
      <w:rPr>
        <w:lang w:val="en-US"/>
      </w:rPr>
      <w:t>P:\ESP\ITU-R\CONF-R\CMR19\000\024ADD10S.docx</w:t>
    </w:r>
    <w:r>
      <w:fldChar w:fldCharType="end"/>
    </w:r>
    <w:r>
      <w:t xml:space="preserve"> (461103)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6BBF43" w14:textId="77777777" w:rsidR="003C0613" w:rsidRDefault="003C0613">
      <w:r>
        <w:rPr>
          <w:b/>
        </w:rPr>
        <w:t>_______________</w:t>
      </w:r>
    </w:p>
  </w:footnote>
  <w:footnote w:type="continuationSeparator" w:id="0">
    <w:p w14:paraId="789EACF2" w14:textId="77777777" w:rsidR="003C0613" w:rsidRDefault="003C06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09615C" w14:textId="77777777" w:rsidR="0077084A" w:rsidRDefault="0077084A">
    <w:pPr>
      <w:pStyle w:val="Head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B86034">
      <w:rPr>
        <w:rStyle w:val="PageNumber"/>
        <w:noProof/>
      </w:rPr>
      <w:t>2</w:t>
    </w:r>
    <w:r>
      <w:rPr>
        <w:rStyle w:val="PageNumber"/>
      </w:rPr>
      <w:fldChar w:fldCharType="end"/>
    </w:r>
  </w:p>
  <w:p w14:paraId="1BE900C8" w14:textId="77777777" w:rsidR="0077084A" w:rsidRDefault="008750A8" w:rsidP="00C44E9E">
    <w:pPr>
      <w:pStyle w:val="Header"/>
      <w:rPr>
        <w:lang w:val="en-US"/>
      </w:rPr>
    </w:pPr>
    <w:r>
      <w:rPr>
        <w:lang w:val="en-US"/>
      </w:rPr>
      <w:t>CMR1</w:t>
    </w:r>
    <w:r w:rsidR="00C44E9E">
      <w:rPr>
        <w:lang w:val="en-US"/>
      </w:rPr>
      <w:t>9</w:t>
    </w:r>
    <w:r>
      <w:rPr>
        <w:lang w:val="en-US"/>
      </w:rPr>
      <w:t>/</w:t>
    </w:r>
    <w:r w:rsidR="00702F3D">
      <w:t>24(Add.10)-</w:t>
    </w:r>
    <w:r w:rsidR="003248A9" w:rsidRPr="003248A9">
      <w:t>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E66C6D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C70E95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31EE9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6A9A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9E4AFA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66290A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424007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F7E80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D2CD5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7F4F0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8"/>
  </w:num>
  <w:num w:numId="2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Spanish">
    <w15:presenceInfo w15:providerId="None" w15:userId="Spanish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intFractionalCharacterWidth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wNDI2NDOyNDA0NbAwMDRQ0lEKTi0uzszPAykwqgUAxvHv/ywAAAA="/>
  </w:docVars>
  <w:rsids>
    <w:rsidRoot w:val="0090121B"/>
    <w:rsid w:val="0002785D"/>
    <w:rsid w:val="00087AE8"/>
    <w:rsid w:val="000A5B9A"/>
    <w:rsid w:val="000E5BF9"/>
    <w:rsid w:val="000F0E6D"/>
    <w:rsid w:val="00121170"/>
    <w:rsid w:val="00123CC5"/>
    <w:rsid w:val="0015142D"/>
    <w:rsid w:val="001616DC"/>
    <w:rsid w:val="00163962"/>
    <w:rsid w:val="00191A97"/>
    <w:rsid w:val="0019729C"/>
    <w:rsid w:val="001A083F"/>
    <w:rsid w:val="001C41FA"/>
    <w:rsid w:val="001E2B52"/>
    <w:rsid w:val="001E3F27"/>
    <w:rsid w:val="001E7D42"/>
    <w:rsid w:val="0023659C"/>
    <w:rsid w:val="00236D2A"/>
    <w:rsid w:val="0024569E"/>
    <w:rsid w:val="00255F12"/>
    <w:rsid w:val="00262C09"/>
    <w:rsid w:val="002A791F"/>
    <w:rsid w:val="002C1A52"/>
    <w:rsid w:val="002C1B26"/>
    <w:rsid w:val="002C5D6C"/>
    <w:rsid w:val="002E701F"/>
    <w:rsid w:val="003248A9"/>
    <w:rsid w:val="00324FFA"/>
    <w:rsid w:val="0032680B"/>
    <w:rsid w:val="00363A65"/>
    <w:rsid w:val="003B1E8C"/>
    <w:rsid w:val="003C0613"/>
    <w:rsid w:val="003C2508"/>
    <w:rsid w:val="003D0AA3"/>
    <w:rsid w:val="003E2086"/>
    <w:rsid w:val="003F7F66"/>
    <w:rsid w:val="00440B3A"/>
    <w:rsid w:val="0044375A"/>
    <w:rsid w:val="00452EC5"/>
    <w:rsid w:val="0045384C"/>
    <w:rsid w:val="00454553"/>
    <w:rsid w:val="00472A86"/>
    <w:rsid w:val="004B124A"/>
    <w:rsid w:val="004B3095"/>
    <w:rsid w:val="004D2C7C"/>
    <w:rsid w:val="005133B5"/>
    <w:rsid w:val="00524392"/>
    <w:rsid w:val="00532097"/>
    <w:rsid w:val="0058350F"/>
    <w:rsid w:val="00583C7E"/>
    <w:rsid w:val="0059098E"/>
    <w:rsid w:val="005D46FB"/>
    <w:rsid w:val="005F2605"/>
    <w:rsid w:val="005F3B0E"/>
    <w:rsid w:val="005F3DB8"/>
    <w:rsid w:val="005F559C"/>
    <w:rsid w:val="00602857"/>
    <w:rsid w:val="006124AD"/>
    <w:rsid w:val="00624009"/>
    <w:rsid w:val="00662BA0"/>
    <w:rsid w:val="0067344B"/>
    <w:rsid w:val="00684A94"/>
    <w:rsid w:val="00692AAE"/>
    <w:rsid w:val="006C0E38"/>
    <w:rsid w:val="006D6E67"/>
    <w:rsid w:val="006E1A13"/>
    <w:rsid w:val="00701C20"/>
    <w:rsid w:val="00702F3D"/>
    <w:rsid w:val="0070518E"/>
    <w:rsid w:val="007354E9"/>
    <w:rsid w:val="007424E8"/>
    <w:rsid w:val="0074579D"/>
    <w:rsid w:val="00765578"/>
    <w:rsid w:val="00766333"/>
    <w:rsid w:val="0077084A"/>
    <w:rsid w:val="007952C7"/>
    <w:rsid w:val="007C0B95"/>
    <w:rsid w:val="007C2317"/>
    <w:rsid w:val="007D330A"/>
    <w:rsid w:val="007E7B37"/>
    <w:rsid w:val="00866AE6"/>
    <w:rsid w:val="008750A8"/>
    <w:rsid w:val="008D3316"/>
    <w:rsid w:val="008E5AF2"/>
    <w:rsid w:val="0090121B"/>
    <w:rsid w:val="009144C9"/>
    <w:rsid w:val="0094091F"/>
    <w:rsid w:val="00962171"/>
    <w:rsid w:val="00973754"/>
    <w:rsid w:val="009C0BED"/>
    <w:rsid w:val="009E11EC"/>
    <w:rsid w:val="00A021CC"/>
    <w:rsid w:val="00A118DB"/>
    <w:rsid w:val="00A4450C"/>
    <w:rsid w:val="00A66D1D"/>
    <w:rsid w:val="00AA5E6C"/>
    <w:rsid w:val="00AE5677"/>
    <w:rsid w:val="00AE658F"/>
    <w:rsid w:val="00AF2F78"/>
    <w:rsid w:val="00B239FA"/>
    <w:rsid w:val="00B372AB"/>
    <w:rsid w:val="00B47331"/>
    <w:rsid w:val="00B52D55"/>
    <w:rsid w:val="00B8288C"/>
    <w:rsid w:val="00B86034"/>
    <w:rsid w:val="00BE2E80"/>
    <w:rsid w:val="00BE5EDD"/>
    <w:rsid w:val="00BE6A1F"/>
    <w:rsid w:val="00C126C4"/>
    <w:rsid w:val="00C44E9E"/>
    <w:rsid w:val="00C63EB5"/>
    <w:rsid w:val="00C87DA7"/>
    <w:rsid w:val="00CC01E0"/>
    <w:rsid w:val="00CD5FEE"/>
    <w:rsid w:val="00CE43C4"/>
    <w:rsid w:val="00CE60D2"/>
    <w:rsid w:val="00CE7431"/>
    <w:rsid w:val="00D00CA8"/>
    <w:rsid w:val="00D0288A"/>
    <w:rsid w:val="00D72A5D"/>
    <w:rsid w:val="00DA71A3"/>
    <w:rsid w:val="00DC629B"/>
    <w:rsid w:val="00DE1C31"/>
    <w:rsid w:val="00E05BFF"/>
    <w:rsid w:val="00E262F1"/>
    <w:rsid w:val="00E3176A"/>
    <w:rsid w:val="00E36CE4"/>
    <w:rsid w:val="00E54754"/>
    <w:rsid w:val="00E56BD3"/>
    <w:rsid w:val="00E71D14"/>
    <w:rsid w:val="00EA77F0"/>
    <w:rsid w:val="00F32316"/>
    <w:rsid w:val="00F66597"/>
    <w:rsid w:val="00F675D0"/>
    <w:rsid w:val="00F8150C"/>
    <w:rsid w:val="00FD03C4"/>
    <w:rsid w:val="00FE4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D7A0AEF"/>
  <w15:docId w15:val="{F24AB253-8331-4FF1-9D65-8FFFE0BF6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E3F27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s-ES_tradnl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">
    <w:name w:val="Annex_No"/>
    <w:basedOn w:val="Normal"/>
    <w:next w:val="Annexref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Annextitl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aftertitl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</w:style>
  <w:style w:type="paragraph" w:customStyle="1" w:styleId="Appendixref">
    <w:name w:val="Appendix_ref"/>
    <w:basedOn w:val="Annexref"/>
    <w:next w:val="Annextitle"/>
  </w:style>
  <w:style w:type="paragraph" w:customStyle="1" w:styleId="Appendixtitle">
    <w:name w:val="Appendix_title"/>
    <w:basedOn w:val="Annextitle"/>
    <w:next w:val="Normalaftertitle"/>
  </w:style>
  <w:style w:type="paragraph" w:customStyle="1" w:styleId="Artheading">
    <w:name w:val="Art_heading"/>
    <w:basedOn w:val="Normal"/>
    <w:next w:val="Normalaftertitle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Chaptitle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aftertitle"/>
  </w:style>
  <w:style w:type="paragraph" w:customStyle="1" w:styleId="ddate">
    <w:name w:val="ddate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paragraph" w:customStyle="1" w:styleId="dnum">
    <w:name w:val="dnum"/>
    <w:basedOn w:val="Normal"/>
    <w:pPr>
      <w:framePr w:hSpace="181" w:wrap="around" w:vAnchor="page" w:hAnchor="margin" w:y="852"/>
      <w:shd w:val="solid" w:color="FFFFFF" w:fill="FFFFFF"/>
    </w:pPr>
    <w:rPr>
      <w:b/>
      <w:bCs/>
    </w:rPr>
  </w:style>
  <w:style w:type="paragraph" w:customStyle="1" w:styleId="dorlang">
    <w:name w:val="dorlang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customStyle="1" w:styleId="enumlev1">
    <w:name w:val="enumlev1"/>
    <w:basedOn w:val="Normal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pPr>
      <w:ind w:left="1871" w:hanging="737"/>
    </w:pPr>
  </w:style>
  <w:style w:type="paragraph" w:customStyle="1" w:styleId="enumlev3">
    <w:name w:val="enumlev3"/>
    <w:basedOn w:val="enumlev2"/>
    <w:pPr>
      <w:ind w:left="2268" w:hanging="397"/>
    </w:pPr>
  </w:style>
  <w:style w:type="paragraph" w:customStyle="1" w:styleId="Equation">
    <w:name w:val="Equation"/>
    <w:basedOn w:val="Normal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styleId="NormalIndent">
    <w:name w:val="Normal Indent"/>
    <w:basedOn w:val="Normal"/>
    <w:pPr>
      <w:ind w:left="1134"/>
    </w:pPr>
  </w:style>
  <w:style w:type="paragraph" w:customStyle="1" w:styleId="Equationlegend">
    <w:name w:val="Equation_legend"/>
    <w:basedOn w:val="NormalIndent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Figuretitle">
    <w:name w:val="Figure_title"/>
    <w:basedOn w:val="Normal"/>
    <w:next w:val="Normal"/>
    <w:rsid w:val="002E701F"/>
    <w:pPr>
      <w:spacing w:after="480"/>
    </w:pPr>
  </w:style>
  <w:style w:type="paragraph" w:customStyle="1" w:styleId="Figurewithouttitle">
    <w:name w:val="Figure_without_title"/>
    <w:basedOn w:val="FigureNo"/>
    <w:next w:val="Normal"/>
    <w:pPr>
      <w:keepNext w:val="0"/>
    </w:pPr>
  </w:style>
  <w:style w:type="paragraph" w:styleId="Footer">
    <w:name w:val="footer"/>
    <w:basedOn w:val="Normal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Pr>
      <w:position w:val="6"/>
      <w:sz w:val="18"/>
    </w:rPr>
  </w:style>
  <w:style w:type="paragraph" w:styleId="FootnoteText">
    <w:name w:val="footnote text"/>
    <w:basedOn w:val="Normal"/>
    <w:pPr>
      <w:keepLines/>
      <w:tabs>
        <w:tab w:val="left" w:pos="255"/>
      </w:tabs>
    </w:pPr>
  </w:style>
  <w:style w:type="paragraph" w:styleId="Header">
    <w:name w:val="header"/>
    <w:basedOn w:val="Normal"/>
    <w:pPr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qFormat/>
    <w:pPr>
      <w:keepNext/>
      <w:spacing w:before="160"/>
    </w:pPr>
    <w:rPr>
      <w:rFonts w:ascii="Times" w:hAnsi="Times"/>
      <w:b/>
    </w:rPr>
  </w:style>
  <w:style w:type="paragraph" w:customStyle="1" w:styleId="Headingi">
    <w:name w:val="Heading_i"/>
    <w:basedOn w:val="Normal"/>
    <w:next w:val="Normal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semiHidden/>
  </w:style>
  <w:style w:type="paragraph" w:styleId="Index2">
    <w:name w:val="index 2"/>
    <w:basedOn w:val="Normal"/>
    <w:next w:val="Normal"/>
    <w:semiHidden/>
    <w:pPr>
      <w:ind w:left="283"/>
    </w:pPr>
  </w:style>
  <w:style w:type="paragraph" w:styleId="Index3">
    <w:name w:val="index 3"/>
    <w:basedOn w:val="Normal"/>
    <w:next w:val="Normal"/>
    <w:semiHidden/>
    <w:pPr>
      <w:ind w:left="566"/>
    </w:pPr>
  </w:style>
  <w:style w:type="paragraph" w:styleId="Index4">
    <w:name w:val="index 4"/>
    <w:basedOn w:val="Normal"/>
    <w:next w:val="Normal"/>
    <w:semiHidden/>
    <w:pPr>
      <w:ind w:left="849"/>
    </w:pPr>
  </w:style>
  <w:style w:type="paragraph" w:styleId="Index5">
    <w:name w:val="index 5"/>
    <w:basedOn w:val="Normal"/>
    <w:next w:val="Normal"/>
    <w:semiHidden/>
    <w:pPr>
      <w:ind w:left="1132"/>
    </w:pPr>
  </w:style>
  <w:style w:type="paragraph" w:styleId="Index6">
    <w:name w:val="index 6"/>
    <w:basedOn w:val="Normal"/>
    <w:next w:val="Normal"/>
    <w:semiHidden/>
    <w:pPr>
      <w:ind w:left="1415"/>
    </w:pPr>
  </w:style>
  <w:style w:type="paragraph" w:styleId="Index7">
    <w:name w:val="index 7"/>
    <w:basedOn w:val="Normal"/>
    <w:next w:val="Normal"/>
    <w:semiHidden/>
    <w:pPr>
      <w:ind w:left="1698"/>
    </w:pPr>
  </w:style>
  <w:style w:type="paragraph" w:styleId="IndexHeading">
    <w:name w:val="index heading"/>
    <w:basedOn w:val="Normal"/>
    <w:next w:val="Index1"/>
    <w:semiHidden/>
  </w:style>
  <w:style w:type="character" w:styleId="LineNumber">
    <w:name w:val="line number"/>
    <w:basedOn w:val="DefaultParagraphFont"/>
  </w:style>
  <w:style w:type="paragraph" w:customStyle="1" w:styleId="Normalaftertitle">
    <w:name w:val="Normal after title"/>
    <w:basedOn w:val="Normal"/>
    <w:next w:val="Normal"/>
    <w:pPr>
      <w:spacing w:before="280"/>
    </w:pPr>
  </w:style>
  <w:style w:type="paragraph" w:customStyle="1" w:styleId="Note">
    <w:name w:val="Note"/>
    <w:basedOn w:val="Normal"/>
    <w:pPr>
      <w:tabs>
        <w:tab w:val="left" w:pos="284"/>
      </w:tabs>
      <w:spacing w:before="80"/>
    </w:pPr>
  </w:style>
  <w:style w:type="paragraph" w:customStyle="1" w:styleId="PartNo">
    <w:name w:val="Part_No"/>
    <w:basedOn w:val="AnnexNo"/>
    <w:next w:val="Normal"/>
  </w:style>
  <w:style w:type="paragraph" w:customStyle="1" w:styleId="Parttitle">
    <w:name w:val="Part_title"/>
    <w:basedOn w:val="Annextitle"/>
    <w:next w:val="Normalaftertitle"/>
  </w:style>
  <w:style w:type="paragraph" w:customStyle="1" w:styleId="RecNo">
    <w:name w:val="Rec_No"/>
    <w:basedOn w:val="Normal"/>
    <w:next w:val="Rectitle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Recdate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</w:style>
  <w:style w:type="paragraph" w:customStyle="1" w:styleId="QuestionNo">
    <w:name w:val="Question_No"/>
    <w:basedOn w:val="RecNo"/>
    <w:next w:val="Questiontitle"/>
  </w:style>
  <w:style w:type="paragraph" w:customStyle="1" w:styleId="Questiontitle">
    <w:name w:val="Question_title"/>
    <w:basedOn w:val="Rectitle"/>
    <w:next w:val="Normal"/>
  </w:style>
  <w:style w:type="paragraph" w:customStyle="1" w:styleId="Reftext">
    <w:name w:val="Ref_text"/>
    <w:basedOn w:val="Normal"/>
    <w:pPr>
      <w:ind w:left="1134" w:hanging="1134"/>
    </w:pPr>
  </w:style>
  <w:style w:type="paragraph" w:customStyle="1" w:styleId="Reftitle">
    <w:name w:val="Ref_title"/>
    <w:basedOn w:val="Normal"/>
    <w:next w:val="Reftext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</w:style>
  <w:style w:type="paragraph" w:customStyle="1" w:styleId="RepNo">
    <w:name w:val="Rep_No"/>
    <w:basedOn w:val="RecNo"/>
    <w:next w:val="Reptitle"/>
  </w:style>
  <w:style w:type="paragraph" w:customStyle="1" w:styleId="Repref">
    <w:name w:val="Rep_ref"/>
    <w:basedOn w:val="Recref"/>
    <w:next w:val="Repdate"/>
  </w:style>
  <w:style w:type="paragraph" w:customStyle="1" w:styleId="Reptitle">
    <w:name w:val="Rep_title"/>
    <w:basedOn w:val="Rectitle"/>
    <w:next w:val="Repref"/>
  </w:style>
  <w:style w:type="paragraph" w:customStyle="1" w:styleId="Resdate">
    <w:name w:val="Res_date"/>
    <w:basedOn w:val="Recdate"/>
    <w:next w:val="Normalaftertitle"/>
  </w:style>
  <w:style w:type="paragraph" w:customStyle="1" w:styleId="ResNo">
    <w:name w:val="Res_No"/>
    <w:basedOn w:val="RecNo"/>
    <w:next w:val="Normal"/>
  </w:style>
  <w:style w:type="paragraph" w:customStyle="1" w:styleId="Resref">
    <w:name w:val="Res_ref"/>
    <w:basedOn w:val="Recref"/>
    <w:next w:val="Resdate"/>
  </w:style>
  <w:style w:type="character" w:customStyle="1" w:styleId="Appdef">
    <w:name w:val="App_def"/>
    <w:basedOn w:val="DefaultParagraphFont"/>
    <w:rPr>
      <w:rFonts w:ascii="Times New Roman" w:hAnsi="Times New Roman"/>
      <w:b/>
    </w:rPr>
  </w:style>
  <w:style w:type="character" w:customStyle="1" w:styleId="Appref">
    <w:name w:val="App_ref"/>
    <w:basedOn w:val="DefaultParagraphFont"/>
  </w:style>
  <w:style w:type="character" w:customStyle="1" w:styleId="Artdef">
    <w:name w:val="Art_def"/>
    <w:basedOn w:val="DefaultParagraphFont"/>
    <w:rPr>
      <w:rFonts w:ascii="Times New Roman" w:hAnsi="Times New Roman"/>
      <w:b/>
    </w:rPr>
  </w:style>
  <w:style w:type="character" w:customStyle="1" w:styleId="Artref">
    <w:name w:val="Art_ref"/>
    <w:basedOn w:val="DefaultParagraphFont"/>
  </w:style>
  <w:style w:type="character" w:customStyle="1" w:styleId="Recdef">
    <w:name w:val="Rec_def"/>
    <w:basedOn w:val="DefaultParagraphFont"/>
    <w:rPr>
      <w:b/>
    </w:rPr>
  </w:style>
  <w:style w:type="character" w:customStyle="1" w:styleId="Resdef">
    <w:name w:val="Res_def"/>
    <w:basedOn w:val="DefaultParagraphFont"/>
    <w:rPr>
      <w:rFonts w:ascii="Times New Roman" w:hAnsi="Times New Roman"/>
      <w:b/>
    </w:rPr>
  </w:style>
  <w:style w:type="character" w:styleId="PageNumber">
    <w:name w:val="page number"/>
    <w:basedOn w:val="DefaultParagraphFont"/>
  </w:style>
  <w:style w:type="paragraph" w:customStyle="1" w:styleId="Reasons">
    <w:name w:val="Reasons"/>
    <w:basedOn w:val="Normal"/>
    <w:qFormat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Border">
    <w:name w:val="Border"/>
    <w:basedOn w:val="Normal"/>
    <w:rsid w:val="002E701F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</w:rPr>
  </w:style>
  <w:style w:type="character" w:styleId="CommentReference">
    <w:name w:val="annotation reference"/>
    <w:basedOn w:val="DefaultParagraphFont"/>
    <w:semiHidden/>
    <w:rPr>
      <w:sz w:val="16"/>
      <w:szCs w:val="16"/>
    </w:rPr>
  </w:style>
  <w:style w:type="paragraph" w:customStyle="1" w:styleId="Proposal">
    <w:name w:val="Proposal"/>
    <w:basedOn w:val="Normal"/>
    <w:next w:val="Normal"/>
    <w:rsid w:val="005F3B0E"/>
    <w:pPr>
      <w:keepNext/>
      <w:spacing w:before="240"/>
    </w:pPr>
    <w:rPr>
      <w:rFonts w:hAnsi="Times New Roman Bold"/>
      <w:b/>
    </w:rPr>
  </w:style>
  <w:style w:type="paragraph" w:styleId="CommentText">
    <w:name w:val="annotation text"/>
    <w:basedOn w:val="Normal"/>
    <w:semiHidden/>
    <w:rPr>
      <w:sz w:val="20"/>
    </w:rPr>
  </w:style>
  <w:style w:type="paragraph" w:customStyle="1" w:styleId="Figure">
    <w:name w:val="Figure"/>
    <w:basedOn w:val="Normal"/>
    <w:next w:val="Figuretitle"/>
    <w:pPr>
      <w:keepNext/>
      <w:keepLines/>
      <w:jc w:val="center"/>
    </w:pPr>
  </w:style>
  <w:style w:type="paragraph" w:customStyle="1" w:styleId="Agendaitem">
    <w:name w:val="Agenda_item"/>
    <w:basedOn w:val="Normal"/>
    <w:next w:val="Normalaftertitle"/>
    <w:qFormat/>
    <w:rsid w:val="002E701F"/>
    <w:pPr>
      <w:overflowPunct/>
      <w:autoSpaceDE/>
      <w:autoSpaceDN/>
      <w:adjustRightInd/>
      <w:spacing w:before="240"/>
      <w:jc w:val="center"/>
      <w:textAlignment w:val="auto"/>
    </w:pPr>
    <w:rPr>
      <w:sz w:val="28"/>
    </w:rPr>
  </w:style>
  <w:style w:type="paragraph" w:customStyle="1" w:styleId="Part1">
    <w:name w:val="Part_1"/>
    <w:basedOn w:val="Normal"/>
    <w:qFormat/>
    <w:rsid w:val="002E701F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Normalend">
    <w:name w:val="Normal_end"/>
    <w:basedOn w:val="Normal"/>
    <w:qFormat/>
    <w:rsid w:val="007C2317"/>
  </w:style>
  <w:style w:type="paragraph" w:customStyle="1" w:styleId="ApptoAnnex">
    <w:name w:val="App_to_Annex"/>
    <w:basedOn w:val="AppendixNo"/>
    <w:qFormat/>
    <w:rsid w:val="007C2317"/>
  </w:style>
  <w:style w:type="character" w:customStyle="1" w:styleId="Tablefreq">
    <w:name w:val="Table_freq"/>
    <w:basedOn w:val="DefaultParagraphFont"/>
    <w:rsid w:val="00973754"/>
    <w:rPr>
      <w:b/>
      <w:color w:val="auto"/>
      <w:sz w:val="20"/>
    </w:rPr>
  </w:style>
  <w:style w:type="paragraph" w:customStyle="1" w:styleId="Tabletext">
    <w:name w:val="Table_text"/>
    <w:basedOn w:val="Normal"/>
    <w:rsid w:val="00973754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head">
    <w:name w:val="Table_head"/>
    <w:basedOn w:val="Tabletext"/>
    <w:next w:val="Tabletext"/>
    <w:rsid w:val="00973754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973754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Normal"/>
    <w:rsid w:val="00973754"/>
    <w:pPr>
      <w:keepNext/>
      <w:spacing w:before="560" w:after="120"/>
      <w:jc w:val="center"/>
    </w:pPr>
    <w:rPr>
      <w:caps/>
      <w:sz w:val="20"/>
    </w:rPr>
  </w:style>
  <w:style w:type="paragraph" w:customStyle="1" w:styleId="Tableref">
    <w:name w:val="Table_ref"/>
    <w:basedOn w:val="Normal"/>
    <w:next w:val="Normal"/>
    <w:rsid w:val="00973754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rsid w:val="00766333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20"/>
    </w:rPr>
  </w:style>
  <w:style w:type="paragraph" w:customStyle="1" w:styleId="Tabletitle">
    <w:name w:val="Table_title"/>
    <w:basedOn w:val="Normal"/>
    <w:next w:val="Tabletext"/>
    <w:rsid w:val="00973754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Section1">
    <w:name w:val="Section_1"/>
    <w:basedOn w:val="Normal"/>
    <w:rsid w:val="004B124A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4B124A"/>
    <w:rPr>
      <w:b w:val="0"/>
      <w:i/>
    </w:rPr>
  </w:style>
  <w:style w:type="paragraph" w:customStyle="1" w:styleId="Section3">
    <w:name w:val="Section_3"/>
    <w:basedOn w:val="Section1"/>
    <w:rsid w:val="004B124A"/>
    <w:rPr>
      <w:b w:val="0"/>
    </w:rPr>
  </w:style>
  <w:style w:type="paragraph" w:customStyle="1" w:styleId="SectionNo">
    <w:name w:val="Section_No"/>
    <w:basedOn w:val="AnnexNo"/>
    <w:next w:val="Normal"/>
    <w:rsid w:val="004B124A"/>
  </w:style>
  <w:style w:type="paragraph" w:customStyle="1" w:styleId="Sectiontitle">
    <w:name w:val="Section_title"/>
    <w:basedOn w:val="Annextitle"/>
    <w:next w:val="Normalaftertitle"/>
    <w:rsid w:val="004B124A"/>
  </w:style>
  <w:style w:type="paragraph" w:customStyle="1" w:styleId="Source">
    <w:name w:val="Source"/>
    <w:basedOn w:val="Normal"/>
    <w:next w:val="Normal"/>
    <w:rsid w:val="004B124A"/>
    <w:pPr>
      <w:spacing w:before="840"/>
      <w:jc w:val="center"/>
    </w:pPr>
    <w:rPr>
      <w:b/>
      <w:sz w:val="28"/>
    </w:rPr>
  </w:style>
  <w:style w:type="paragraph" w:customStyle="1" w:styleId="Title1">
    <w:name w:val="Title 1"/>
    <w:basedOn w:val="Source"/>
    <w:next w:val="Normal"/>
    <w:rsid w:val="00E262F1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E262F1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E262F1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E262F1"/>
    <w:rPr>
      <w:b/>
    </w:rPr>
  </w:style>
  <w:style w:type="paragraph" w:customStyle="1" w:styleId="toc0">
    <w:name w:val="toc 0"/>
    <w:basedOn w:val="Normal"/>
    <w:next w:val="TOC1"/>
    <w:rsid w:val="00F8150C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F8150C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F8150C"/>
    <w:pPr>
      <w:spacing w:before="120"/>
    </w:pPr>
  </w:style>
  <w:style w:type="paragraph" w:styleId="TOC3">
    <w:name w:val="toc 3"/>
    <w:basedOn w:val="TOC2"/>
    <w:rsid w:val="00F8150C"/>
  </w:style>
  <w:style w:type="paragraph" w:styleId="TOC4">
    <w:name w:val="toc 4"/>
    <w:basedOn w:val="TOC3"/>
    <w:rsid w:val="00F8150C"/>
  </w:style>
  <w:style w:type="paragraph" w:styleId="TOC5">
    <w:name w:val="toc 5"/>
    <w:basedOn w:val="TOC4"/>
    <w:rsid w:val="00F8150C"/>
  </w:style>
  <w:style w:type="paragraph" w:styleId="TOC6">
    <w:name w:val="toc 6"/>
    <w:basedOn w:val="TOC4"/>
    <w:rsid w:val="00F8150C"/>
  </w:style>
  <w:style w:type="paragraph" w:styleId="TOC7">
    <w:name w:val="toc 7"/>
    <w:basedOn w:val="TOC4"/>
    <w:rsid w:val="00F8150C"/>
  </w:style>
  <w:style w:type="paragraph" w:styleId="TOC8">
    <w:name w:val="toc 8"/>
    <w:basedOn w:val="TOC4"/>
    <w:rsid w:val="00F8150C"/>
  </w:style>
  <w:style w:type="paragraph" w:customStyle="1" w:styleId="Partref">
    <w:name w:val="Part_ref"/>
    <w:basedOn w:val="Annexref"/>
    <w:next w:val="Parttitle"/>
    <w:rsid w:val="0032680B"/>
  </w:style>
  <w:style w:type="paragraph" w:customStyle="1" w:styleId="Questionref">
    <w:name w:val="Question_ref"/>
    <w:basedOn w:val="Recref"/>
    <w:next w:val="Questiondate"/>
    <w:rsid w:val="006D6E67"/>
  </w:style>
  <w:style w:type="paragraph" w:customStyle="1" w:styleId="Restitle">
    <w:name w:val="Res_title"/>
    <w:basedOn w:val="Rectitle"/>
    <w:next w:val="Resref"/>
    <w:rsid w:val="009E11EC"/>
  </w:style>
  <w:style w:type="paragraph" w:customStyle="1" w:styleId="SpecialFooter">
    <w:name w:val="Special Footer"/>
    <w:basedOn w:val="Footer"/>
    <w:rsid w:val="00262C09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Subsection1">
    <w:name w:val="Subsection_1"/>
    <w:basedOn w:val="Section1"/>
    <w:next w:val="Normalaftertitle"/>
    <w:qFormat/>
    <w:rsid w:val="00262C09"/>
  </w:style>
  <w:style w:type="paragraph" w:customStyle="1" w:styleId="AppArttitle">
    <w:name w:val="App_Art_title"/>
    <w:basedOn w:val="Arttitle"/>
    <w:next w:val="Normalaftertitle"/>
    <w:qFormat/>
    <w:rsid w:val="00163962"/>
  </w:style>
  <w:style w:type="paragraph" w:customStyle="1" w:styleId="AppArtNo">
    <w:name w:val="App_Art_No"/>
    <w:basedOn w:val="ArtNo"/>
    <w:next w:val="AppArttitle"/>
    <w:qFormat/>
    <w:rsid w:val="00163962"/>
  </w:style>
  <w:style w:type="paragraph" w:customStyle="1" w:styleId="Volumetitle">
    <w:name w:val="Volume_title"/>
    <w:basedOn w:val="ArtNo"/>
    <w:qFormat/>
    <w:rsid w:val="009144C9"/>
  </w:style>
  <w:style w:type="paragraph" w:customStyle="1" w:styleId="Committee">
    <w:name w:val="Committee"/>
    <w:basedOn w:val="Normal"/>
    <w:qFormat/>
    <w:rsid w:val="00624009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="Verdana" w:hAnsi="Verdana" w:cstheme="minorHAnsi"/>
      <w:b/>
      <w:sz w:val="20"/>
      <w:szCs w:val="24"/>
      <w:lang w:val="en-GB"/>
    </w:rPr>
  </w:style>
  <w:style w:type="paragraph" w:customStyle="1" w:styleId="Headingsplit">
    <w:name w:val="Heading_split"/>
    <w:basedOn w:val="Headingi"/>
    <w:next w:val="Normal"/>
    <w:qFormat/>
    <w:rsid w:val="004D2C7C"/>
    <w:rPr>
      <w:color w:val="000000"/>
    </w:rPr>
  </w:style>
  <w:style w:type="character" w:customStyle="1" w:styleId="Provsplit">
    <w:name w:val="Prov_split"/>
    <w:basedOn w:val="DefaultParagraphFont"/>
    <w:uiPriority w:val="1"/>
    <w:qFormat/>
    <w:rsid w:val="004D2C7C"/>
  </w:style>
  <w:style w:type="paragraph" w:customStyle="1" w:styleId="MethodHeadingb">
    <w:name w:val="Method_Headingb"/>
    <w:basedOn w:val="Headingb"/>
    <w:qFormat/>
    <w:rsid w:val="0019729C"/>
  </w:style>
  <w:style w:type="paragraph" w:customStyle="1" w:styleId="Methodheading1">
    <w:name w:val="Method_heading1"/>
    <w:basedOn w:val="Heading1"/>
    <w:next w:val="Normal"/>
    <w:qFormat/>
    <w:rsid w:val="002C1A52"/>
  </w:style>
  <w:style w:type="paragraph" w:customStyle="1" w:styleId="Methodheading2">
    <w:name w:val="Method_heading2"/>
    <w:basedOn w:val="Heading2"/>
    <w:next w:val="Normal"/>
    <w:qFormat/>
    <w:rsid w:val="002C1A52"/>
  </w:style>
  <w:style w:type="paragraph" w:customStyle="1" w:styleId="Methodheading3">
    <w:name w:val="Method_heading3"/>
    <w:basedOn w:val="Heading3"/>
    <w:next w:val="Normal"/>
    <w:qFormat/>
    <w:rsid w:val="002C1A52"/>
  </w:style>
  <w:style w:type="paragraph" w:customStyle="1" w:styleId="Methodheading4">
    <w:name w:val="Method_heading4"/>
    <w:basedOn w:val="Heading4"/>
    <w:next w:val="Normal"/>
    <w:qFormat/>
    <w:rsid w:val="002C1A52"/>
  </w:style>
  <w:style w:type="character" w:customStyle="1" w:styleId="href">
    <w:name w:val="href"/>
    <w:basedOn w:val="DefaultParagraphFont"/>
    <w:rsid w:val="009B46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R16-WRC19-C-0024!A10!MSW-S</DPM_x0020_File_x0020_name>
    <DPM_x0020_Author xmlns="32a1a8c5-2265-4ebc-b7a0-2071e2c5c9bb" xsi:nil="false">DPM</DPM_x0020_Author>
    <DPM_x0020_Version xmlns="32a1a8c5-2265-4ebc-b7a0-2071e2c5c9bb" xsi:nil="false">DPM_2019.10.01.01</DPM_x0020_Version>
    <_dlc_DocId xmlns="996b2e75-67fd-4955-a3b0-5ab9934cb50b">CJDSJNEQ73FR-44-26</_dlc_DocId>
    <_dlc_DocIdUrl xmlns="996b2e75-67fd-4955-a3b0-5ab9934cb50b">
      <Url>http://spdev11/en/gmpcs/_layouts/DocIdRedir.aspx?ID=CJDSJNEQ73FR-44-26</Url>
      <Description>CJDSJNEQ73FR-44-26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3CCF23-B591-4E25-9518-21E7CFF65DFA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2CF8841C-4C99-4FED-9DC5-CE991ED136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95BB8A-38FB-477B-9887-D393F1725DED}">
  <ds:schemaRefs>
    <ds:schemaRef ds:uri="http://schemas.microsoft.com/office/2006/documentManagement/types"/>
    <ds:schemaRef ds:uri="http://purl.org/dc/elements/1.1/"/>
    <ds:schemaRef ds:uri="http://purl.org/dc/dcmitype/"/>
    <ds:schemaRef ds:uri="http://schemas.microsoft.com/office/2006/metadata/properties"/>
    <ds:schemaRef ds:uri="http://purl.org/dc/terms/"/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32a1a8c5-2265-4ebc-b7a0-2071e2c5c9bb"/>
    <ds:schemaRef ds:uri="996b2e75-67fd-4955-a3b0-5ab9934cb50b"/>
  </ds:schemaRefs>
</ds:datastoreItem>
</file>

<file path=customXml/itemProps4.xml><?xml version="1.0" encoding="utf-8"?>
<ds:datastoreItem xmlns:ds="http://schemas.openxmlformats.org/officeDocument/2006/customXml" ds:itemID="{0CE3EA1A-22A9-424A-B4DD-24279B59DDA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94F0F75-B6DE-40E3-85AC-A2CD18AD2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619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R16-WRC19-C-0024!A10!MSW-S</vt:lpstr>
    </vt:vector>
  </TitlesOfParts>
  <Manager>Secretaría General - Pool</Manager>
  <Company>Unión Internacional de Telecomunicaciones (UIT)</Company>
  <LinksUpToDate>false</LinksUpToDate>
  <CharactersWithSpaces>4123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R16-WRC19-C-0024!A10!MSW-S</dc:title>
  <dc:subject>Conferencia Mundial de Radiocomunicaciones - 2019</dc:subject>
  <dc:creator>Documents Proposals Manager (DPM)</dc:creator>
  <cp:keywords>DPM_v2019.10.3.1_prod</cp:keywords>
  <dc:description/>
  <cp:lastModifiedBy>Spanish</cp:lastModifiedBy>
  <cp:revision>4</cp:revision>
  <cp:lastPrinted>2003-02-19T20:20:00Z</cp:lastPrinted>
  <dcterms:created xsi:type="dcterms:W3CDTF">2019-10-07T09:31:00Z</dcterms:created>
  <dcterms:modified xsi:type="dcterms:W3CDTF">2019-10-07T09:34:00Z</dcterms:modified>
  <cp:category>Documento de conferencia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PS_WRC07.dot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add7aa17-fa7e-465d-ac10-95cdab21913b</vt:lpwstr>
  </property>
</Properties>
</file>