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45"/>
        <w:gridCol w:w="3186"/>
      </w:tblGrid>
      <w:tr w:rsidR="0090121B" w:rsidRPr="00A1402A" w14:paraId="464C7297" w14:textId="77777777" w:rsidTr="00BC0B3A">
        <w:trPr>
          <w:cantSplit/>
        </w:trPr>
        <w:tc>
          <w:tcPr>
            <w:tcW w:w="6845" w:type="dxa"/>
          </w:tcPr>
          <w:p w14:paraId="4785B7C9" w14:textId="77777777" w:rsidR="0090121B" w:rsidRPr="00A1402A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A1402A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Conferencia Mundial de Radiocomunicaciones (CMR-1</w:t>
            </w:r>
            <w:r w:rsidR="00C44E9E" w:rsidRPr="00A1402A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9</w:t>
            </w:r>
            <w:r w:rsidRPr="00A1402A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)</w:t>
            </w:r>
            <w:r w:rsidRPr="00A1402A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br/>
            </w:r>
            <w:r w:rsidR="006124AD" w:rsidRPr="00A1402A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Sharm el-Sheikh (Egipto)</w:t>
            </w:r>
            <w:r w:rsidRPr="00A1402A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, 2</w:t>
            </w:r>
            <w:r w:rsidR="00C44E9E" w:rsidRPr="00A1402A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8 de octubre </w:t>
            </w:r>
            <w:r w:rsidR="00DE1C31" w:rsidRPr="00A1402A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–</w:t>
            </w:r>
            <w:r w:rsidR="00C44E9E" w:rsidRPr="00A1402A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</w:t>
            </w:r>
            <w:r w:rsidRPr="00A1402A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="00C44E9E" w:rsidRPr="00A1402A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Pr="00A1402A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de noviembre de 201</w:t>
            </w:r>
            <w:r w:rsidR="00C44E9E" w:rsidRPr="00A1402A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9</w:t>
            </w:r>
          </w:p>
        </w:tc>
        <w:tc>
          <w:tcPr>
            <w:tcW w:w="3186" w:type="dxa"/>
          </w:tcPr>
          <w:p w14:paraId="6FE8853D" w14:textId="77777777" w:rsidR="0090121B" w:rsidRPr="00A1402A" w:rsidRDefault="00DA71A3" w:rsidP="00CE7431">
            <w:pPr>
              <w:spacing w:before="0" w:line="240" w:lineRule="atLeast"/>
              <w:jc w:val="right"/>
              <w:rPr>
                <w:lang w:val="es-ES"/>
              </w:rPr>
            </w:pPr>
            <w:bookmarkStart w:id="0" w:name="ditulogo"/>
            <w:bookmarkEnd w:id="0"/>
            <w:r w:rsidRPr="00A1402A">
              <w:rPr>
                <w:rFonts w:ascii="Verdana" w:hAnsi="Verdana"/>
                <w:b/>
                <w:bCs/>
                <w:noProof/>
                <w:szCs w:val="24"/>
                <w:lang w:val="es-ES" w:eastAsia="zh-CN"/>
              </w:rPr>
              <w:drawing>
                <wp:inline distT="0" distB="0" distL="0" distR="0" wp14:anchorId="5BF57E33" wp14:editId="73F74CD5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A1402A" w14:paraId="6B886AD8" w14:textId="77777777" w:rsidTr="00BC0B3A">
        <w:trPr>
          <w:cantSplit/>
        </w:trPr>
        <w:tc>
          <w:tcPr>
            <w:tcW w:w="6845" w:type="dxa"/>
            <w:tcBorders>
              <w:bottom w:val="single" w:sz="12" w:space="0" w:color="auto"/>
            </w:tcBorders>
          </w:tcPr>
          <w:p w14:paraId="7DD4E763" w14:textId="77777777" w:rsidR="0090121B" w:rsidRPr="00A1402A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s-ES"/>
              </w:rPr>
            </w:pPr>
            <w:bookmarkStart w:id="1" w:name="dhead"/>
          </w:p>
        </w:tc>
        <w:tc>
          <w:tcPr>
            <w:tcW w:w="3186" w:type="dxa"/>
            <w:tcBorders>
              <w:bottom w:val="single" w:sz="12" w:space="0" w:color="auto"/>
            </w:tcBorders>
          </w:tcPr>
          <w:p w14:paraId="6BBDCDAE" w14:textId="77777777" w:rsidR="0090121B" w:rsidRPr="00A1402A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s-ES"/>
              </w:rPr>
            </w:pPr>
          </w:p>
        </w:tc>
      </w:tr>
      <w:tr w:rsidR="0090121B" w:rsidRPr="00A1402A" w14:paraId="79A5B8AA" w14:textId="77777777" w:rsidTr="00BC0B3A">
        <w:trPr>
          <w:cantSplit/>
        </w:trPr>
        <w:tc>
          <w:tcPr>
            <w:tcW w:w="6845" w:type="dxa"/>
            <w:tcBorders>
              <w:top w:val="single" w:sz="12" w:space="0" w:color="auto"/>
            </w:tcBorders>
          </w:tcPr>
          <w:p w14:paraId="6B77CA31" w14:textId="77777777" w:rsidR="0090121B" w:rsidRPr="00A1402A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86" w:type="dxa"/>
            <w:tcBorders>
              <w:top w:val="single" w:sz="12" w:space="0" w:color="auto"/>
            </w:tcBorders>
          </w:tcPr>
          <w:p w14:paraId="6D949F07" w14:textId="77777777" w:rsidR="0090121B" w:rsidRPr="00A1402A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s-ES"/>
              </w:rPr>
            </w:pPr>
          </w:p>
        </w:tc>
      </w:tr>
      <w:tr w:rsidR="0090121B" w:rsidRPr="00A1402A" w14:paraId="659D4DA3" w14:textId="77777777" w:rsidTr="00BC0B3A">
        <w:trPr>
          <w:cantSplit/>
        </w:trPr>
        <w:tc>
          <w:tcPr>
            <w:tcW w:w="6845" w:type="dxa"/>
          </w:tcPr>
          <w:p w14:paraId="65AA4BF7" w14:textId="77777777" w:rsidR="0090121B" w:rsidRPr="00A1402A" w:rsidRDefault="001E7D42" w:rsidP="00EA77F0">
            <w:pPr>
              <w:pStyle w:val="Committee"/>
              <w:framePr w:hSpace="0" w:wrap="auto" w:hAnchor="text" w:yAlign="inline"/>
              <w:rPr>
                <w:lang w:val="es-ES"/>
              </w:rPr>
            </w:pPr>
            <w:r w:rsidRPr="00A1402A">
              <w:rPr>
                <w:lang w:val="es-ES"/>
              </w:rPr>
              <w:t>SESIÓN PLENARIA</w:t>
            </w:r>
          </w:p>
        </w:tc>
        <w:tc>
          <w:tcPr>
            <w:tcW w:w="3186" w:type="dxa"/>
          </w:tcPr>
          <w:p w14:paraId="51312676" w14:textId="77777777" w:rsidR="0090121B" w:rsidRPr="00A1402A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A1402A">
              <w:rPr>
                <w:rFonts w:ascii="Verdana" w:hAnsi="Verdana"/>
                <w:b/>
                <w:sz w:val="20"/>
                <w:lang w:val="es-ES"/>
              </w:rPr>
              <w:t>Addéndum 1 al</w:t>
            </w:r>
            <w:r w:rsidRPr="00A1402A">
              <w:rPr>
                <w:rFonts w:ascii="Verdana" w:hAnsi="Verdana"/>
                <w:b/>
                <w:sz w:val="20"/>
                <w:lang w:val="es-ES"/>
              </w:rPr>
              <w:br/>
              <w:t>Documento 24</w:t>
            </w:r>
            <w:r w:rsidR="0090121B" w:rsidRPr="00A1402A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A1402A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1"/>
      <w:tr w:rsidR="000A5B9A" w:rsidRPr="00A1402A" w14:paraId="221A6C9A" w14:textId="77777777" w:rsidTr="00BC0B3A">
        <w:trPr>
          <w:cantSplit/>
        </w:trPr>
        <w:tc>
          <w:tcPr>
            <w:tcW w:w="6845" w:type="dxa"/>
          </w:tcPr>
          <w:p w14:paraId="5EB85F13" w14:textId="77777777" w:rsidR="000A5B9A" w:rsidRPr="00A1402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86" w:type="dxa"/>
          </w:tcPr>
          <w:p w14:paraId="62243537" w14:textId="2D4AA6BD" w:rsidR="000A5B9A" w:rsidRPr="00A1402A" w:rsidRDefault="00A1402A" w:rsidP="0045384C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  <w:r>
              <w:rPr>
                <w:rFonts w:ascii="Verdana" w:hAnsi="Verdana"/>
                <w:b/>
                <w:sz w:val="20"/>
                <w:lang w:val="es-ES"/>
              </w:rPr>
              <w:t>2</w:t>
            </w:r>
            <w:r w:rsidR="000A5B9A" w:rsidRPr="00A1402A">
              <w:rPr>
                <w:rFonts w:ascii="Verdana" w:hAnsi="Verdana"/>
                <w:b/>
                <w:sz w:val="20"/>
                <w:lang w:val="es-ES"/>
              </w:rPr>
              <w:t>0 de septiembre de 2019</w:t>
            </w:r>
          </w:p>
        </w:tc>
      </w:tr>
      <w:tr w:rsidR="000A5B9A" w:rsidRPr="00A1402A" w14:paraId="09DDBD50" w14:textId="77777777" w:rsidTr="00BC0B3A">
        <w:trPr>
          <w:cantSplit/>
        </w:trPr>
        <w:tc>
          <w:tcPr>
            <w:tcW w:w="6845" w:type="dxa"/>
          </w:tcPr>
          <w:p w14:paraId="6AC51FD1" w14:textId="77777777" w:rsidR="000A5B9A" w:rsidRPr="00A1402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86" w:type="dxa"/>
          </w:tcPr>
          <w:p w14:paraId="276286E5" w14:textId="77777777" w:rsidR="000A5B9A" w:rsidRPr="00A1402A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  <w:r w:rsidRPr="00A1402A">
              <w:rPr>
                <w:rFonts w:ascii="Verdana" w:hAnsi="Verdana"/>
                <w:b/>
                <w:sz w:val="20"/>
                <w:lang w:val="es-ES"/>
              </w:rPr>
              <w:t>Original: inglés</w:t>
            </w:r>
          </w:p>
        </w:tc>
      </w:tr>
      <w:tr w:rsidR="000A5B9A" w:rsidRPr="00A1402A" w14:paraId="1171D09D" w14:textId="77777777" w:rsidTr="006744FC">
        <w:trPr>
          <w:cantSplit/>
        </w:trPr>
        <w:tc>
          <w:tcPr>
            <w:tcW w:w="10031" w:type="dxa"/>
            <w:gridSpan w:val="2"/>
          </w:tcPr>
          <w:p w14:paraId="1AB4496E" w14:textId="77777777" w:rsidR="000A5B9A" w:rsidRPr="00A1402A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</w:p>
        </w:tc>
      </w:tr>
      <w:tr w:rsidR="000A5B9A" w:rsidRPr="00A1402A" w14:paraId="414D6FB3" w14:textId="77777777" w:rsidTr="0050008E">
        <w:trPr>
          <w:cantSplit/>
        </w:trPr>
        <w:tc>
          <w:tcPr>
            <w:tcW w:w="10031" w:type="dxa"/>
            <w:gridSpan w:val="2"/>
          </w:tcPr>
          <w:p w14:paraId="565CCDBB" w14:textId="61845325" w:rsidR="000A5B9A" w:rsidRPr="00A1402A" w:rsidRDefault="00BC0B3A" w:rsidP="000A5B9A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A1402A">
              <w:rPr>
                <w:lang w:val="es-ES"/>
              </w:rPr>
              <w:t>Propuestas Comunes de la Telecomunidad Asia-Pacífico</w:t>
            </w:r>
          </w:p>
        </w:tc>
      </w:tr>
      <w:tr w:rsidR="000A5B9A" w:rsidRPr="00A1402A" w14:paraId="1FFE00E1" w14:textId="77777777" w:rsidTr="0050008E">
        <w:trPr>
          <w:cantSplit/>
        </w:trPr>
        <w:tc>
          <w:tcPr>
            <w:tcW w:w="10031" w:type="dxa"/>
            <w:gridSpan w:val="2"/>
          </w:tcPr>
          <w:p w14:paraId="52C30E07" w14:textId="77777777" w:rsidR="000A5B9A" w:rsidRPr="00A1402A" w:rsidRDefault="000A5B9A" w:rsidP="000A5B9A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A1402A">
              <w:rPr>
                <w:lang w:val="es-ES"/>
              </w:rPr>
              <w:t>Propuestas para los trabajos de la Conferencia</w:t>
            </w:r>
          </w:p>
        </w:tc>
      </w:tr>
      <w:tr w:rsidR="000A5B9A" w:rsidRPr="00A1402A" w14:paraId="0732E143" w14:textId="77777777" w:rsidTr="0050008E">
        <w:trPr>
          <w:cantSplit/>
        </w:trPr>
        <w:tc>
          <w:tcPr>
            <w:tcW w:w="10031" w:type="dxa"/>
            <w:gridSpan w:val="2"/>
          </w:tcPr>
          <w:p w14:paraId="6E748583" w14:textId="77777777" w:rsidR="000A5B9A" w:rsidRPr="00A1402A" w:rsidRDefault="000A5B9A" w:rsidP="000A5B9A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:rsidRPr="00A1402A" w14:paraId="6A3022B7" w14:textId="77777777" w:rsidTr="0050008E">
        <w:trPr>
          <w:cantSplit/>
        </w:trPr>
        <w:tc>
          <w:tcPr>
            <w:tcW w:w="10031" w:type="dxa"/>
            <w:gridSpan w:val="2"/>
          </w:tcPr>
          <w:p w14:paraId="45F885C1" w14:textId="09194413" w:rsidR="000A5B9A" w:rsidRPr="00A1402A" w:rsidRDefault="00BC0B3A" w:rsidP="000A5B9A">
            <w:pPr>
              <w:pStyle w:val="Agendaitem"/>
              <w:rPr>
                <w:lang w:val="es-ES"/>
              </w:rPr>
            </w:pPr>
            <w:bookmarkStart w:id="5" w:name="dtitle3" w:colFirst="0" w:colLast="0"/>
            <w:bookmarkEnd w:id="4"/>
            <w:r w:rsidRPr="00A1402A">
              <w:rPr>
                <w:lang w:val="es-ES"/>
              </w:rPr>
              <w:t>Punto1.1 del orden del día</w:t>
            </w:r>
          </w:p>
        </w:tc>
      </w:tr>
    </w:tbl>
    <w:bookmarkEnd w:id="5"/>
    <w:p w14:paraId="62EBED9A" w14:textId="6CE40D3C" w:rsidR="00BC0B3A" w:rsidRPr="00A1402A" w:rsidRDefault="00BC0B3A" w:rsidP="00BC0B3A">
      <w:pPr>
        <w:pStyle w:val="Normalaftertitle"/>
        <w:rPr>
          <w:lang w:val="es-ES"/>
        </w:rPr>
      </w:pPr>
      <w:r w:rsidRPr="00A1402A">
        <w:rPr>
          <w:lang w:val="es-ES"/>
        </w:rPr>
        <w:t>1.1</w:t>
      </w:r>
      <w:r w:rsidRPr="00A1402A">
        <w:rPr>
          <w:lang w:val="es-ES"/>
        </w:rPr>
        <w:tab/>
        <w:t>considerar la posibilidad de efectuar una atribución al servicio de aficionados en la banda de frecuencias 50-54 MHz en la Región 1, de conformidad con la Resolución </w:t>
      </w:r>
      <w:r w:rsidRPr="00A1402A">
        <w:rPr>
          <w:b/>
          <w:lang w:val="es-ES"/>
        </w:rPr>
        <w:t>658 (CMR</w:t>
      </w:r>
      <w:r w:rsidRPr="00A1402A">
        <w:rPr>
          <w:b/>
          <w:lang w:val="es-ES"/>
        </w:rPr>
        <w:noBreakHyphen/>
        <w:t>15)</w:t>
      </w:r>
      <w:r w:rsidRPr="00A1402A">
        <w:rPr>
          <w:lang w:val="es-ES"/>
        </w:rPr>
        <w:t>;</w:t>
      </w:r>
    </w:p>
    <w:p w14:paraId="7B92FC8C" w14:textId="77777777" w:rsidR="00BC0B3A" w:rsidRPr="00A1402A" w:rsidRDefault="00BC0B3A" w:rsidP="00BC0B3A">
      <w:pPr>
        <w:pStyle w:val="Headingb"/>
        <w:rPr>
          <w:lang w:val="es-ES"/>
        </w:rPr>
      </w:pPr>
      <w:r w:rsidRPr="00A1402A">
        <w:rPr>
          <w:lang w:val="es-ES"/>
        </w:rPr>
        <w:t>Introducción</w:t>
      </w:r>
    </w:p>
    <w:p w14:paraId="50EF78D3" w14:textId="4F78105D" w:rsidR="00BC0B3A" w:rsidRPr="00A1402A" w:rsidRDefault="00BC0B3A" w:rsidP="00BC0B3A">
      <w:pPr>
        <w:rPr>
          <w:lang w:val="es-ES"/>
        </w:rPr>
      </w:pPr>
      <w:r w:rsidRPr="00A1402A">
        <w:rPr>
          <w:lang w:val="es-ES"/>
        </w:rPr>
        <w:t>Los Miembros de la APT consideran que ningún cambio que se introduzca en el Reglamento de Radiocomunicaciones en relación con el punto 1.1 del orden del día de la CMR</w:t>
      </w:r>
      <w:r w:rsidRPr="00A1402A">
        <w:rPr>
          <w:lang w:val="es-ES"/>
        </w:rPr>
        <w:noBreakHyphen/>
        <w:t>19 debe afectar negativamente a los servicios de aficionados, de radiodifusión, fijo y móvil implantados en la banda de frecuencias 50</w:t>
      </w:r>
      <w:r w:rsidRPr="00A1402A">
        <w:rPr>
          <w:lang w:val="es-ES"/>
        </w:rPr>
        <w:noBreakHyphen/>
        <w:t>54</w:t>
      </w:r>
      <w:r w:rsidR="00EE7667" w:rsidRPr="00A1402A">
        <w:rPr>
          <w:lang w:val="es-ES"/>
        </w:rPr>
        <w:t> </w:t>
      </w:r>
      <w:r w:rsidRPr="00A1402A">
        <w:rPr>
          <w:lang w:val="es-ES"/>
        </w:rPr>
        <w:t>MHz y bandas de frecuencias adyacentes en la Región 3.</w:t>
      </w:r>
    </w:p>
    <w:p w14:paraId="15257AEF" w14:textId="67517AB7" w:rsidR="00BC0B3A" w:rsidRPr="00BC0B3A" w:rsidRDefault="00BC0B3A" w:rsidP="00BC0B3A">
      <w:pPr>
        <w:rPr>
          <w:lang w:val="es-ES"/>
        </w:rPr>
      </w:pPr>
      <w:r w:rsidRPr="00A1402A">
        <w:rPr>
          <w:lang w:val="es-ES"/>
        </w:rPr>
        <w:t>Con esta condición, los Miembros de la APT apoyan una atribución parcial o total de la banda de frecuencias 50</w:t>
      </w:r>
      <w:r w:rsidRPr="00A1402A">
        <w:rPr>
          <w:lang w:val="es-ES"/>
        </w:rPr>
        <w:noBreakHyphen/>
        <w:t>54</w:t>
      </w:r>
      <w:r w:rsidR="00EE7667" w:rsidRPr="00A1402A">
        <w:rPr>
          <w:lang w:val="es-ES"/>
        </w:rPr>
        <w:t> </w:t>
      </w:r>
      <w:r w:rsidRPr="00A1402A">
        <w:rPr>
          <w:lang w:val="es-ES"/>
        </w:rPr>
        <w:t>MHz para el servicio de aficionados en la Región 1, con la inclusión de las notas necesarias para dar protección a los servicios que ya tienen una atribución en la banda, con el fin de lograr el uso armonizado a escala mundial del espectro al menos en partes de esta banda de frecuencias y promover el estudio de la propagación radioeléctrica en esta gama de frecuencias.</w:t>
      </w:r>
    </w:p>
    <w:p w14:paraId="19CAEE38" w14:textId="77777777" w:rsidR="006F4229" w:rsidRDefault="008750A8" w:rsidP="00DA531C">
      <w:pPr>
        <w:rPr>
          <w:lang w:val="es-ES"/>
        </w:rPr>
      </w:pPr>
      <w:r w:rsidRPr="00A1402A">
        <w:rPr>
          <w:lang w:val="es-ES"/>
        </w:rPr>
        <w:br w:type="page"/>
      </w:r>
    </w:p>
    <w:p w14:paraId="192190AB" w14:textId="77777777" w:rsidR="006F4229" w:rsidRPr="00A1402A" w:rsidRDefault="006F4229" w:rsidP="006F4229">
      <w:pPr>
        <w:pStyle w:val="Headingb"/>
        <w:rPr>
          <w:lang w:val="es-ES"/>
        </w:rPr>
      </w:pPr>
      <w:r w:rsidRPr="00A1402A">
        <w:rPr>
          <w:lang w:val="es-ES"/>
        </w:rPr>
        <w:lastRenderedPageBreak/>
        <w:t>Propuesta</w:t>
      </w:r>
    </w:p>
    <w:p w14:paraId="530CC01A" w14:textId="79CBC82A" w:rsidR="00000E7C" w:rsidRPr="00A1402A" w:rsidRDefault="00E90749" w:rsidP="006F4229">
      <w:pPr>
        <w:pStyle w:val="Proposal"/>
        <w:rPr>
          <w:lang w:val="es-ES"/>
        </w:rPr>
      </w:pPr>
      <w:r w:rsidRPr="00A1402A">
        <w:rPr>
          <w:lang w:val="es-ES"/>
        </w:rPr>
        <w:tab/>
      </w:r>
      <w:r w:rsidR="00000E7C" w:rsidRPr="00A1402A">
        <w:rPr>
          <w:lang w:val="es-ES"/>
        </w:rPr>
        <w:t>ACP/24A1/1</w:t>
      </w:r>
    </w:p>
    <w:p w14:paraId="2B32879A" w14:textId="6E111CB2" w:rsidR="00000E7C" w:rsidRPr="00A1402A" w:rsidRDefault="00000E7C" w:rsidP="00000E7C">
      <w:pPr>
        <w:rPr>
          <w:lang w:val="es-ES"/>
        </w:rPr>
      </w:pPr>
      <w:r w:rsidRPr="00A1402A">
        <w:rPr>
          <w:lang w:val="es-ES"/>
        </w:rPr>
        <w:t>Al observar que el punto 1.1 del orden del día trata de un tema que concierne a la Región</w:t>
      </w:r>
      <w:r w:rsidR="00EE7667" w:rsidRPr="00A1402A">
        <w:rPr>
          <w:lang w:val="es-ES"/>
        </w:rPr>
        <w:t> </w:t>
      </w:r>
      <w:r w:rsidRPr="00A1402A">
        <w:rPr>
          <w:lang w:val="es-ES"/>
        </w:rPr>
        <w:t>1, los Miembros de la APT apoyan una atribución (la cantidad de espectro que se acuerde en la CMR</w:t>
      </w:r>
      <w:r w:rsidRPr="00A1402A">
        <w:rPr>
          <w:lang w:val="es-ES"/>
        </w:rPr>
        <w:noBreakHyphen/>
        <w:t>19) en parte o la totalidad de la banda de frecuencias 50</w:t>
      </w:r>
      <w:r w:rsidRPr="00A1402A">
        <w:rPr>
          <w:lang w:val="es-ES"/>
        </w:rPr>
        <w:noBreakHyphen/>
        <w:t>54</w:t>
      </w:r>
      <w:r w:rsidR="00EE7667" w:rsidRPr="00A1402A">
        <w:rPr>
          <w:lang w:val="es-ES"/>
        </w:rPr>
        <w:t> </w:t>
      </w:r>
      <w:r w:rsidRPr="00A1402A">
        <w:rPr>
          <w:lang w:val="es-ES"/>
        </w:rPr>
        <w:t>MHz al servicio de aficionados en la Región</w:t>
      </w:r>
      <w:r w:rsidR="00A66236">
        <w:rPr>
          <w:lang w:val="es-ES"/>
        </w:rPr>
        <w:t> </w:t>
      </w:r>
      <w:r w:rsidRPr="00A1402A">
        <w:rPr>
          <w:lang w:val="es-ES"/>
        </w:rPr>
        <w:t>1. Ningún cambio que se introduzca en el Reglamento de Radiocomunicaciones en relación con el punto 1.1 del orden del día de la CMR</w:t>
      </w:r>
      <w:r w:rsidR="00A1402A" w:rsidRPr="00A1402A">
        <w:rPr>
          <w:lang w:val="es-ES"/>
        </w:rPr>
        <w:noBreakHyphen/>
      </w:r>
      <w:r w:rsidRPr="00A1402A">
        <w:rPr>
          <w:lang w:val="es-ES"/>
        </w:rPr>
        <w:t>19 debe afectar negativamente a las atribuciones existentes para los servicios de aficionados, de radiodifusión, fijo y móvil implantados en la banda de frecuencias 50</w:t>
      </w:r>
      <w:r w:rsidRPr="00A1402A">
        <w:rPr>
          <w:lang w:val="es-ES"/>
        </w:rPr>
        <w:noBreakHyphen/>
        <w:t>54</w:t>
      </w:r>
      <w:r w:rsidR="00EE7667" w:rsidRPr="00A1402A">
        <w:rPr>
          <w:lang w:val="es-ES"/>
        </w:rPr>
        <w:t> </w:t>
      </w:r>
      <w:r w:rsidRPr="00A1402A">
        <w:rPr>
          <w:lang w:val="es-ES"/>
        </w:rPr>
        <w:t>MHz en la Región 3, ni someter a la Región 3 a ninguna disposición reglamentaria o de procedimiento modificada.</w:t>
      </w:r>
    </w:p>
    <w:p w14:paraId="3BC3A749" w14:textId="7895C203" w:rsidR="008750A8" w:rsidRPr="00A1402A" w:rsidRDefault="00000E7C" w:rsidP="00000E7C">
      <w:pPr>
        <w:pStyle w:val="Reasons"/>
        <w:rPr>
          <w:lang w:val="es-ES"/>
        </w:rPr>
      </w:pPr>
      <w:r w:rsidRPr="00A1402A">
        <w:rPr>
          <w:b/>
          <w:lang w:val="es-ES"/>
        </w:rPr>
        <w:t>Motivos:</w:t>
      </w:r>
      <w:r w:rsidRPr="00A1402A">
        <w:rPr>
          <w:lang w:val="es-ES"/>
        </w:rPr>
        <w:tab/>
        <w:t xml:space="preserve">El punto 1.1 del orden del día brinda la oportunidad de lograr la armonización a escala mundial de una banda de frecuencias importante para el servicio de aficionados, así como reducir el número de notas contenidas en el Artículo </w:t>
      </w:r>
      <w:r w:rsidRPr="00A1402A">
        <w:rPr>
          <w:b/>
          <w:lang w:val="es-ES"/>
        </w:rPr>
        <w:t>5</w:t>
      </w:r>
      <w:r w:rsidRPr="00A1402A">
        <w:rPr>
          <w:lang w:val="es-ES"/>
        </w:rPr>
        <w:t xml:space="preserve"> del Reglamento de Radiocomunicaciones. Habida cuenta de que el servicio de aficionados en la Región 3 suele tener acceso a toda o parte de la banda de frecuencias 50-54</w:t>
      </w:r>
      <w:r w:rsidR="00EE7667" w:rsidRPr="00A1402A">
        <w:rPr>
          <w:lang w:val="es-ES"/>
        </w:rPr>
        <w:t> </w:t>
      </w:r>
      <w:r w:rsidRPr="00A1402A">
        <w:rPr>
          <w:lang w:val="es-ES"/>
        </w:rPr>
        <w:t>MHz, la armonización de la Región 1 con las Regiones 2 y 3 facilitaría la comprensión de los mecanismos de propagación a medida que se acumulan los datos y que las administraciones de la Región 1 conceden a los titulares de licencias de servicios de aficionados acceso a la banda de frecuencias 50</w:t>
      </w:r>
      <w:r w:rsidRPr="00A1402A">
        <w:rPr>
          <w:lang w:val="es-ES"/>
        </w:rPr>
        <w:noBreakHyphen/>
        <w:t>54</w:t>
      </w:r>
      <w:r w:rsidR="00EE7667" w:rsidRPr="00A1402A">
        <w:rPr>
          <w:lang w:val="es-ES"/>
        </w:rPr>
        <w:t> </w:t>
      </w:r>
      <w:r w:rsidRPr="00A1402A">
        <w:rPr>
          <w:lang w:val="es-ES"/>
        </w:rPr>
        <w:t>MHz. La armonización de las bandas entre las Regiones del UIT</w:t>
      </w:r>
      <w:r w:rsidR="00B816F3" w:rsidRPr="00A1402A">
        <w:rPr>
          <w:lang w:val="es-ES"/>
        </w:rPr>
        <w:noBreakHyphen/>
      </w:r>
      <w:r w:rsidRPr="00A1402A">
        <w:rPr>
          <w:lang w:val="es-ES"/>
        </w:rPr>
        <w:t>R también aumentaría las oportunidades de intercomunicación interregional entre estaciones de aficionados y permitiría realizar un mayor número de experimentaciones técnicas pertinentes para el servicio de aficionados.</w:t>
      </w:r>
    </w:p>
    <w:p w14:paraId="6AE0EFF9" w14:textId="77777777" w:rsidR="00000E7C" w:rsidRPr="00A1402A" w:rsidRDefault="00000E7C" w:rsidP="007D7886">
      <w:pPr>
        <w:pStyle w:val="Reasons"/>
        <w:rPr>
          <w:lang w:val="es-ES"/>
        </w:rPr>
      </w:pPr>
      <w:bookmarkStart w:id="6" w:name="_GoBack"/>
      <w:bookmarkEnd w:id="6"/>
    </w:p>
    <w:p w14:paraId="005C2AC1" w14:textId="3E6AA0D4" w:rsidR="00000E7C" w:rsidRPr="00A1402A" w:rsidRDefault="00000E7C" w:rsidP="00000E7C">
      <w:pPr>
        <w:jc w:val="center"/>
        <w:rPr>
          <w:lang w:val="es-ES"/>
        </w:rPr>
      </w:pPr>
      <w:r w:rsidRPr="00A1402A">
        <w:rPr>
          <w:lang w:val="es-ES"/>
        </w:rPr>
        <w:t>______________</w:t>
      </w:r>
    </w:p>
    <w:sectPr w:rsidR="00000E7C" w:rsidRPr="00A1402A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A5837" w14:textId="77777777" w:rsidR="00FD03C4" w:rsidRDefault="00FD03C4">
      <w:r>
        <w:separator/>
      </w:r>
    </w:p>
  </w:endnote>
  <w:endnote w:type="continuationSeparator" w:id="0">
    <w:p w14:paraId="3353AD54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779FC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8FA664" w14:textId="0664E9F5" w:rsidR="0077084A" w:rsidRPr="00A1402A" w:rsidRDefault="0077084A">
    <w:pPr>
      <w:ind w:right="360"/>
    </w:pPr>
    <w:r>
      <w:fldChar w:fldCharType="begin"/>
    </w:r>
    <w:r w:rsidRPr="00A1402A">
      <w:instrText xml:space="preserve"> FILENAME \p  \* MERGEFORMAT </w:instrText>
    </w:r>
    <w:r>
      <w:fldChar w:fldCharType="separate"/>
    </w:r>
    <w:r w:rsidR="0063735E">
      <w:rPr>
        <w:noProof/>
      </w:rPr>
      <w:t>P:\ESP\ITU-R\CONF-R\CMR19\000\024ADD01S.docx</w:t>
    </w:r>
    <w:r>
      <w:fldChar w:fldCharType="end"/>
    </w:r>
    <w:r w:rsidRPr="00A1402A">
      <w:tab/>
    </w:r>
    <w:r>
      <w:fldChar w:fldCharType="begin"/>
    </w:r>
    <w:r>
      <w:instrText xml:space="preserve"> SAVEDATE \@ DD.MM.YY </w:instrText>
    </w:r>
    <w:r>
      <w:fldChar w:fldCharType="separate"/>
    </w:r>
    <w:r w:rsidR="007D7886">
      <w:rPr>
        <w:noProof/>
      </w:rPr>
      <w:t>07.10.19</w:t>
    </w:r>
    <w:r>
      <w:fldChar w:fldCharType="end"/>
    </w:r>
    <w:r w:rsidRPr="00A1402A">
      <w:tab/>
    </w:r>
    <w:r>
      <w:fldChar w:fldCharType="begin"/>
    </w:r>
    <w:r>
      <w:instrText xml:space="preserve"> PRINTDATE \@ DD.MM.YY </w:instrText>
    </w:r>
    <w:r>
      <w:fldChar w:fldCharType="separate"/>
    </w:r>
    <w:r w:rsidR="0063735E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C427" w14:textId="051AC5D9" w:rsidR="0077084A" w:rsidRPr="00B816F3" w:rsidRDefault="00DA531C" w:rsidP="00B816F3">
    <w:pPr>
      <w:pStyle w:val="Footer"/>
    </w:pPr>
    <w:fldSimple w:instr=" FILENAME \p  \* MERGEFORMAT ">
      <w:r w:rsidR="0063735E">
        <w:t>P:\ESP\ITU-R\CONF-R\CMR19\000\024ADD01S.docx</w:t>
      </w:r>
    </w:fldSimple>
    <w:r w:rsidR="00B816F3">
      <w:t xml:space="preserve"> (461081)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E673" w14:textId="73065974" w:rsidR="0077084A" w:rsidRDefault="007D7886" w:rsidP="00B816F3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63735E">
      <w:t>P:\ESP\ITU-R\CONF-R\CMR19\000\024ADD01S.docx</w:t>
    </w:r>
    <w:r>
      <w:fldChar w:fldCharType="end"/>
    </w:r>
    <w:r w:rsidR="00B816F3">
      <w:t xml:space="preserve"> (461081)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95E65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2FBD4BF9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6EDE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8B1324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00E7C"/>
    <w:rsid w:val="0002785D"/>
    <w:rsid w:val="00087AE8"/>
    <w:rsid w:val="000A5B9A"/>
    <w:rsid w:val="000A73E7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22D6D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9098C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3735E"/>
    <w:rsid w:val="00662BA0"/>
    <w:rsid w:val="0067344B"/>
    <w:rsid w:val="00684A94"/>
    <w:rsid w:val="00692AAE"/>
    <w:rsid w:val="006C0E38"/>
    <w:rsid w:val="006D6E67"/>
    <w:rsid w:val="006E1A13"/>
    <w:rsid w:val="006F4229"/>
    <w:rsid w:val="00701C20"/>
    <w:rsid w:val="00702F3D"/>
    <w:rsid w:val="0070518E"/>
    <w:rsid w:val="007354E9"/>
    <w:rsid w:val="0074579D"/>
    <w:rsid w:val="00765578"/>
    <w:rsid w:val="00766333"/>
    <w:rsid w:val="0077084A"/>
    <w:rsid w:val="00781F62"/>
    <w:rsid w:val="007952C7"/>
    <w:rsid w:val="007C0B95"/>
    <w:rsid w:val="007C2317"/>
    <w:rsid w:val="007D330A"/>
    <w:rsid w:val="007D7886"/>
    <w:rsid w:val="00866AE6"/>
    <w:rsid w:val="008750A8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1402A"/>
    <w:rsid w:val="00A4450C"/>
    <w:rsid w:val="00A66236"/>
    <w:rsid w:val="00AA5E6C"/>
    <w:rsid w:val="00AE5677"/>
    <w:rsid w:val="00AE658F"/>
    <w:rsid w:val="00AF2F78"/>
    <w:rsid w:val="00B239FA"/>
    <w:rsid w:val="00B47331"/>
    <w:rsid w:val="00B52D55"/>
    <w:rsid w:val="00B816F3"/>
    <w:rsid w:val="00B8288C"/>
    <w:rsid w:val="00B86034"/>
    <w:rsid w:val="00BC0B3A"/>
    <w:rsid w:val="00BE2E80"/>
    <w:rsid w:val="00BE5EDD"/>
    <w:rsid w:val="00BE6A1F"/>
    <w:rsid w:val="00C126C4"/>
    <w:rsid w:val="00C44E9E"/>
    <w:rsid w:val="00C63EB5"/>
    <w:rsid w:val="00C76599"/>
    <w:rsid w:val="00C87DA7"/>
    <w:rsid w:val="00CC01E0"/>
    <w:rsid w:val="00CD5FEE"/>
    <w:rsid w:val="00CE60D2"/>
    <w:rsid w:val="00CE7431"/>
    <w:rsid w:val="00D0288A"/>
    <w:rsid w:val="00D72A5D"/>
    <w:rsid w:val="00DA531C"/>
    <w:rsid w:val="00DA71A3"/>
    <w:rsid w:val="00DC629B"/>
    <w:rsid w:val="00DE1C31"/>
    <w:rsid w:val="00E05BFF"/>
    <w:rsid w:val="00E262F1"/>
    <w:rsid w:val="00E3176A"/>
    <w:rsid w:val="00E54754"/>
    <w:rsid w:val="00E56BD3"/>
    <w:rsid w:val="00E71D14"/>
    <w:rsid w:val="00E90749"/>
    <w:rsid w:val="00EA77F0"/>
    <w:rsid w:val="00EE7667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94D224C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styleId="BalloonText">
    <w:name w:val="Balloon Text"/>
    <w:basedOn w:val="Normal"/>
    <w:link w:val="BalloonTextChar"/>
    <w:semiHidden/>
    <w:unhideWhenUsed/>
    <w:rsid w:val="00000E7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0E7C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3D21-C1FF-48F9-8693-A3A538658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9D24A-6155-4655-97D9-FB5C7BB76F4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96b2e75-67fd-4955-a3b0-5ab9934cb50b"/>
    <ds:schemaRef ds:uri="http://www.w3.org/XML/1998/namespace"/>
    <ds:schemaRef ds:uri="http://purl.org/dc/dcmitype/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8BD3349-6AC0-4F9D-B604-43FD7708EE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A9F280-ED70-4A4C-8769-7A2FF874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512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R16-WRC19-C-0024!A1!MSW-S</vt:lpstr>
    </vt:vector>
  </TitlesOfParts>
  <Manager>Secretaría General - Pool</Manager>
  <Company>Unión Internacional de Telecomunicaciones (UIT)</Company>
  <LinksUpToDate>false</LinksUpToDate>
  <CharactersWithSpaces>3130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R16-WRC19-C-0024!A1!MSW-S</dc:title>
  <dc:subject>Conferencia Mundial de Radiocomunicaciones - 2019</dc:subject>
  <dc:creator>Documents Proposals Manager (DPM)</dc:creator>
  <cp:keywords>DPM_v2019.9.25.1_prod</cp:keywords>
  <dc:description/>
  <cp:lastModifiedBy>Murphy, Margaret</cp:lastModifiedBy>
  <cp:revision>19</cp:revision>
  <cp:lastPrinted>2019-09-30T12:18:00Z</cp:lastPrinted>
  <dcterms:created xsi:type="dcterms:W3CDTF">2019-09-30T10:18:00Z</dcterms:created>
  <dcterms:modified xsi:type="dcterms:W3CDTF">2019-10-07T10:51:00Z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