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775E6" w14:paraId="0858FB69" w14:textId="77777777" w:rsidTr="001226EC">
        <w:trPr>
          <w:cantSplit/>
        </w:trPr>
        <w:tc>
          <w:tcPr>
            <w:tcW w:w="6771" w:type="dxa"/>
          </w:tcPr>
          <w:p w14:paraId="3F6965BD" w14:textId="77777777" w:rsidR="005651C9" w:rsidRPr="000775E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775E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775E6">
              <w:rPr>
                <w:rFonts w:ascii="Verdana" w:hAnsi="Verdana"/>
                <w:b/>
                <w:bCs/>
                <w:szCs w:val="22"/>
              </w:rPr>
              <w:t>9</w:t>
            </w:r>
            <w:r w:rsidRPr="000775E6">
              <w:rPr>
                <w:rFonts w:ascii="Verdana" w:hAnsi="Verdana"/>
                <w:b/>
                <w:bCs/>
                <w:szCs w:val="22"/>
              </w:rPr>
              <w:t>)</w:t>
            </w:r>
            <w:r w:rsidRPr="000775E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775E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775E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775E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775E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970D2EF" w14:textId="77777777" w:rsidR="005651C9" w:rsidRPr="000775E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775E6">
              <w:rPr>
                <w:noProof/>
                <w:szCs w:val="22"/>
                <w:lang w:eastAsia="zh-CN"/>
              </w:rPr>
              <w:drawing>
                <wp:inline distT="0" distB="0" distL="0" distR="0" wp14:anchorId="75548F18" wp14:editId="4802845A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775E6" w14:paraId="4801052B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8B1A3CA" w14:textId="77777777" w:rsidR="005651C9" w:rsidRPr="000775E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1E56283" w14:textId="77777777" w:rsidR="005651C9" w:rsidRPr="000775E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775E6" w14:paraId="1CEA9AC0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A302AB2" w14:textId="77777777" w:rsidR="005651C9" w:rsidRPr="000775E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4E2D3F7" w14:textId="77777777" w:rsidR="005651C9" w:rsidRPr="000775E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775E6" w14:paraId="0AE69E8D" w14:textId="77777777" w:rsidTr="001226EC">
        <w:trPr>
          <w:cantSplit/>
        </w:trPr>
        <w:tc>
          <w:tcPr>
            <w:tcW w:w="6771" w:type="dxa"/>
          </w:tcPr>
          <w:p w14:paraId="6F3F806E" w14:textId="77777777" w:rsidR="005651C9" w:rsidRPr="000775E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775E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722EDD24" w14:textId="77777777" w:rsidR="005651C9" w:rsidRPr="000775E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775E6">
              <w:rPr>
                <w:rFonts w:ascii="Verdana" w:hAnsi="Verdana"/>
                <w:b/>
                <w:bCs/>
                <w:sz w:val="18"/>
                <w:szCs w:val="18"/>
              </w:rPr>
              <w:t>Документ 20</w:t>
            </w:r>
            <w:r w:rsidR="005651C9" w:rsidRPr="000775E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775E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775E6" w14:paraId="03DB8252" w14:textId="77777777" w:rsidTr="001226EC">
        <w:trPr>
          <w:cantSplit/>
        </w:trPr>
        <w:tc>
          <w:tcPr>
            <w:tcW w:w="6771" w:type="dxa"/>
          </w:tcPr>
          <w:p w14:paraId="4C5D2D10" w14:textId="77777777" w:rsidR="000F33D8" w:rsidRPr="000775E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D968E3D" w14:textId="77777777" w:rsidR="000F33D8" w:rsidRPr="000775E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775E6">
              <w:rPr>
                <w:rFonts w:ascii="Verdana" w:hAnsi="Verdana"/>
                <w:b/>
                <w:bCs/>
                <w:sz w:val="18"/>
                <w:szCs w:val="18"/>
              </w:rPr>
              <w:t>15 сентября 2019 года</w:t>
            </w:r>
          </w:p>
        </w:tc>
      </w:tr>
      <w:tr w:rsidR="000F33D8" w:rsidRPr="000775E6" w14:paraId="66BD2FBF" w14:textId="77777777" w:rsidTr="001226EC">
        <w:trPr>
          <w:cantSplit/>
        </w:trPr>
        <w:tc>
          <w:tcPr>
            <w:tcW w:w="6771" w:type="dxa"/>
          </w:tcPr>
          <w:p w14:paraId="17233432" w14:textId="77777777" w:rsidR="000F33D8" w:rsidRPr="000775E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C9622AE" w14:textId="77777777" w:rsidR="000F33D8" w:rsidRPr="000775E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775E6">
              <w:rPr>
                <w:rFonts w:ascii="Verdana" w:hAnsi="Verdana"/>
                <w:b/>
                <w:bCs/>
                <w:sz w:val="18"/>
                <w:szCs w:val="22"/>
              </w:rPr>
              <w:t>Оригинал: арабский</w:t>
            </w:r>
          </w:p>
        </w:tc>
      </w:tr>
      <w:tr w:rsidR="000F33D8" w:rsidRPr="000775E6" w14:paraId="0A0E4B17" w14:textId="77777777" w:rsidTr="009546EA">
        <w:trPr>
          <w:cantSplit/>
        </w:trPr>
        <w:tc>
          <w:tcPr>
            <w:tcW w:w="10031" w:type="dxa"/>
            <w:gridSpan w:val="2"/>
          </w:tcPr>
          <w:p w14:paraId="02DD979E" w14:textId="77777777" w:rsidR="000F33D8" w:rsidRPr="000775E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775E6" w14:paraId="3B2BFE8C" w14:textId="77777777">
        <w:trPr>
          <w:cantSplit/>
        </w:trPr>
        <w:tc>
          <w:tcPr>
            <w:tcW w:w="10031" w:type="dxa"/>
            <w:gridSpan w:val="2"/>
          </w:tcPr>
          <w:p w14:paraId="616357CB" w14:textId="25771D41" w:rsidR="000F33D8" w:rsidRPr="000775E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775E6">
              <w:rPr>
                <w:szCs w:val="26"/>
              </w:rPr>
              <w:t>Алжирская Народная Демократическая Республика</w:t>
            </w:r>
            <w:r w:rsidR="003B3E67" w:rsidRPr="000775E6">
              <w:rPr>
                <w:szCs w:val="26"/>
              </w:rPr>
              <w:t xml:space="preserve">, </w:t>
            </w:r>
            <w:r w:rsidRPr="000775E6">
              <w:rPr>
                <w:szCs w:val="26"/>
              </w:rPr>
              <w:t>Египет (Арабская Республика)</w:t>
            </w:r>
            <w:r w:rsidR="003B3E67" w:rsidRPr="000775E6">
              <w:rPr>
                <w:szCs w:val="26"/>
              </w:rPr>
              <w:t xml:space="preserve">, </w:t>
            </w:r>
            <w:r w:rsidRPr="000775E6">
              <w:rPr>
                <w:szCs w:val="26"/>
              </w:rPr>
              <w:t>Государство Палестина (</w:t>
            </w:r>
            <w:r w:rsidR="003B3E67" w:rsidRPr="000775E6">
              <w:rPr>
                <w:b w:val="0"/>
                <w:bCs/>
                <w:szCs w:val="26"/>
              </w:rPr>
              <w:t>*</w:t>
            </w:r>
            <w:r w:rsidRPr="000775E6">
              <w:rPr>
                <w:szCs w:val="26"/>
              </w:rPr>
              <w:t>)</w:t>
            </w:r>
            <w:r w:rsidR="003B3E67" w:rsidRPr="000775E6">
              <w:rPr>
                <w:szCs w:val="26"/>
              </w:rPr>
              <w:t xml:space="preserve">, </w:t>
            </w:r>
            <w:r w:rsidRPr="000775E6">
              <w:rPr>
                <w:szCs w:val="26"/>
              </w:rPr>
              <w:t>Ирак (Республика)</w:t>
            </w:r>
            <w:r w:rsidR="003B3E67" w:rsidRPr="000775E6">
              <w:rPr>
                <w:szCs w:val="26"/>
              </w:rPr>
              <w:t xml:space="preserve">, </w:t>
            </w:r>
            <w:r w:rsidRPr="000775E6">
              <w:rPr>
                <w:szCs w:val="26"/>
              </w:rPr>
              <w:t>Ливия</w:t>
            </w:r>
            <w:r w:rsidR="003B3E67" w:rsidRPr="000775E6">
              <w:rPr>
                <w:szCs w:val="26"/>
              </w:rPr>
              <w:t xml:space="preserve">, </w:t>
            </w:r>
            <w:r w:rsidRPr="000775E6">
              <w:rPr>
                <w:szCs w:val="26"/>
              </w:rPr>
              <w:t>Тунис</w:t>
            </w:r>
          </w:p>
        </w:tc>
      </w:tr>
      <w:tr w:rsidR="000F33D8" w:rsidRPr="000775E6" w14:paraId="6E3C33B9" w14:textId="77777777">
        <w:trPr>
          <w:cantSplit/>
        </w:trPr>
        <w:tc>
          <w:tcPr>
            <w:tcW w:w="10031" w:type="dxa"/>
            <w:gridSpan w:val="2"/>
          </w:tcPr>
          <w:p w14:paraId="21D11C6D" w14:textId="77777777" w:rsidR="000F33D8" w:rsidRPr="000775E6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775E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775E6" w14:paraId="0D82CDC3" w14:textId="77777777">
        <w:trPr>
          <w:cantSplit/>
        </w:trPr>
        <w:tc>
          <w:tcPr>
            <w:tcW w:w="10031" w:type="dxa"/>
            <w:gridSpan w:val="2"/>
          </w:tcPr>
          <w:p w14:paraId="16992DE8" w14:textId="77777777" w:rsidR="000F33D8" w:rsidRPr="000775E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0775E6" w14:paraId="55672391" w14:textId="77777777">
        <w:trPr>
          <w:cantSplit/>
        </w:trPr>
        <w:tc>
          <w:tcPr>
            <w:tcW w:w="10031" w:type="dxa"/>
            <w:gridSpan w:val="2"/>
          </w:tcPr>
          <w:p w14:paraId="6E1C7952" w14:textId="77777777" w:rsidR="000F33D8" w:rsidRPr="000775E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0775E6">
              <w:rPr>
                <w:lang w:val="ru-RU"/>
              </w:rPr>
              <w:t>Пункт 1.1 повестки дня</w:t>
            </w:r>
          </w:p>
        </w:tc>
      </w:tr>
    </w:tbl>
    <w:bookmarkEnd w:id="6"/>
    <w:p w14:paraId="70CC575A" w14:textId="77777777" w:rsidR="00D51940" w:rsidRPr="000775E6" w:rsidRDefault="00873B0B" w:rsidP="003B3E67">
      <w:pPr>
        <w:pStyle w:val="Normalaftertitle"/>
        <w:rPr>
          <w:szCs w:val="22"/>
        </w:rPr>
      </w:pPr>
      <w:r w:rsidRPr="000775E6">
        <w:t>1.1</w:t>
      </w:r>
      <w:r w:rsidRPr="000775E6">
        <w:tab/>
        <w:t>рассмотреть распределение полосы частот 50−54 МГц л</w:t>
      </w:r>
      <w:bookmarkStart w:id="7" w:name="_GoBack"/>
      <w:bookmarkEnd w:id="7"/>
      <w:r w:rsidRPr="000775E6">
        <w:t xml:space="preserve">юбительской службе в Районе 1 в соответствии с Резолюцией </w:t>
      </w:r>
      <w:r w:rsidRPr="000775E6">
        <w:rPr>
          <w:b/>
          <w:bCs/>
        </w:rPr>
        <w:t>658 (ВКР-15)</w:t>
      </w:r>
      <w:r w:rsidRPr="000775E6">
        <w:t>;</w:t>
      </w:r>
    </w:p>
    <w:p w14:paraId="6733BD9B" w14:textId="6EC813D4" w:rsidR="003B3E67" w:rsidRPr="000775E6" w:rsidRDefault="003B3E67" w:rsidP="003B3E67">
      <w:pPr>
        <w:pStyle w:val="Headingb"/>
        <w:rPr>
          <w:lang w:val="ru-RU"/>
        </w:rPr>
      </w:pPr>
      <w:r w:rsidRPr="000775E6">
        <w:rPr>
          <w:lang w:val="ru-RU"/>
        </w:rPr>
        <w:t>Введение</w:t>
      </w:r>
    </w:p>
    <w:p w14:paraId="6EF04B26" w14:textId="77777777" w:rsidR="001611EF" w:rsidRPr="000775E6" w:rsidRDefault="001611EF" w:rsidP="001611EF">
      <w:pPr>
        <w:rPr>
          <w:color w:val="000000" w:themeColor="text1"/>
        </w:rPr>
      </w:pPr>
      <w:r w:rsidRPr="000775E6">
        <w:rPr>
          <w:color w:val="000000" w:themeColor="text1"/>
        </w:rPr>
        <w:t xml:space="preserve">В данном пункте повестки дня рассматривается возможность нового распределения любительской службе в полосе частот 50−54 МГц в Районе 1 посредством полного или частичного согласования во всемирном масштабе с существующими первичными распределениями </w:t>
      </w:r>
      <w:r w:rsidRPr="000775E6">
        <w:t>4 МГц в Районах 2 и 3.</w:t>
      </w:r>
    </w:p>
    <w:p w14:paraId="13AC5A2C" w14:textId="3A2899D5" w:rsidR="003B3E67" w:rsidRPr="000775E6" w:rsidRDefault="003B3E67" w:rsidP="003B3E67">
      <w:pPr>
        <w:pStyle w:val="Headingb"/>
        <w:rPr>
          <w:lang w:val="ru-RU"/>
        </w:rPr>
      </w:pPr>
      <w:r w:rsidRPr="000775E6">
        <w:rPr>
          <w:lang w:val="ru-RU"/>
        </w:rPr>
        <w:t>Предложения</w:t>
      </w:r>
    </w:p>
    <w:p w14:paraId="49BCA206" w14:textId="56A5D6B2" w:rsidR="004E30C2" w:rsidRPr="000775E6" w:rsidRDefault="004E30C2" w:rsidP="003B3E67">
      <w:pPr>
        <w:shd w:val="clear" w:color="auto" w:fill="FFFFFF" w:themeFill="background1"/>
      </w:pPr>
      <w:r w:rsidRPr="000775E6">
        <w:t>Проведенные в связи с данным пунктом повестки дня исследования показали, что необходимы большие расстояния разноса между станциями любительской службы и системами, работающими в рамках служб, для которых распределена полоса частот 50−54 МГц, с тем чтобы обеспечить возможность совместного использования любительской службой и службами, для которых была распределена данная полоса частот. Исследования также показали, что интенсивность помех</w:t>
      </w:r>
      <w:r w:rsidR="00EF1C68" w:rsidRPr="000775E6">
        <w:t xml:space="preserve">, причиняемых, в частности, </w:t>
      </w:r>
      <w:r w:rsidRPr="000775E6">
        <w:t>систем</w:t>
      </w:r>
      <w:r w:rsidR="00EF1C68" w:rsidRPr="000775E6">
        <w:t>ам</w:t>
      </w:r>
      <w:r w:rsidRPr="000775E6">
        <w:t xml:space="preserve"> </w:t>
      </w:r>
      <w:r w:rsidR="00EF1C68" w:rsidRPr="000775E6">
        <w:t xml:space="preserve">сухопутной </w:t>
      </w:r>
      <w:r w:rsidRPr="000775E6">
        <w:t>подвижной службы</w:t>
      </w:r>
      <w:r w:rsidR="00EF1C68" w:rsidRPr="000775E6">
        <w:t>,</w:t>
      </w:r>
      <w:r w:rsidRPr="000775E6">
        <w:t xml:space="preserve"> в значительной степени зависит от </w:t>
      </w:r>
      <w:r w:rsidR="00217DA7" w:rsidRPr="000775E6">
        <w:t>активности</w:t>
      </w:r>
      <w:r w:rsidRPr="000775E6">
        <w:t xml:space="preserve"> использования данной полосы частот </w:t>
      </w:r>
      <w:r w:rsidR="00217DA7" w:rsidRPr="000775E6">
        <w:t xml:space="preserve">станциями любительской службы, что делает работающие системы </w:t>
      </w:r>
      <w:r w:rsidR="00EF1C68" w:rsidRPr="000775E6">
        <w:t>сухопутной</w:t>
      </w:r>
      <w:r w:rsidR="00217DA7" w:rsidRPr="000775E6">
        <w:t xml:space="preserve"> подвижной службы </w:t>
      </w:r>
      <w:r w:rsidR="00EF1C68" w:rsidRPr="000775E6">
        <w:t xml:space="preserve">более подвержены </w:t>
      </w:r>
      <w:r w:rsidR="00217DA7" w:rsidRPr="000775E6">
        <w:t>значительным и переменным помехам в случае более активного использования полосы частот 50−54 МГц станциями любительской службы.</w:t>
      </w:r>
    </w:p>
    <w:p w14:paraId="2B59ADAA" w14:textId="4D0793CB" w:rsidR="00217DA7" w:rsidRPr="000775E6" w:rsidRDefault="00217DA7" w:rsidP="003B3E67">
      <w:pPr>
        <w:shd w:val="clear" w:color="auto" w:fill="FFFFFF" w:themeFill="background1"/>
      </w:pPr>
      <w:r w:rsidRPr="000775E6">
        <w:t>Ввиду сложности соблюдения на практике требований по расстояниям разноса</w:t>
      </w:r>
      <w:r w:rsidR="0012025F" w:rsidRPr="000775E6">
        <w:t xml:space="preserve"> для пользователей любительских станций, а также того обстоятельства, что интенсивность помех меняется в зависимости от активности использования станций любительской службы, системы, работающие в рамках служб, для которых распределена данная полоса частот, будут </w:t>
      </w:r>
      <w:r w:rsidR="00EF1C68" w:rsidRPr="000775E6">
        <w:t xml:space="preserve">подвержены </w:t>
      </w:r>
      <w:r w:rsidR="0012025F" w:rsidRPr="000775E6">
        <w:t>вредны</w:t>
      </w:r>
      <w:r w:rsidR="00EF1C68" w:rsidRPr="000775E6">
        <w:t>м</w:t>
      </w:r>
      <w:r w:rsidR="0012025F" w:rsidRPr="000775E6">
        <w:t xml:space="preserve"> и в значительной степени переменны</w:t>
      </w:r>
      <w:r w:rsidR="00EF1C68" w:rsidRPr="000775E6">
        <w:t>м</w:t>
      </w:r>
      <w:r w:rsidR="0012025F" w:rsidRPr="000775E6">
        <w:t xml:space="preserve"> помех</w:t>
      </w:r>
      <w:r w:rsidR="00EF1C68" w:rsidRPr="000775E6">
        <w:t>ам</w:t>
      </w:r>
      <w:r w:rsidR="0012025F" w:rsidRPr="000775E6">
        <w:t>, если полоса частот 50−54 МГц будет использоваться совместно с любительской службой.</w:t>
      </w:r>
    </w:p>
    <w:p w14:paraId="34EDA63D" w14:textId="5E7BF211" w:rsidR="009B5CC2" w:rsidRPr="000775E6" w:rsidRDefault="0012025F" w:rsidP="000775E6">
      <w:pPr>
        <w:shd w:val="clear" w:color="auto" w:fill="FFFFFF" w:themeFill="background1"/>
      </w:pPr>
      <w:r w:rsidRPr="000775E6">
        <w:t xml:space="preserve">Учитывая вышеизложенные разъяснения в отношении данного пункта повестки дня, предложенные меры по защите для регулирования работы станций любительской службы не содержат </w:t>
      </w:r>
      <w:r w:rsidR="00EF1C68" w:rsidRPr="000775E6">
        <w:t>стабильной</w:t>
      </w:r>
      <w:r w:rsidRPr="000775E6">
        <w:t xml:space="preserve"> регламентарн</w:t>
      </w:r>
      <w:r w:rsidR="00EF1C68" w:rsidRPr="000775E6">
        <w:t xml:space="preserve">ой основы </w:t>
      </w:r>
      <w:r w:rsidRPr="000775E6">
        <w:t>для совместного использования</w:t>
      </w:r>
      <w:r w:rsidR="00EF1C68" w:rsidRPr="000775E6">
        <w:t xml:space="preserve"> частот </w:t>
      </w:r>
      <w:r w:rsidRPr="000775E6">
        <w:t xml:space="preserve">любительской службой и </w:t>
      </w:r>
      <w:r w:rsidR="00EF1C68" w:rsidRPr="000775E6">
        <w:t xml:space="preserve">другими </w:t>
      </w:r>
      <w:r w:rsidRPr="000775E6">
        <w:t xml:space="preserve">службами, </w:t>
      </w:r>
      <w:r w:rsidR="00EF1C68" w:rsidRPr="000775E6">
        <w:t xml:space="preserve">имеющими </w:t>
      </w:r>
      <w:r w:rsidRPr="000775E6">
        <w:t>распределен</w:t>
      </w:r>
      <w:r w:rsidR="00EF1C68" w:rsidRPr="000775E6">
        <w:t>ия в</w:t>
      </w:r>
      <w:r w:rsidRPr="000775E6">
        <w:t xml:space="preserve"> полос</w:t>
      </w:r>
      <w:r w:rsidR="00EF1C68" w:rsidRPr="000775E6">
        <w:t>е</w:t>
      </w:r>
      <w:r w:rsidRPr="000775E6">
        <w:t xml:space="preserve"> частот 50−54 МГц. Как следствие, вышеупомянутые администрации выступают за сохранение Статьи </w:t>
      </w:r>
      <w:r w:rsidRPr="000775E6">
        <w:rPr>
          <w:b/>
        </w:rPr>
        <w:t>5</w:t>
      </w:r>
      <w:r w:rsidRPr="000775E6">
        <w:t xml:space="preserve"> Регламента радиосвязи в текущем виде и удаление Резолюции </w:t>
      </w:r>
      <w:r w:rsidRPr="000775E6">
        <w:rPr>
          <w:b/>
        </w:rPr>
        <w:t>658 (ВКР-15)</w:t>
      </w:r>
      <w:r w:rsidRPr="000775E6">
        <w:t>, как показано ниже.</w:t>
      </w:r>
      <w:r w:rsidR="009B5CC2" w:rsidRPr="000775E6">
        <w:br w:type="page"/>
      </w:r>
    </w:p>
    <w:p w14:paraId="1C0F5538" w14:textId="77777777" w:rsidR="009D4B5D" w:rsidRPr="000775E6" w:rsidRDefault="00873B0B">
      <w:pPr>
        <w:pStyle w:val="Proposal"/>
      </w:pPr>
      <w:proofErr w:type="spellStart"/>
      <w:r w:rsidRPr="000775E6">
        <w:rPr>
          <w:u w:val="single"/>
        </w:rPr>
        <w:lastRenderedPageBreak/>
        <w:t>NOC</w:t>
      </w:r>
      <w:proofErr w:type="spellEnd"/>
      <w:r w:rsidRPr="000775E6">
        <w:tab/>
      </w:r>
      <w:proofErr w:type="spellStart"/>
      <w:r w:rsidRPr="000775E6">
        <w:t>ALG</w:t>
      </w:r>
      <w:proofErr w:type="spellEnd"/>
      <w:r w:rsidRPr="000775E6">
        <w:t>/</w:t>
      </w:r>
      <w:proofErr w:type="spellStart"/>
      <w:r w:rsidRPr="000775E6">
        <w:t>EGY</w:t>
      </w:r>
      <w:proofErr w:type="spellEnd"/>
      <w:r w:rsidRPr="000775E6">
        <w:t>/</w:t>
      </w:r>
      <w:proofErr w:type="spellStart"/>
      <w:r w:rsidRPr="000775E6">
        <w:t>PSE</w:t>
      </w:r>
      <w:proofErr w:type="spellEnd"/>
      <w:r w:rsidRPr="000775E6">
        <w:t>/</w:t>
      </w:r>
      <w:proofErr w:type="spellStart"/>
      <w:r w:rsidRPr="000775E6">
        <w:t>IRQ</w:t>
      </w:r>
      <w:proofErr w:type="spellEnd"/>
      <w:r w:rsidRPr="000775E6">
        <w:t>/</w:t>
      </w:r>
      <w:proofErr w:type="spellStart"/>
      <w:r w:rsidRPr="000775E6">
        <w:t>LBY</w:t>
      </w:r>
      <w:proofErr w:type="spellEnd"/>
      <w:r w:rsidRPr="000775E6">
        <w:t>/</w:t>
      </w:r>
      <w:proofErr w:type="spellStart"/>
      <w:r w:rsidRPr="000775E6">
        <w:t>TUN</w:t>
      </w:r>
      <w:proofErr w:type="spellEnd"/>
      <w:r w:rsidRPr="000775E6">
        <w:t>/20/1</w:t>
      </w:r>
    </w:p>
    <w:p w14:paraId="1344FDC5" w14:textId="77777777" w:rsidR="000C3ACF" w:rsidRPr="000775E6" w:rsidRDefault="00873B0B" w:rsidP="003B3E67">
      <w:pPr>
        <w:pStyle w:val="ArtNo"/>
      </w:pPr>
      <w:bookmarkStart w:id="8" w:name="_Toc331607681"/>
      <w:bookmarkStart w:id="9" w:name="_Toc456189604"/>
      <w:r w:rsidRPr="000775E6">
        <w:t xml:space="preserve">СТАТЬЯ </w:t>
      </w:r>
      <w:r w:rsidRPr="000775E6">
        <w:rPr>
          <w:rStyle w:val="href"/>
        </w:rPr>
        <w:t>5</w:t>
      </w:r>
      <w:bookmarkEnd w:id="8"/>
      <w:bookmarkEnd w:id="9"/>
    </w:p>
    <w:p w14:paraId="58C8196D" w14:textId="77777777" w:rsidR="000C3ACF" w:rsidRPr="000775E6" w:rsidRDefault="00873B0B" w:rsidP="00450154">
      <w:pPr>
        <w:pStyle w:val="Arttitle"/>
      </w:pPr>
      <w:bookmarkStart w:id="10" w:name="_Toc331607682"/>
      <w:bookmarkStart w:id="11" w:name="_Toc456189605"/>
      <w:r w:rsidRPr="000775E6">
        <w:t>Распределение частот</w:t>
      </w:r>
      <w:bookmarkEnd w:id="10"/>
      <w:bookmarkEnd w:id="11"/>
    </w:p>
    <w:p w14:paraId="0F84408B" w14:textId="1383A23D" w:rsidR="009D4B5D" w:rsidRPr="000775E6" w:rsidRDefault="00873B0B">
      <w:pPr>
        <w:pStyle w:val="Reasons"/>
      </w:pPr>
      <w:r w:rsidRPr="000775E6">
        <w:rPr>
          <w:b/>
        </w:rPr>
        <w:t>Основания</w:t>
      </w:r>
      <w:proofErr w:type="gramStart"/>
      <w:r w:rsidRPr="000775E6">
        <w:rPr>
          <w:bCs/>
        </w:rPr>
        <w:t>:</w:t>
      </w:r>
      <w:r w:rsidRPr="000775E6">
        <w:tab/>
      </w:r>
      <w:r w:rsidR="0000428C" w:rsidRPr="000775E6">
        <w:t>Нет</w:t>
      </w:r>
      <w:proofErr w:type="gramEnd"/>
      <w:r w:rsidR="0000428C" w:rsidRPr="000775E6">
        <w:t xml:space="preserve"> оснований для изменения, поскольку предложенные меры по защите для регулирования работы станций любительской службы не содерж</w:t>
      </w:r>
      <w:r w:rsidR="00EF1C68" w:rsidRPr="000775E6">
        <w:t>а</w:t>
      </w:r>
      <w:r w:rsidR="0000428C" w:rsidRPr="000775E6">
        <w:t xml:space="preserve">т </w:t>
      </w:r>
      <w:r w:rsidR="00EF1C68" w:rsidRPr="000775E6">
        <w:t xml:space="preserve">стабильной регламентарной основы </w:t>
      </w:r>
      <w:r w:rsidR="004E30C2" w:rsidRPr="000775E6">
        <w:t xml:space="preserve">для совместного использования любительской службой и </w:t>
      </w:r>
      <w:r w:rsidR="00EF1C68" w:rsidRPr="000775E6">
        <w:t xml:space="preserve">другими службами, имеющими распределения в полосе частот </w:t>
      </w:r>
      <w:r w:rsidR="003B3E67" w:rsidRPr="000775E6">
        <w:t>50−54 МГц.</w:t>
      </w:r>
    </w:p>
    <w:p w14:paraId="5FACD515" w14:textId="77777777" w:rsidR="009D4B5D" w:rsidRPr="000775E6" w:rsidRDefault="00873B0B">
      <w:pPr>
        <w:pStyle w:val="Proposal"/>
      </w:pPr>
      <w:proofErr w:type="spellStart"/>
      <w:r w:rsidRPr="000775E6">
        <w:t>SUP</w:t>
      </w:r>
      <w:proofErr w:type="spellEnd"/>
      <w:r w:rsidRPr="000775E6">
        <w:tab/>
      </w:r>
      <w:proofErr w:type="spellStart"/>
      <w:r w:rsidRPr="000775E6">
        <w:t>ALG</w:t>
      </w:r>
      <w:proofErr w:type="spellEnd"/>
      <w:r w:rsidRPr="000775E6">
        <w:t>/</w:t>
      </w:r>
      <w:proofErr w:type="spellStart"/>
      <w:r w:rsidRPr="000775E6">
        <w:t>EGY</w:t>
      </w:r>
      <w:proofErr w:type="spellEnd"/>
      <w:r w:rsidRPr="000775E6">
        <w:t>/</w:t>
      </w:r>
      <w:proofErr w:type="spellStart"/>
      <w:r w:rsidRPr="000775E6">
        <w:t>PSE</w:t>
      </w:r>
      <w:proofErr w:type="spellEnd"/>
      <w:r w:rsidRPr="000775E6">
        <w:t>/</w:t>
      </w:r>
      <w:proofErr w:type="spellStart"/>
      <w:r w:rsidRPr="000775E6">
        <w:t>IRQ</w:t>
      </w:r>
      <w:proofErr w:type="spellEnd"/>
      <w:r w:rsidRPr="000775E6">
        <w:t>/</w:t>
      </w:r>
      <w:proofErr w:type="spellStart"/>
      <w:r w:rsidRPr="000775E6">
        <w:t>LBY</w:t>
      </w:r>
      <w:proofErr w:type="spellEnd"/>
      <w:r w:rsidRPr="000775E6">
        <w:t>/</w:t>
      </w:r>
      <w:proofErr w:type="spellStart"/>
      <w:r w:rsidRPr="000775E6">
        <w:t>TUN</w:t>
      </w:r>
      <w:proofErr w:type="spellEnd"/>
      <w:r w:rsidRPr="000775E6">
        <w:t>/20/2</w:t>
      </w:r>
    </w:p>
    <w:p w14:paraId="04777680" w14:textId="77777777" w:rsidR="00E20C53" w:rsidRPr="000775E6" w:rsidRDefault="00873B0B" w:rsidP="005711A8">
      <w:pPr>
        <w:pStyle w:val="ResNo"/>
      </w:pPr>
      <w:bookmarkStart w:id="12" w:name="_Toc450292742"/>
      <w:proofErr w:type="gramStart"/>
      <w:r w:rsidRPr="000775E6">
        <w:rPr>
          <w:caps w:val="0"/>
        </w:rPr>
        <w:t xml:space="preserve">РЕЗОЛЮЦИЯ  </w:t>
      </w:r>
      <w:r w:rsidRPr="000775E6">
        <w:rPr>
          <w:rStyle w:val="href"/>
          <w:caps w:val="0"/>
        </w:rPr>
        <w:t>658</w:t>
      </w:r>
      <w:proofErr w:type="gramEnd"/>
      <w:r w:rsidRPr="000775E6">
        <w:rPr>
          <w:caps w:val="0"/>
        </w:rPr>
        <w:t xml:space="preserve">  (ВКР-15)</w:t>
      </w:r>
      <w:bookmarkEnd w:id="12"/>
    </w:p>
    <w:p w14:paraId="7609C73E" w14:textId="5FD54CE1" w:rsidR="00E20C53" w:rsidRPr="000775E6" w:rsidRDefault="00873B0B" w:rsidP="005711A8">
      <w:pPr>
        <w:pStyle w:val="Restitle"/>
      </w:pPr>
      <w:bookmarkStart w:id="13" w:name="_Toc450292743"/>
      <w:r w:rsidRPr="000775E6">
        <w:t>Распределение полосы частот 50</w:t>
      </w:r>
      <w:r w:rsidR="003B3E67" w:rsidRPr="000775E6">
        <w:t>−</w:t>
      </w:r>
      <w:r w:rsidRPr="000775E6">
        <w:t>54 МГц любительской службе в Районе 1</w:t>
      </w:r>
      <w:bookmarkEnd w:id="13"/>
    </w:p>
    <w:p w14:paraId="1C6BF9A2" w14:textId="4C28A3A4" w:rsidR="009D4B5D" w:rsidRPr="000775E6" w:rsidRDefault="00873B0B">
      <w:pPr>
        <w:pStyle w:val="Reasons"/>
      </w:pPr>
      <w:r w:rsidRPr="000775E6">
        <w:rPr>
          <w:b/>
        </w:rPr>
        <w:t>Основания</w:t>
      </w:r>
      <w:r w:rsidRPr="000775E6">
        <w:rPr>
          <w:bCs/>
        </w:rPr>
        <w:t>:</w:t>
      </w:r>
      <w:r w:rsidRPr="000775E6">
        <w:tab/>
      </w:r>
      <w:r w:rsidR="0000428C" w:rsidRPr="000775E6">
        <w:t xml:space="preserve">Необходимости в сохранении </w:t>
      </w:r>
      <w:r w:rsidR="00EF1C68" w:rsidRPr="000775E6">
        <w:t xml:space="preserve">этой </w:t>
      </w:r>
      <w:r w:rsidR="0000428C" w:rsidRPr="000775E6">
        <w:t>Резолюции в Регламенте радиосвязи нет.</w:t>
      </w:r>
    </w:p>
    <w:p w14:paraId="166276EE" w14:textId="3E55E391" w:rsidR="003B3E67" w:rsidRPr="000775E6" w:rsidRDefault="003B3E67" w:rsidP="003B3E67">
      <w:pPr>
        <w:spacing w:before="480"/>
        <w:jc w:val="center"/>
      </w:pPr>
      <w:r w:rsidRPr="000775E6">
        <w:t>______________</w:t>
      </w:r>
    </w:p>
    <w:sectPr w:rsidR="003B3E67" w:rsidRPr="000775E6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4E85F" w14:textId="77777777" w:rsidR="008E3837" w:rsidRDefault="008E3837">
      <w:r>
        <w:separator/>
      </w:r>
    </w:p>
  </w:endnote>
  <w:endnote w:type="continuationSeparator" w:id="0">
    <w:p w14:paraId="0882A73C" w14:textId="77777777" w:rsidR="008E3837" w:rsidRDefault="008E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2583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C86DD4C" w14:textId="75291477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15A92">
      <w:rPr>
        <w:noProof/>
        <w:lang w:val="fr-FR"/>
      </w:rPr>
      <w:t>P:\RUS\ITU-R\CONF-R\CMR19\000\020R.docx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5A92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5A92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D753" w14:textId="463B65C3" w:rsidR="00567276" w:rsidRPr="00BE31CA" w:rsidRDefault="00BE31CA" w:rsidP="00BE31C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15A92">
      <w:rPr>
        <w:lang w:val="fr-FR"/>
      </w:rPr>
      <w:t>P:\RUS\ITU-R\CONF-R\CMR19\000\020R.docx</w:t>
    </w:r>
    <w:r>
      <w:fldChar w:fldCharType="end"/>
    </w:r>
    <w:r w:rsidRPr="00BE31CA">
      <w:t xml:space="preserve"> (460822)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485D7" w14:textId="130C47D7" w:rsidR="00567276" w:rsidRPr="00BE31CA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15A92">
      <w:rPr>
        <w:lang w:val="fr-FR"/>
      </w:rPr>
      <w:t>P:\RUS\ITU-R\CONF-R\CMR19\000\020R.docx</w:t>
    </w:r>
    <w:r>
      <w:fldChar w:fldCharType="end"/>
    </w:r>
    <w:r w:rsidR="00BE31CA" w:rsidRPr="00BE31CA">
      <w:t xml:space="preserve"> (460822)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F4B9A" w14:textId="77777777" w:rsidR="008E3837" w:rsidRDefault="008E3837">
      <w:r>
        <w:rPr>
          <w:b/>
        </w:rPr>
        <w:t>_______________</w:t>
      </w:r>
    </w:p>
  </w:footnote>
  <w:footnote w:type="continuationSeparator" w:id="0">
    <w:p w14:paraId="2958D3CE" w14:textId="77777777" w:rsidR="008E3837" w:rsidRDefault="008E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60555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2025F">
      <w:rPr>
        <w:noProof/>
      </w:rPr>
      <w:t>2</w:t>
    </w:r>
    <w:r>
      <w:fldChar w:fldCharType="end"/>
    </w:r>
  </w:p>
  <w:p w14:paraId="34F77056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20-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9"/>
    <w:rsid w:val="0000428C"/>
    <w:rsid w:val="000260F1"/>
    <w:rsid w:val="0003535B"/>
    <w:rsid w:val="000775E6"/>
    <w:rsid w:val="000A0EF3"/>
    <w:rsid w:val="000C3F55"/>
    <w:rsid w:val="000F33D8"/>
    <w:rsid w:val="000F39B4"/>
    <w:rsid w:val="00113D0B"/>
    <w:rsid w:val="0012025F"/>
    <w:rsid w:val="001226EC"/>
    <w:rsid w:val="00123B68"/>
    <w:rsid w:val="00124C09"/>
    <w:rsid w:val="00126F2E"/>
    <w:rsid w:val="001521AE"/>
    <w:rsid w:val="001611EF"/>
    <w:rsid w:val="001A5585"/>
    <w:rsid w:val="001E5FB4"/>
    <w:rsid w:val="00202CA0"/>
    <w:rsid w:val="00217DA7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B3E67"/>
    <w:rsid w:val="003C583C"/>
    <w:rsid w:val="003F0078"/>
    <w:rsid w:val="00434A7C"/>
    <w:rsid w:val="0045143A"/>
    <w:rsid w:val="004A58F4"/>
    <w:rsid w:val="004B716F"/>
    <w:rsid w:val="004C1369"/>
    <w:rsid w:val="004C47ED"/>
    <w:rsid w:val="004E30C2"/>
    <w:rsid w:val="004F3B0D"/>
    <w:rsid w:val="0051315E"/>
    <w:rsid w:val="005144A9"/>
    <w:rsid w:val="00514E1F"/>
    <w:rsid w:val="00515A92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2760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73B0B"/>
    <w:rsid w:val="008B43F2"/>
    <w:rsid w:val="008C3257"/>
    <w:rsid w:val="008C401C"/>
    <w:rsid w:val="008E3837"/>
    <w:rsid w:val="009119CC"/>
    <w:rsid w:val="00917C0A"/>
    <w:rsid w:val="00941A02"/>
    <w:rsid w:val="00966C93"/>
    <w:rsid w:val="00987FA4"/>
    <w:rsid w:val="009B5CC2"/>
    <w:rsid w:val="009D3D63"/>
    <w:rsid w:val="009D4B5D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BE31CA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F1C68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9356C"/>
  <w15:docId w15:val="{5EE7CB99-5379-4ADA-A05E-6104F6C6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BalloonText">
    <w:name w:val="Balloon Text"/>
    <w:basedOn w:val="Normal"/>
    <w:link w:val="BalloonTextChar"/>
    <w:semiHidden/>
    <w:unhideWhenUsed/>
    <w:rsid w:val="0000428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428C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R16-WRC19-C-0020!!MSW-R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6CDEFE-C9B1-4591-959C-87407BDB7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A16F1-C463-49CE-9E1E-67CDD2207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6652D-B20B-4DCB-8291-CAEF6C635D46}">
  <ds:schemaRefs>
    <ds:schemaRef ds:uri="32a1a8c5-2265-4ebc-b7a0-2071e2c5c9b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996b2e75-67fd-4955-a3b0-5ab9934cb50b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0819B6-8453-4B26-84B0-DAD73762E0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393</Words>
  <Characters>2776</Characters>
  <Application>Microsoft Office Word</Application>
  <DocSecurity>0</DocSecurity>
  <Lines>60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R16-WRC19-C-0020!!MSW-R</vt:lpstr>
      <vt:lpstr>R16-WRC19-C-0020!!MSW-R</vt:lpstr>
    </vt:vector>
  </TitlesOfParts>
  <Manager>General Secretariat - Pool</Manager>
  <Company>International Telecommunication Union (ITU)</Company>
  <LinksUpToDate>false</LinksUpToDate>
  <CharactersWithSpaces>3148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R16-WRC19-C-0020!!MSW-R</dc:title>
  <dc:subject>World Radiocommunication Conference - 2019</dc:subject>
  <dc:creator>Documents Proposals Manager (DPM)</dc:creator>
  <cp:keywords>DPM_v2019.9.18.2_prod</cp:keywords>
  <cp:lastModifiedBy>Russian</cp:lastModifiedBy>
  <cp:revision>5</cp:revision>
  <cp:lastPrinted>2019-10-19T16:46:00Z</cp:lastPrinted>
  <dcterms:created xsi:type="dcterms:W3CDTF">2019-10-18T18:10:00Z</dcterms:created>
  <dcterms:modified xsi:type="dcterms:W3CDTF">2019-10-19T16:46:00Z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