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C00ED5" w14:paraId="27AC2EE7" w14:textId="77777777" w:rsidTr="0050008E">
        <w:trPr>
          <w:cantSplit/>
        </w:trPr>
        <w:tc>
          <w:tcPr>
            <w:tcW w:w="6911" w:type="dxa"/>
          </w:tcPr>
          <w:p w14:paraId="392ACD11" w14:textId="77777777" w:rsidR="0090121B" w:rsidRPr="00C00ED5" w:rsidRDefault="005D46FB" w:rsidP="002C4989">
            <w:pPr>
              <w:spacing w:before="400" w:after="48"/>
              <w:rPr>
                <w:rFonts w:ascii="Verdana" w:hAnsi="Verdana"/>
                <w:position w:val="6"/>
              </w:rPr>
            </w:pPr>
            <w:r w:rsidRPr="00C00ED5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(CMR-1</w:t>
            </w:r>
            <w:r w:rsidR="00C44E9E" w:rsidRPr="00C00ED5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C00ED5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C00ED5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C00ED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el-Sheikh (Egipto)</w:t>
            </w:r>
            <w:r w:rsidRPr="00C00ED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C00ED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C00ED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C00ED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C00ED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C00ED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C00ED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C00ED5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3A09DE91" w14:textId="77777777" w:rsidR="0090121B" w:rsidRPr="00C00ED5" w:rsidRDefault="00DA71A3" w:rsidP="002C4989">
            <w:pPr>
              <w:spacing w:before="0"/>
              <w:jc w:val="right"/>
            </w:pPr>
            <w:bookmarkStart w:id="0" w:name="ditulogo"/>
            <w:bookmarkEnd w:id="0"/>
            <w:r w:rsidRPr="00C00ED5">
              <w:rPr>
                <w:rFonts w:ascii="Verdana" w:hAnsi="Verdana"/>
                <w:b/>
                <w:bCs/>
                <w:noProof/>
                <w:szCs w:val="24"/>
                <w:lang w:eastAsia="es-ES_tradnl"/>
              </w:rPr>
              <w:drawing>
                <wp:inline distT="0" distB="0" distL="0" distR="0" wp14:anchorId="70D963EF" wp14:editId="5EDBBE0F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C00ED5" w14:paraId="15D8F0C1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13901FAC" w14:textId="77777777" w:rsidR="0090121B" w:rsidRPr="00C00ED5" w:rsidRDefault="0090121B" w:rsidP="002C4989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1B1BD577" w14:textId="77777777" w:rsidR="0090121B" w:rsidRPr="00C00ED5" w:rsidRDefault="0090121B" w:rsidP="002C4989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C00ED5" w14:paraId="0C33A733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3E98CA45" w14:textId="77777777" w:rsidR="0090121B" w:rsidRPr="00C00ED5" w:rsidRDefault="0090121B" w:rsidP="002C4989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06948EB7" w14:textId="77777777" w:rsidR="0090121B" w:rsidRPr="00C00ED5" w:rsidRDefault="0090121B" w:rsidP="002C4989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C00ED5" w14:paraId="648C7970" w14:textId="77777777" w:rsidTr="0090121B">
        <w:trPr>
          <w:cantSplit/>
        </w:trPr>
        <w:tc>
          <w:tcPr>
            <w:tcW w:w="6911" w:type="dxa"/>
          </w:tcPr>
          <w:p w14:paraId="34A20327" w14:textId="77777777" w:rsidR="0090121B" w:rsidRPr="00C00ED5" w:rsidRDefault="001E7D42" w:rsidP="002C4989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C00ED5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465FCEC7" w14:textId="77777777" w:rsidR="0090121B" w:rsidRPr="00C00ED5" w:rsidRDefault="00AE658F" w:rsidP="002C4989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r w:rsidRPr="00C00ED5">
              <w:rPr>
                <w:rFonts w:ascii="Verdana" w:hAnsi="Verdana"/>
                <w:b/>
                <w:sz w:val="18"/>
                <w:szCs w:val="18"/>
              </w:rPr>
              <w:t>Corrigéndum 1 al</w:t>
            </w:r>
            <w:r w:rsidRPr="00C00ED5">
              <w:rPr>
                <w:rFonts w:ascii="Verdana" w:hAnsi="Verdana"/>
                <w:b/>
                <w:sz w:val="18"/>
                <w:szCs w:val="18"/>
              </w:rPr>
              <w:br/>
              <w:t>Documento 16(Add.24)</w:t>
            </w:r>
            <w:r w:rsidR="0090121B" w:rsidRPr="00C00ED5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C00ED5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1"/>
      <w:tr w:rsidR="000A5B9A" w:rsidRPr="00C00ED5" w14:paraId="6E07FED1" w14:textId="77777777" w:rsidTr="0090121B">
        <w:trPr>
          <w:cantSplit/>
        </w:trPr>
        <w:tc>
          <w:tcPr>
            <w:tcW w:w="6911" w:type="dxa"/>
          </w:tcPr>
          <w:p w14:paraId="7C1BB306" w14:textId="77777777" w:rsidR="000A5B9A" w:rsidRPr="00C00ED5" w:rsidRDefault="000A5B9A" w:rsidP="002C4989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4DAFD840" w14:textId="77777777" w:rsidR="000A5B9A" w:rsidRPr="00C00ED5" w:rsidRDefault="000A5B9A" w:rsidP="002C4989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00ED5">
              <w:rPr>
                <w:rFonts w:ascii="Verdana" w:hAnsi="Verdana"/>
                <w:b/>
                <w:sz w:val="18"/>
                <w:szCs w:val="18"/>
              </w:rPr>
              <w:t>30 de octubre de 2019</w:t>
            </w:r>
          </w:p>
        </w:tc>
      </w:tr>
      <w:tr w:rsidR="000A5B9A" w:rsidRPr="00C00ED5" w14:paraId="18D69BDB" w14:textId="77777777" w:rsidTr="0090121B">
        <w:trPr>
          <w:cantSplit/>
        </w:trPr>
        <w:tc>
          <w:tcPr>
            <w:tcW w:w="6911" w:type="dxa"/>
          </w:tcPr>
          <w:p w14:paraId="43C78386" w14:textId="77777777" w:rsidR="000A5B9A" w:rsidRPr="00C00ED5" w:rsidRDefault="000A5B9A" w:rsidP="002C4989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580D7F39" w14:textId="77777777" w:rsidR="000A5B9A" w:rsidRPr="00C00ED5" w:rsidRDefault="000A5B9A" w:rsidP="002C4989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00ED5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C00ED5" w14:paraId="52556E2A" w14:textId="77777777" w:rsidTr="006744FC">
        <w:trPr>
          <w:cantSplit/>
        </w:trPr>
        <w:tc>
          <w:tcPr>
            <w:tcW w:w="10031" w:type="dxa"/>
            <w:gridSpan w:val="2"/>
          </w:tcPr>
          <w:p w14:paraId="7C25D47B" w14:textId="77777777" w:rsidR="000A5B9A" w:rsidRPr="00C00ED5" w:rsidRDefault="000A5B9A" w:rsidP="002C4989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C00ED5" w14:paraId="13C648FF" w14:textId="77777777" w:rsidTr="0050008E">
        <w:trPr>
          <w:cantSplit/>
        </w:trPr>
        <w:tc>
          <w:tcPr>
            <w:tcW w:w="10031" w:type="dxa"/>
            <w:gridSpan w:val="2"/>
          </w:tcPr>
          <w:p w14:paraId="32702849" w14:textId="77777777" w:rsidR="000A5B9A" w:rsidRPr="00C00ED5" w:rsidRDefault="000A5B9A" w:rsidP="002C4989">
            <w:pPr>
              <w:pStyle w:val="Source"/>
            </w:pPr>
            <w:bookmarkStart w:id="2" w:name="dsource" w:colFirst="0" w:colLast="0"/>
            <w:r w:rsidRPr="00C00ED5">
              <w:t>Propuestas Comunes Europeas</w:t>
            </w:r>
          </w:p>
        </w:tc>
      </w:tr>
      <w:tr w:rsidR="000A5B9A" w:rsidRPr="00C00ED5" w14:paraId="2D9B6EC7" w14:textId="77777777" w:rsidTr="0050008E">
        <w:trPr>
          <w:cantSplit/>
        </w:trPr>
        <w:tc>
          <w:tcPr>
            <w:tcW w:w="10031" w:type="dxa"/>
            <w:gridSpan w:val="2"/>
          </w:tcPr>
          <w:p w14:paraId="38EB1543" w14:textId="77777777" w:rsidR="000A5B9A" w:rsidRPr="00C00ED5" w:rsidRDefault="000A5B9A" w:rsidP="002C4989">
            <w:pPr>
              <w:pStyle w:val="Title1"/>
            </w:pPr>
            <w:bookmarkStart w:id="3" w:name="dtitle1" w:colFirst="0" w:colLast="0"/>
            <w:bookmarkEnd w:id="2"/>
            <w:r w:rsidRPr="00C00ED5">
              <w:t>Propuestas para los trabajos de la Conferencia</w:t>
            </w:r>
          </w:p>
        </w:tc>
      </w:tr>
      <w:tr w:rsidR="000A5B9A" w:rsidRPr="00C00ED5" w14:paraId="6D5766AE" w14:textId="77777777" w:rsidTr="0050008E">
        <w:trPr>
          <w:cantSplit/>
        </w:trPr>
        <w:tc>
          <w:tcPr>
            <w:tcW w:w="10031" w:type="dxa"/>
            <w:gridSpan w:val="2"/>
          </w:tcPr>
          <w:p w14:paraId="3EF58E0D" w14:textId="77777777" w:rsidR="000A5B9A" w:rsidRPr="00C00ED5" w:rsidRDefault="000A5B9A" w:rsidP="002C4989">
            <w:pPr>
              <w:pStyle w:val="Title2"/>
            </w:pPr>
            <w:bookmarkStart w:id="4" w:name="dtitle2" w:colFirst="0" w:colLast="0"/>
            <w:bookmarkEnd w:id="3"/>
          </w:p>
        </w:tc>
      </w:tr>
      <w:tr w:rsidR="000A5B9A" w:rsidRPr="00C00ED5" w14:paraId="3DC60000" w14:textId="77777777" w:rsidTr="0050008E">
        <w:trPr>
          <w:cantSplit/>
        </w:trPr>
        <w:tc>
          <w:tcPr>
            <w:tcW w:w="10031" w:type="dxa"/>
            <w:gridSpan w:val="2"/>
          </w:tcPr>
          <w:p w14:paraId="4D0B18DF" w14:textId="77777777" w:rsidR="000A5B9A" w:rsidRPr="00C00ED5" w:rsidRDefault="000A5B9A" w:rsidP="002C4989">
            <w:pPr>
              <w:pStyle w:val="Agendaitem"/>
            </w:pPr>
            <w:bookmarkStart w:id="5" w:name="dtitle3" w:colFirst="0" w:colLast="0"/>
            <w:bookmarkEnd w:id="4"/>
            <w:r w:rsidRPr="00C00ED5">
              <w:t>Punto 10 del orden del día</w:t>
            </w:r>
          </w:p>
        </w:tc>
      </w:tr>
    </w:tbl>
    <w:bookmarkEnd w:id="5"/>
    <w:p w14:paraId="6FFAC36F" w14:textId="4AA1291C" w:rsidR="00597177" w:rsidRPr="00C00ED5" w:rsidRDefault="002E76B8" w:rsidP="002C4989">
      <w:pPr>
        <w:rPr>
          <w:rFonts w:asciiTheme="majorBidi" w:hAnsiTheme="majorBidi" w:cstheme="majorBidi"/>
        </w:rPr>
      </w:pPr>
      <w:r w:rsidRPr="00C00ED5">
        <w:t>10</w:t>
      </w:r>
      <w:r w:rsidRPr="00C00ED5">
        <w:tab/>
      </w:r>
      <w:r w:rsidR="00DD07F2" w:rsidRPr="00C00ED5">
        <w:t>recomendar al Consejo los puntos que han de incluirse en el orden del día de la próxima CMR, y formular opiniones sobre el orden del día preliminar de la conferencia subsiguiente y sobre los posibles órdenes del día de futuras conferencias, de conformidad con el Artículo 7 del Convenio.</w:t>
      </w:r>
    </w:p>
    <w:p w14:paraId="5DE1E486" w14:textId="52EAE81A" w:rsidR="002E76B8" w:rsidRPr="00C00ED5" w:rsidRDefault="0048542B" w:rsidP="002C4989">
      <w:pPr>
        <w:pStyle w:val="Headingb"/>
      </w:pPr>
      <w:r w:rsidRPr="00C00ED5">
        <w:t>Introducción</w:t>
      </w:r>
    </w:p>
    <w:p w14:paraId="5DCC4419" w14:textId="7C0C07D3" w:rsidR="00DD07F2" w:rsidRPr="00C00ED5" w:rsidRDefault="0048542B" w:rsidP="002C4989">
      <w:r w:rsidRPr="00C00ED5">
        <w:t xml:space="preserve">La </w:t>
      </w:r>
      <w:r w:rsidR="002E76B8" w:rsidRPr="00C00ED5">
        <w:t xml:space="preserve">CEPT </w:t>
      </w:r>
      <w:r w:rsidRPr="00C00ED5">
        <w:t>pres</w:t>
      </w:r>
      <w:r w:rsidR="00D95D2C" w:rsidRPr="00C00ED5">
        <w:t>enta un Corrigéndum al Addéndum </w:t>
      </w:r>
      <w:r w:rsidR="002E76B8" w:rsidRPr="00C00ED5">
        <w:t>24</w:t>
      </w:r>
      <w:r w:rsidRPr="00C00ED5">
        <w:t>, re</w:t>
      </w:r>
      <w:r w:rsidR="00D95D2C" w:rsidRPr="00C00ED5">
        <w:t>lativo a la parte </w:t>
      </w:r>
      <w:r w:rsidR="002E76B8" w:rsidRPr="00C00ED5">
        <w:t>J10</w:t>
      </w:r>
      <w:r w:rsidRPr="00C00ED5">
        <w:t>,</w:t>
      </w:r>
      <w:r w:rsidR="002E76B8" w:rsidRPr="00C00ED5">
        <w:t xml:space="preserve"> </w:t>
      </w:r>
      <w:r w:rsidRPr="00C00ED5">
        <w:t xml:space="preserve">debido a la desafortunada supresión de algunas partes del texto del </w:t>
      </w:r>
      <w:r w:rsidR="00A0215F" w:rsidRPr="00C00ED5">
        <w:t>p</w:t>
      </w:r>
      <w:r w:rsidRPr="00C00ED5">
        <w:t>royecto de nueva Resolución relacionad</w:t>
      </w:r>
      <w:r w:rsidR="00A0215F" w:rsidRPr="00C00ED5">
        <w:t>o</w:t>
      </w:r>
      <w:r w:rsidRPr="00C00ED5">
        <w:t xml:space="preserve"> con esta propuesta</w:t>
      </w:r>
      <w:r w:rsidR="002E76B8" w:rsidRPr="00C00ED5">
        <w:t>.</w:t>
      </w:r>
    </w:p>
    <w:p w14:paraId="005D68CC" w14:textId="4B6CE211" w:rsidR="00DD07F2" w:rsidRPr="00C00ED5" w:rsidRDefault="00DD07F2" w:rsidP="002C4989">
      <w:pPr>
        <w:pStyle w:val="Headingb"/>
      </w:pPr>
      <w:r w:rsidRPr="00C00ED5">
        <w:t>Propuestas</w:t>
      </w:r>
    </w:p>
    <w:p w14:paraId="1A8A1B4D" w14:textId="77777777" w:rsidR="00DD07F2" w:rsidRPr="00C00ED5" w:rsidRDefault="00DD07F2" w:rsidP="002C498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C00ED5">
        <w:br w:type="page"/>
      </w:r>
    </w:p>
    <w:p w14:paraId="3F460D80" w14:textId="77777777" w:rsidR="00DD07F2" w:rsidRPr="00C00ED5" w:rsidRDefault="00DD07F2" w:rsidP="002C4989">
      <w:pPr>
        <w:rPr>
          <w:szCs w:val="24"/>
        </w:rPr>
      </w:pPr>
      <w:r w:rsidRPr="00C00ED5">
        <w:rPr>
          <w:szCs w:val="24"/>
        </w:rPr>
        <w:lastRenderedPageBreak/>
        <w:t>…</w:t>
      </w:r>
    </w:p>
    <w:p w14:paraId="7D80B601" w14:textId="77777777" w:rsidR="00DD07F2" w:rsidRPr="00C00ED5" w:rsidRDefault="00DD07F2" w:rsidP="002C4989">
      <w:pPr>
        <w:pStyle w:val="Proposal"/>
      </w:pPr>
      <w:r w:rsidRPr="00C00ED5">
        <w:t>ADD</w:t>
      </w:r>
      <w:r w:rsidRPr="00C00ED5">
        <w:tab/>
        <w:t>EUR/16A24/12</w:t>
      </w:r>
    </w:p>
    <w:p w14:paraId="25ECD08F" w14:textId="3E6C3532" w:rsidR="00DD07F2" w:rsidRPr="00C00ED5" w:rsidRDefault="00DD07F2" w:rsidP="002A412B">
      <w:pPr>
        <w:pStyle w:val="ResNo"/>
        <w:rPr>
          <w:b/>
        </w:rPr>
      </w:pPr>
      <w:r w:rsidRPr="00C00ED5">
        <w:t>PROYECTO DE NUEVA RESOLUCIÓN [EUR-J10-10] (CMR-19)</w:t>
      </w:r>
    </w:p>
    <w:p w14:paraId="582D321A" w14:textId="31B5720D" w:rsidR="00DD07F2" w:rsidRPr="00C00ED5" w:rsidRDefault="00DD07F2" w:rsidP="002A412B">
      <w:pPr>
        <w:pStyle w:val="Restitle"/>
        <w:rPr>
          <w:highlight w:val="yellow"/>
        </w:rPr>
      </w:pPr>
      <w:r w:rsidRPr="00C00ED5">
        <w:t>Protección de las redes de satélites geoestacionarios</w:t>
      </w:r>
      <w:r w:rsidR="003C0283" w:rsidRPr="00C00ED5">
        <w:t xml:space="preserve"> en las bandas de frecuencias 7 250-7 750 </w:t>
      </w:r>
      <w:r w:rsidRPr="00C00ED5">
        <w:t>MHz (espacio-Tierra), 7 900</w:t>
      </w:r>
      <w:r w:rsidRPr="00C00ED5">
        <w:noBreakHyphen/>
        <w:t>8 400 MHz (Tierra</w:t>
      </w:r>
      <w:r w:rsidRPr="00C00ED5">
        <w:noBreakHyphen/>
        <w:t>espacio), 20,2-21,2 GHz (espacio-Tierra) y 30</w:t>
      </w:r>
      <w:r w:rsidRPr="00C00ED5">
        <w:noBreakHyphen/>
        <w:t>31 GHz (Tierra-espacio) contra las emisiones procedentes de los sistemas de satélites no geoestacionarios que funcionan en las mismas bandas de frecuencias y en los mismos sentidos</w:t>
      </w:r>
    </w:p>
    <w:p w14:paraId="5192E2DF" w14:textId="77777777" w:rsidR="00C23DD4" w:rsidRPr="00C00ED5" w:rsidRDefault="00C23DD4" w:rsidP="002A412B">
      <w:pPr>
        <w:pStyle w:val="Normalaftertitle"/>
      </w:pPr>
      <w:r w:rsidRPr="00C00ED5">
        <w:t>La Conferencia Mundial de Radiocomunicaciones (Sharm el-Sheikh, 2019),</w:t>
      </w:r>
    </w:p>
    <w:p w14:paraId="0B16690B" w14:textId="77777777" w:rsidR="00C23DD4" w:rsidRPr="00C00ED5" w:rsidRDefault="00C23DD4" w:rsidP="002C4989">
      <w:pPr>
        <w:pStyle w:val="Call"/>
        <w:rPr>
          <w:i w:val="0"/>
          <w:iCs/>
        </w:rPr>
      </w:pPr>
      <w:r w:rsidRPr="00C00ED5">
        <w:t>considerando</w:t>
      </w:r>
    </w:p>
    <w:p w14:paraId="75C89147" w14:textId="485BB1F3" w:rsidR="00C23DD4" w:rsidRPr="00C00ED5" w:rsidRDefault="00C23DD4" w:rsidP="002C4989">
      <w:r w:rsidRPr="00C00ED5">
        <w:rPr>
          <w:i/>
        </w:rPr>
        <w:t>a)</w:t>
      </w:r>
      <w:r w:rsidRPr="00C00ED5">
        <w:tab/>
      </w:r>
      <w:r w:rsidR="002A412B" w:rsidRPr="00C00ED5">
        <w:t>que las bandas de frecuencias 7 250-7 750 MHz (espacio-Tierra), 7 </w:t>
      </w:r>
      <w:r w:rsidR="003C0283" w:rsidRPr="00C00ED5">
        <w:t>900-8 </w:t>
      </w:r>
      <w:r w:rsidR="002A412B" w:rsidRPr="00C00ED5">
        <w:t>400 MHz (Tierra-espacio), 20,2-21,2 GHz (espacio-Tierra) y 30-31 </w:t>
      </w:r>
      <w:r w:rsidRPr="00C00ED5">
        <w:t>GHz (Tierra-espacio) están atribuidas a título primario al servicio fijo por satélite (SFS);</w:t>
      </w:r>
    </w:p>
    <w:p w14:paraId="2A7A392B" w14:textId="3238D2AB" w:rsidR="00C23DD4" w:rsidRPr="00C00ED5" w:rsidRDefault="00C23DD4" w:rsidP="002C4989">
      <w:r w:rsidRPr="00C00ED5">
        <w:rPr>
          <w:i/>
        </w:rPr>
        <w:t>b)</w:t>
      </w:r>
      <w:r w:rsidRPr="00C00ED5">
        <w:tab/>
      </w:r>
      <w:r w:rsidR="002A412B" w:rsidRPr="00C00ED5">
        <w:t>que las bandas de frecuencias 7 250-7 375 MHz (espacio-Tierra) y 7 900-8 025 </w:t>
      </w:r>
      <w:r w:rsidRPr="00C00ED5">
        <w:t>MHz (Tierra-espacio) también están atribuidas al servicio móvil por satélite (SMS) a título primario, a reserva del acuerdo</w:t>
      </w:r>
      <w:r w:rsidR="002A412B" w:rsidRPr="00C00ED5">
        <w:t xml:space="preserve"> obtenido con arreglo al número </w:t>
      </w:r>
      <w:r w:rsidRPr="00C00ED5">
        <w:rPr>
          <w:b/>
        </w:rPr>
        <w:t>9.21</w:t>
      </w:r>
      <w:r w:rsidRPr="00C00ED5">
        <w:t>;</w:t>
      </w:r>
    </w:p>
    <w:p w14:paraId="2DF00183" w14:textId="173F0A4E" w:rsidR="00C23DD4" w:rsidRPr="00C00ED5" w:rsidRDefault="00C23DD4" w:rsidP="002C4989">
      <w:r w:rsidRPr="00C00ED5">
        <w:rPr>
          <w:i/>
        </w:rPr>
        <w:t>c)</w:t>
      </w:r>
      <w:r w:rsidRPr="00C00ED5">
        <w:tab/>
        <w:t>que las bandas de frecuencias 20,2-21</w:t>
      </w:r>
      <w:r w:rsidR="00D95D2C" w:rsidRPr="00C00ED5">
        <w:t>,2 </w:t>
      </w:r>
      <w:r w:rsidR="00C2027E" w:rsidRPr="00C00ED5">
        <w:t>GHz (espacio-Tierra) y 30-31 </w:t>
      </w:r>
      <w:r w:rsidRPr="00C00ED5">
        <w:t>GHz (Tierra-espacio) también están atribuidas a título primario al SMS;</w:t>
      </w:r>
    </w:p>
    <w:p w14:paraId="6B76BEBA" w14:textId="3A01992C" w:rsidR="00C23DD4" w:rsidRPr="00C00ED5" w:rsidRDefault="00C23DD4" w:rsidP="002C4989">
      <w:r w:rsidRPr="00C00ED5">
        <w:rPr>
          <w:i/>
        </w:rPr>
        <w:t>d)</w:t>
      </w:r>
      <w:r w:rsidRPr="00C00ED5">
        <w:tab/>
      </w:r>
      <w:r w:rsidR="00C2027E" w:rsidRPr="00C00ED5">
        <w:t>que las bandas de frecuencias 7 450-7 550 MHz (espacio-Tierra) y 8 175-8 215 </w:t>
      </w:r>
      <w:r w:rsidRPr="00C00ED5">
        <w:t>MHz (Tierra-espacio) también están atribuidas al servicio de meteorología por satélite a título prim</w:t>
      </w:r>
      <w:r w:rsidR="00C2027E" w:rsidRPr="00C00ED5">
        <w:t>ario, mientras que las bandas 8 025-8 175 </w:t>
      </w:r>
      <w:r w:rsidRPr="00C00ED5">
        <w:t>MHz</w:t>
      </w:r>
      <w:r w:rsidR="00C2027E" w:rsidRPr="00C00ED5">
        <w:t>, 8 175-8 215 MHz y 8 215-8 400 </w:t>
      </w:r>
      <w:r w:rsidRPr="00C00ED5">
        <w:t>MHz (espacio-Tierra) están atribuidas al servicio de exploración de la Tierra a título primario;</w:t>
      </w:r>
    </w:p>
    <w:p w14:paraId="457FD1FE" w14:textId="77777777" w:rsidR="00C23DD4" w:rsidRPr="00C00ED5" w:rsidRDefault="00C23DD4" w:rsidP="002C4989">
      <w:r w:rsidRPr="00C00ED5">
        <w:rPr>
          <w:i/>
        </w:rPr>
        <w:t>e)</w:t>
      </w:r>
      <w:r w:rsidRPr="00C00ED5">
        <w:tab/>
        <w:t xml:space="preserve">que hay un número creciente de constelaciones de satélites no geoestacionarios que prevén utilizar las atribuciones enumeradas en los </w:t>
      </w:r>
      <w:r w:rsidRPr="00C00ED5">
        <w:rPr>
          <w:i/>
        </w:rPr>
        <w:t>considerando</w:t>
      </w:r>
      <w:r w:rsidRPr="00C00ED5">
        <w:t xml:space="preserve"> </w:t>
      </w:r>
      <w:r w:rsidRPr="00C00ED5">
        <w:rPr>
          <w:i/>
        </w:rPr>
        <w:t xml:space="preserve">a), b) </w:t>
      </w:r>
      <w:r w:rsidRPr="00C00ED5">
        <w:t>y</w:t>
      </w:r>
      <w:r w:rsidRPr="00C00ED5">
        <w:rPr>
          <w:i/>
        </w:rPr>
        <w:t xml:space="preserve"> c)</w:t>
      </w:r>
      <w:r w:rsidRPr="00C00ED5">
        <w:t>;</w:t>
      </w:r>
    </w:p>
    <w:p w14:paraId="53A7D0D1" w14:textId="77777777" w:rsidR="00C23DD4" w:rsidRPr="00C00ED5" w:rsidRDefault="00C23DD4" w:rsidP="002C4989">
      <w:r w:rsidRPr="00C00ED5">
        <w:rPr>
          <w:i/>
        </w:rPr>
        <w:t>f)</w:t>
      </w:r>
      <w:r w:rsidRPr="00C00ED5">
        <w:tab/>
        <w:t xml:space="preserve">que la definición de criterios que permitan evitar interferencias inaceptables sería beneficioso para la coexistencia entre las asignaciones actuales y futuras a redes de satélites geoestacionarios y los sistemas de satélites no geoestacionarios en las atribuciones enumeradas en los </w:t>
      </w:r>
      <w:r w:rsidRPr="00C00ED5">
        <w:rPr>
          <w:i/>
        </w:rPr>
        <w:t xml:space="preserve">considerando a), b) </w:t>
      </w:r>
      <w:r w:rsidRPr="00C00ED5">
        <w:t>y</w:t>
      </w:r>
      <w:r w:rsidRPr="00C00ED5">
        <w:rPr>
          <w:i/>
        </w:rPr>
        <w:t xml:space="preserve"> c)</w:t>
      </w:r>
      <w:r w:rsidRPr="00C00ED5">
        <w:t>;</w:t>
      </w:r>
    </w:p>
    <w:p w14:paraId="7140ED60" w14:textId="1A7E06D3" w:rsidR="00C23DD4" w:rsidRPr="00C00ED5" w:rsidRDefault="00C23DD4" w:rsidP="002C4989">
      <w:r w:rsidRPr="00C00ED5">
        <w:rPr>
          <w:i/>
        </w:rPr>
        <w:t>g)</w:t>
      </w:r>
      <w:r w:rsidR="00C2027E" w:rsidRPr="00C00ED5">
        <w:tab/>
        <w:t>que, conforme al número </w:t>
      </w:r>
      <w:r w:rsidRPr="00C00ED5">
        <w:rPr>
          <w:b/>
        </w:rPr>
        <w:t>22.2</w:t>
      </w:r>
      <w:r w:rsidRPr="00C00ED5">
        <w:t>, los sistemas de satélites no geoestacionarios no causarán interferencias inaceptables a las redes de satélites geoestacionarios del servicio fijo por satélite y del servicio de radiodifusión por satélite, ni reclamarán protección contra ellas;</w:t>
      </w:r>
    </w:p>
    <w:p w14:paraId="5A0E40B8" w14:textId="18EB6976" w:rsidR="00DD07F2" w:rsidRPr="00C00ED5" w:rsidRDefault="00C23DD4" w:rsidP="002C4989">
      <w:pPr>
        <w:pStyle w:val="Call"/>
      </w:pPr>
      <w:r w:rsidRPr="00C00ED5">
        <w:t>reconociendo</w:t>
      </w:r>
    </w:p>
    <w:p w14:paraId="014B555B" w14:textId="5B6BC624" w:rsidR="00C23DD4" w:rsidRPr="00C00ED5" w:rsidRDefault="00C23DD4" w:rsidP="002C4989">
      <w:r w:rsidRPr="00C00ED5">
        <w:rPr>
          <w:i/>
        </w:rPr>
        <w:t>a)</w:t>
      </w:r>
      <w:r w:rsidRPr="00C00ED5">
        <w:rPr>
          <w:i/>
        </w:rPr>
        <w:tab/>
      </w:r>
      <w:r w:rsidRPr="00C00ED5">
        <w:t xml:space="preserve">que el Artículo </w:t>
      </w:r>
      <w:r w:rsidRPr="00C00ED5">
        <w:rPr>
          <w:b/>
          <w:bCs/>
        </w:rPr>
        <w:t xml:space="preserve">22 </w:t>
      </w:r>
      <w:r w:rsidRPr="00C00ED5">
        <w:t xml:space="preserve">del Reglamento de Radiocomunicaciones no prevé ningún límite para los sistemas de satélites no geoestacionarios en las atribuciones enumeradas en los </w:t>
      </w:r>
      <w:r w:rsidRPr="00C00ED5">
        <w:rPr>
          <w:i/>
          <w:iCs/>
        </w:rPr>
        <w:t>considerando</w:t>
      </w:r>
      <w:r w:rsidRPr="00C00ED5">
        <w:t xml:space="preserve"> </w:t>
      </w:r>
      <w:r w:rsidRPr="00C00ED5">
        <w:rPr>
          <w:i/>
          <w:iCs/>
        </w:rPr>
        <w:t>a), b)</w:t>
      </w:r>
      <w:r w:rsidRPr="00C00ED5">
        <w:t xml:space="preserve"> y </w:t>
      </w:r>
      <w:r w:rsidRPr="00C00ED5">
        <w:rPr>
          <w:i/>
          <w:iCs/>
        </w:rPr>
        <w:t>c)</w:t>
      </w:r>
      <w:r w:rsidR="003C0283" w:rsidRPr="00C00ED5">
        <w:t>;</w:t>
      </w:r>
    </w:p>
    <w:p w14:paraId="42163057" w14:textId="47421A60" w:rsidR="00C23DD4" w:rsidRPr="00C00ED5" w:rsidRDefault="00C23DD4" w:rsidP="002C4989">
      <w:r w:rsidRPr="00C00ED5">
        <w:rPr>
          <w:i/>
        </w:rPr>
        <w:t>b)</w:t>
      </w:r>
      <w:r w:rsidRPr="00C00ED5">
        <w:tab/>
        <w:t>q</w:t>
      </w:r>
      <w:r w:rsidR="00C2027E" w:rsidRPr="00C00ED5">
        <w:t>ue las disposiciones del número </w:t>
      </w:r>
      <w:r w:rsidRPr="00C00ED5">
        <w:rPr>
          <w:b/>
          <w:bCs/>
        </w:rPr>
        <w:t>22.2</w:t>
      </w:r>
      <w:r w:rsidRPr="00C00ED5">
        <w:t xml:space="preserve"> no ofrecen protección a los sistemas de satélites geoestacionarios que utilizan las atribuciones al servicio móvil por satélite contra los sistemas de satélites no geoestacionarios;</w:t>
      </w:r>
      <w:bookmarkStart w:id="6" w:name="_GoBack"/>
      <w:bookmarkEnd w:id="6"/>
    </w:p>
    <w:p w14:paraId="04BDB5E1" w14:textId="58F1CFFD" w:rsidR="00DD07F2" w:rsidRPr="00C00ED5" w:rsidRDefault="00C23DD4" w:rsidP="002C4989">
      <w:r w:rsidRPr="00C00ED5">
        <w:rPr>
          <w:i/>
        </w:rPr>
        <w:lastRenderedPageBreak/>
        <w:t>c)</w:t>
      </w:r>
      <w:r w:rsidRPr="00C00ED5">
        <w:tab/>
        <w:t xml:space="preserve">que los sistemas de satélites no geoestacionarios en las atribuciones de frecuencias enumeradas en los </w:t>
      </w:r>
      <w:r w:rsidRPr="00C00ED5">
        <w:rPr>
          <w:i/>
          <w:iCs/>
        </w:rPr>
        <w:t xml:space="preserve">considerando a) </w:t>
      </w:r>
      <w:r w:rsidRPr="00C00ED5">
        <w:t>y</w:t>
      </w:r>
      <w:r w:rsidRPr="00C00ED5">
        <w:rPr>
          <w:i/>
          <w:iCs/>
        </w:rPr>
        <w:t xml:space="preserve"> c)</w:t>
      </w:r>
      <w:r w:rsidRPr="00C00ED5">
        <w:t xml:space="preserve"> no están sujetos a ningún procedimiento de coordinación,</w:t>
      </w:r>
    </w:p>
    <w:p w14:paraId="7CF73234" w14:textId="7F341A8D" w:rsidR="00DD07F2" w:rsidRPr="00C00ED5" w:rsidRDefault="00C23DD4" w:rsidP="00D95D2C">
      <w:pPr>
        <w:pStyle w:val="Call"/>
      </w:pPr>
      <w:r w:rsidRPr="00C00ED5">
        <w:t>resuelve invitar al UIT-R</w:t>
      </w:r>
    </w:p>
    <w:p w14:paraId="415A6310" w14:textId="0C9F1F31" w:rsidR="002E76B8" w:rsidRPr="00C00ED5" w:rsidRDefault="00674F4A" w:rsidP="002C4989">
      <w:r w:rsidRPr="00C00ED5">
        <w:t>1</w:t>
      </w:r>
      <w:r w:rsidRPr="00C00ED5">
        <w:tab/>
        <w:t xml:space="preserve">a realizar estudios reglamentarios, y, si procede, estudios operativos sobre la protección efectiva de las redes geoestacionarias que funcionan en las atribuciones del SFS y el SMS en las bandas </w:t>
      </w:r>
      <w:r w:rsidR="00C2027E" w:rsidRPr="00C00ED5">
        <w:t>7 250-7 750 </w:t>
      </w:r>
      <w:r w:rsidR="002E76B8" w:rsidRPr="00C00ED5">
        <w:t>MHz (</w:t>
      </w:r>
      <w:r w:rsidRPr="00C00ED5">
        <w:t>espacio-Tierra</w:t>
      </w:r>
      <w:r w:rsidR="00C2027E" w:rsidRPr="00C00ED5">
        <w:t>), 7 900-8 400 </w:t>
      </w:r>
      <w:r w:rsidR="002E76B8" w:rsidRPr="00C00ED5">
        <w:t>MHz (</w:t>
      </w:r>
      <w:r w:rsidRPr="00C00ED5">
        <w:t>Tierra-espacio</w:t>
      </w:r>
      <w:r w:rsidR="002E76B8" w:rsidRPr="00C00ED5">
        <w:t>), 20</w:t>
      </w:r>
      <w:r w:rsidRPr="00C00ED5">
        <w:t>,</w:t>
      </w:r>
      <w:r w:rsidR="002E76B8" w:rsidRPr="00C00ED5">
        <w:t>2-21</w:t>
      </w:r>
      <w:r w:rsidRPr="00C00ED5">
        <w:t>,</w:t>
      </w:r>
      <w:r w:rsidR="00C2027E" w:rsidRPr="00C00ED5">
        <w:t>2 </w:t>
      </w:r>
      <w:r w:rsidR="002E76B8" w:rsidRPr="00C00ED5">
        <w:t>GHz (</w:t>
      </w:r>
      <w:r w:rsidRPr="00C00ED5">
        <w:t>espacio-Tierra</w:t>
      </w:r>
      <w:r w:rsidR="002E76B8" w:rsidRPr="00C00ED5">
        <w:t xml:space="preserve">) </w:t>
      </w:r>
      <w:r w:rsidRPr="00C00ED5">
        <w:t>y</w:t>
      </w:r>
      <w:r w:rsidR="00C2027E" w:rsidRPr="00C00ED5">
        <w:t xml:space="preserve"> 30-31 </w:t>
      </w:r>
      <w:r w:rsidR="002E76B8" w:rsidRPr="00C00ED5">
        <w:t>GHz (</w:t>
      </w:r>
      <w:r w:rsidRPr="00C00ED5">
        <w:t>Tierra-espacio</w:t>
      </w:r>
      <w:r w:rsidR="002E76B8" w:rsidRPr="00C00ED5">
        <w:t xml:space="preserve">) </w:t>
      </w:r>
      <w:r w:rsidRPr="00C00ED5">
        <w:t>frente a los sistemas de satélites no geoestacionarios del S</w:t>
      </w:r>
      <w:r w:rsidR="00A0215F" w:rsidRPr="00C00ED5">
        <w:t>F</w:t>
      </w:r>
      <w:r w:rsidRPr="00C00ED5">
        <w:t>S y el S</w:t>
      </w:r>
      <w:r w:rsidR="00A0215F" w:rsidRPr="00C00ED5">
        <w:t>M</w:t>
      </w:r>
      <w:r w:rsidRPr="00C00ED5">
        <w:t>S en las mismas bandas sin limitar ni restringir indebidamente las redes de satélites geoestacionarios existentes y futuras</w:t>
      </w:r>
      <w:r w:rsidR="002E76B8" w:rsidRPr="00C00ED5">
        <w:t>;</w:t>
      </w:r>
    </w:p>
    <w:p w14:paraId="4DBD7E6B" w14:textId="0499DA4D" w:rsidR="00674F4A" w:rsidRPr="00C00ED5" w:rsidRDefault="002E76B8" w:rsidP="002C4989">
      <w:r w:rsidRPr="00C00ED5">
        <w:t>2</w:t>
      </w:r>
      <w:r w:rsidRPr="00C00ED5">
        <w:tab/>
      </w:r>
      <w:r w:rsidR="00594142" w:rsidRPr="00C00ED5">
        <w:t xml:space="preserve">a proporcionar, </w:t>
      </w:r>
      <w:r w:rsidR="00674F4A" w:rsidRPr="00C00ED5">
        <w:t xml:space="preserve">teniendo en cuenta los resultados de dichos estudios, </w:t>
      </w:r>
      <w:r w:rsidR="00594142" w:rsidRPr="00C00ED5">
        <w:t>recomendaciones</w:t>
      </w:r>
      <w:r w:rsidR="00674F4A" w:rsidRPr="00C00ED5">
        <w:t xml:space="preserve"> a la Conferencia</w:t>
      </w:r>
      <w:r w:rsidR="00A0215F" w:rsidRPr="00C00ED5">
        <w:t xml:space="preserve"> que permitan</w:t>
      </w:r>
      <w:r w:rsidR="00674F4A" w:rsidRPr="00C00ED5">
        <w:t xml:space="preserve"> que la Conferencia pueda tomar una decisión sobre medidas reglamentarias adicionales para la protección de los sistemas de satélites geoestacionarios frente a los sistemas de satélites no geoestacionarios </w:t>
      </w:r>
      <w:r w:rsidR="00A0215F" w:rsidRPr="00C00ED5">
        <w:t>de</w:t>
      </w:r>
      <w:r w:rsidR="00594142" w:rsidRPr="00C00ED5">
        <w:t xml:space="preserve"> los servicios indicados en </w:t>
      </w:r>
      <w:r w:rsidR="00674F4A" w:rsidRPr="00C00ED5">
        <w:t>esas bandas</w:t>
      </w:r>
      <w:r w:rsidR="00594142" w:rsidRPr="00C00ED5">
        <w:t>,</w:t>
      </w:r>
      <w:r w:rsidR="00674F4A" w:rsidRPr="00C00ED5">
        <w:t xml:space="preserve"> </w:t>
      </w:r>
      <w:r w:rsidR="00594142" w:rsidRPr="00C00ED5">
        <w:t>sin limitar ni restringir indebidamente las estaciones existentes o futuras</w:t>
      </w:r>
      <w:r w:rsidR="00C2027E" w:rsidRPr="00C00ED5">
        <w:t xml:space="preserve"> de otros servicios existentes;</w:t>
      </w:r>
    </w:p>
    <w:p w14:paraId="6EBFE0A2" w14:textId="2C631A15" w:rsidR="00DD07F2" w:rsidRPr="00C00ED5" w:rsidRDefault="002E76B8" w:rsidP="002C4989">
      <w:r w:rsidRPr="00C00ED5">
        <w:t>3</w:t>
      </w:r>
      <w:r w:rsidRPr="00C00ED5">
        <w:tab/>
      </w:r>
      <w:r w:rsidR="00594142" w:rsidRPr="00C00ED5">
        <w:t>a completar los estudios a tiempo para la CMR-23,</w:t>
      </w:r>
    </w:p>
    <w:p w14:paraId="00C13409" w14:textId="17CAE809" w:rsidR="00C23DD4" w:rsidRPr="00C00ED5" w:rsidRDefault="00C23DD4" w:rsidP="002C4989">
      <w:pPr>
        <w:pStyle w:val="Call"/>
      </w:pPr>
      <w:r w:rsidRPr="00C00ED5">
        <w:t>resuelve además invitar a la CMR-23</w:t>
      </w:r>
    </w:p>
    <w:p w14:paraId="60C3785D" w14:textId="42C4B629" w:rsidR="00DD07F2" w:rsidRPr="00C00ED5" w:rsidRDefault="00C23DD4" w:rsidP="002C4989">
      <w:pPr>
        <w:rPr>
          <w:szCs w:val="24"/>
        </w:rPr>
      </w:pPr>
      <w:r w:rsidRPr="00C00ED5">
        <w:t>a que examine los resultados de estos estudios, incluidas las implicaciones del marco reglamentario revisado propuesto para los sistemas de satélites no geoestacionarios presentado a la Oficina después de la CMR-19, y que adopte las medidas que se estime convenientes</w:t>
      </w:r>
      <w:r w:rsidR="002E76B8" w:rsidRPr="00C00ED5">
        <w:rPr>
          <w:szCs w:val="24"/>
        </w:rPr>
        <w:t>.</w:t>
      </w:r>
    </w:p>
    <w:p w14:paraId="0F8D14DF" w14:textId="77777777" w:rsidR="00D95D2C" w:rsidRPr="00C00ED5" w:rsidRDefault="00D95D2C" w:rsidP="00C00ED5">
      <w:pPr>
        <w:rPr>
          <w:highlight w:val="yellow"/>
        </w:rPr>
      </w:pPr>
    </w:p>
    <w:p w14:paraId="45ED60E0" w14:textId="2F5FC63B" w:rsidR="00DD07F2" w:rsidRPr="00C00ED5" w:rsidRDefault="00DD07F2" w:rsidP="002C4989">
      <w:pPr>
        <w:rPr>
          <w:szCs w:val="24"/>
        </w:rPr>
      </w:pPr>
      <w:r w:rsidRPr="00C00ED5">
        <w:rPr>
          <w:szCs w:val="24"/>
        </w:rPr>
        <w:t>…</w:t>
      </w:r>
    </w:p>
    <w:p w14:paraId="4C1AAC8A" w14:textId="77777777" w:rsidR="00C00ED5" w:rsidRPr="00C00ED5" w:rsidRDefault="00C00ED5" w:rsidP="00411C49">
      <w:pPr>
        <w:pStyle w:val="Reasons"/>
      </w:pPr>
    </w:p>
    <w:p w14:paraId="365A1222" w14:textId="77777777" w:rsidR="00C00ED5" w:rsidRPr="00C00ED5" w:rsidRDefault="00C00ED5">
      <w:pPr>
        <w:jc w:val="center"/>
      </w:pPr>
      <w:r w:rsidRPr="00C00ED5">
        <w:t>______________</w:t>
      </w:r>
    </w:p>
    <w:sectPr w:rsidR="00C00ED5" w:rsidRPr="00C00ED5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6F234" w14:textId="77777777" w:rsidR="003C0613" w:rsidRDefault="003C0613">
      <w:r>
        <w:separator/>
      </w:r>
    </w:p>
  </w:endnote>
  <w:endnote w:type="continuationSeparator" w:id="0">
    <w:p w14:paraId="58546F8F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F19BC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BB18F7" w14:textId="49068D79" w:rsidR="0077084A" w:rsidRDefault="0077084A">
    <w:pPr>
      <w:ind w:right="360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90121B">
      <w:rPr>
        <w:noProof/>
        <w:lang w:val="en-US"/>
      </w:rPr>
      <w:t>Document2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6444D">
      <w:rPr>
        <w:noProof/>
      </w:rPr>
      <w:t>31.10.19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121B">
      <w:rPr>
        <w:noProof/>
      </w:rPr>
      <w:t>19.02.03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8B386" w14:textId="6B7F2468" w:rsidR="0077084A" w:rsidRDefault="002E76B8" w:rsidP="00B86034">
    <w:pPr>
      <w:pStyle w:val="Footer"/>
      <w:ind w:right="360"/>
      <w:rPr>
        <w:lang w:val="en-US"/>
      </w:rPr>
    </w:pPr>
    <w:r w:rsidRPr="002E76B8">
      <w:rPr>
        <w:lang w:val="en-GB"/>
      </w:rPr>
      <w:fldChar w:fldCharType="begin"/>
    </w:r>
    <w:r w:rsidRPr="002E76B8">
      <w:rPr>
        <w:lang w:val="en-US"/>
      </w:rPr>
      <w:instrText xml:space="preserve"> FILENAME \p  \* MERGEFORMAT </w:instrText>
    </w:r>
    <w:r w:rsidRPr="002E76B8">
      <w:rPr>
        <w:lang w:val="en-GB"/>
      </w:rPr>
      <w:fldChar w:fldCharType="separate"/>
    </w:r>
    <w:r w:rsidR="00C00ED5">
      <w:rPr>
        <w:lang w:val="en-US"/>
      </w:rPr>
      <w:t>P:\ESP\ITU-R\CONF-R\CMR19\000\016ADD24COR1S.docx</w:t>
    </w:r>
    <w:r w:rsidRPr="002E76B8">
      <w:fldChar w:fldCharType="end"/>
    </w:r>
    <w:r w:rsidRPr="002E76B8">
      <w:rPr>
        <w:lang w:val="en-GB"/>
      </w:rPr>
      <w:t xml:space="preserve"> (463550)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82592" w14:textId="535F7723" w:rsidR="0077084A" w:rsidRPr="002C4989" w:rsidRDefault="002C4989" w:rsidP="002C4989">
    <w:pPr>
      <w:pStyle w:val="Footer"/>
      <w:rPr>
        <w:lang w:val="en-US"/>
      </w:rPr>
    </w:pPr>
    <w:r>
      <w:fldChar w:fldCharType="begin"/>
    </w:r>
    <w:r w:rsidRPr="002C4989">
      <w:rPr>
        <w:lang w:val="en-US"/>
      </w:rPr>
      <w:instrText xml:space="preserve"> FILENAME \p  \* MERGEFORMAT </w:instrText>
    </w:r>
    <w:r>
      <w:fldChar w:fldCharType="separate"/>
    </w:r>
    <w:r w:rsidR="00C00ED5">
      <w:rPr>
        <w:lang w:val="en-US"/>
      </w:rPr>
      <w:t>P:\ESP\ITU-R\CONF-R\CMR19\000\016ADD24COR1S.docx</w:t>
    </w:r>
    <w:r>
      <w:fldChar w:fldCharType="end"/>
    </w:r>
    <w:r>
      <w:rPr>
        <w:lang w:val="en-US"/>
      </w:rPr>
      <w:t xml:space="preserve"> (463550</w:t>
    </w:r>
    <w:r w:rsidRPr="002C4989">
      <w:rPr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B81A8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40A629BE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955D8" w14:textId="34605B0F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3C0283">
      <w:rPr>
        <w:rStyle w:val="PageNumber"/>
        <w:noProof/>
      </w:rPr>
      <w:t>3</w:t>
    </w:r>
    <w:r>
      <w:rPr>
        <w:rStyle w:val="PageNumber"/>
      </w:rPr>
      <w:fldChar w:fldCharType="end"/>
    </w:r>
  </w:p>
  <w:p w14:paraId="36BF042E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16(Add.24)(Cor.1)-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7AB13C49"/>
    <w:multiLevelType w:val="hybridMultilevel"/>
    <w:tmpl w:val="E67E1B0C"/>
    <w:lvl w:ilvl="0" w:tplc="D578EB3C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6444D"/>
    <w:rsid w:val="00087AE8"/>
    <w:rsid w:val="000A5B9A"/>
    <w:rsid w:val="000E5BF9"/>
    <w:rsid w:val="000F0E6D"/>
    <w:rsid w:val="00121170"/>
    <w:rsid w:val="00123CC5"/>
    <w:rsid w:val="0015142D"/>
    <w:rsid w:val="001616DC"/>
    <w:rsid w:val="00163962"/>
    <w:rsid w:val="00191A97"/>
    <w:rsid w:val="0019729C"/>
    <w:rsid w:val="001A083F"/>
    <w:rsid w:val="001C41FA"/>
    <w:rsid w:val="001E2B52"/>
    <w:rsid w:val="001E3F27"/>
    <w:rsid w:val="001E7D42"/>
    <w:rsid w:val="00214992"/>
    <w:rsid w:val="0023659C"/>
    <w:rsid w:val="00236D2A"/>
    <w:rsid w:val="0024569E"/>
    <w:rsid w:val="00255F12"/>
    <w:rsid w:val="00262C09"/>
    <w:rsid w:val="002A412B"/>
    <w:rsid w:val="002A791F"/>
    <w:rsid w:val="002C1A52"/>
    <w:rsid w:val="002C1B26"/>
    <w:rsid w:val="002C4989"/>
    <w:rsid w:val="002C5D6C"/>
    <w:rsid w:val="002E701F"/>
    <w:rsid w:val="002E76B8"/>
    <w:rsid w:val="003248A9"/>
    <w:rsid w:val="00324FFA"/>
    <w:rsid w:val="0032680B"/>
    <w:rsid w:val="00363A65"/>
    <w:rsid w:val="003B1E8C"/>
    <w:rsid w:val="003C0283"/>
    <w:rsid w:val="003C0613"/>
    <w:rsid w:val="003C2508"/>
    <w:rsid w:val="003D0AA3"/>
    <w:rsid w:val="003D3865"/>
    <w:rsid w:val="003E2086"/>
    <w:rsid w:val="003F7F66"/>
    <w:rsid w:val="00440B3A"/>
    <w:rsid w:val="0044375A"/>
    <w:rsid w:val="0045384C"/>
    <w:rsid w:val="00454553"/>
    <w:rsid w:val="00472A86"/>
    <w:rsid w:val="0048542B"/>
    <w:rsid w:val="004B124A"/>
    <w:rsid w:val="004B3095"/>
    <w:rsid w:val="004D2C7C"/>
    <w:rsid w:val="005133B5"/>
    <w:rsid w:val="00520F35"/>
    <w:rsid w:val="00524392"/>
    <w:rsid w:val="00532097"/>
    <w:rsid w:val="0058350F"/>
    <w:rsid w:val="00583C7E"/>
    <w:rsid w:val="0059098E"/>
    <w:rsid w:val="00594142"/>
    <w:rsid w:val="00597885"/>
    <w:rsid w:val="005D46FB"/>
    <w:rsid w:val="005F2605"/>
    <w:rsid w:val="005F3B0E"/>
    <w:rsid w:val="005F3DB8"/>
    <w:rsid w:val="005F559C"/>
    <w:rsid w:val="0060084F"/>
    <w:rsid w:val="00602857"/>
    <w:rsid w:val="006122F0"/>
    <w:rsid w:val="006124AD"/>
    <w:rsid w:val="00624009"/>
    <w:rsid w:val="00662BA0"/>
    <w:rsid w:val="0067344B"/>
    <w:rsid w:val="00674F4A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866AE6"/>
    <w:rsid w:val="008750A8"/>
    <w:rsid w:val="008D3316"/>
    <w:rsid w:val="008E5AF2"/>
    <w:rsid w:val="0090121B"/>
    <w:rsid w:val="009144C9"/>
    <w:rsid w:val="0094091F"/>
    <w:rsid w:val="00962171"/>
    <w:rsid w:val="00973754"/>
    <w:rsid w:val="009C0BED"/>
    <w:rsid w:val="009E11EC"/>
    <w:rsid w:val="009E642A"/>
    <w:rsid w:val="00A0215F"/>
    <w:rsid w:val="00A021CC"/>
    <w:rsid w:val="00A118DB"/>
    <w:rsid w:val="00A4450C"/>
    <w:rsid w:val="00AA5E6C"/>
    <w:rsid w:val="00AE5677"/>
    <w:rsid w:val="00AE658F"/>
    <w:rsid w:val="00AF2F78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00ED5"/>
    <w:rsid w:val="00C126C4"/>
    <w:rsid w:val="00C2027E"/>
    <w:rsid w:val="00C23DD4"/>
    <w:rsid w:val="00C44E9E"/>
    <w:rsid w:val="00C63EB5"/>
    <w:rsid w:val="00C87DA7"/>
    <w:rsid w:val="00CC01E0"/>
    <w:rsid w:val="00CD5FEE"/>
    <w:rsid w:val="00CE60D2"/>
    <w:rsid w:val="00CE7431"/>
    <w:rsid w:val="00D00CA8"/>
    <w:rsid w:val="00D0288A"/>
    <w:rsid w:val="00D72A5D"/>
    <w:rsid w:val="00D95D2C"/>
    <w:rsid w:val="00DA71A3"/>
    <w:rsid w:val="00DC629B"/>
    <w:rsid w:val="00DD07F2"/>
    <w:rsid w:val="00DE1C31"/>
    <w:rsid w:val="00E05BFF"/>
    <w:rsid w:val="00E262F1"/>
    <w:rsid w:val="00E3176A"/>
    <w:rsid w:val="00E36CE4"/>
    <w:rsid w:val="00E54754"/>
    <w:rsid w:val="00E56BD3"/>
    <w:rsid w:val="00E71D14"/>
    <w:rsid w:val="00EA0970"/>
    <w:rsid w:val="00EA77F0"/>
    <w:rsid w:val="00F32316"/>
    <w:rsid w:val="00F66597"/>
    <w:rsid w:val="00F675D0"/>
    <w:rsid w:val="00F8150C"/>
    <w:rsid w:val="00FD03C4"/>
    <w:rsid w:val="00FE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B87BF30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qFormat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link w:val="RestitleChar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CallChar">
    <w:name w:val="Call Char"/>
    <w:basedOn w:val="DefaultParagraphFont"/>
    <w:link w:val="Call"/>
    <w:qFormat/>
    <w:locked/>
    <w:rsid w:val="00DD07F2"/>
    <w:rPr>
      <w:rFonts w:ascii="Times New Roman" w:hAnsi="Times New Roman"/>
      <w:i/>
      <w:sz w:val="24"/>
      <w:lang w:val="es-ES_tradnl" w:eastAsia="en-US"/>
    </w:rPr>
  </w:style>
  <w:style w:type="character" w:styleId="FollowedHyperlink">
    <w:name w:val="FollowedHyperlink"/>
    <w:basedOn w:val="DefaultParagraphFont"/>
    <w:semiHidden/>
    <w:unhideWhenUsed/>
    <w:rsid w:val="00DD07F2"/>
    <w:rPr>
      <w:color w:val="800080" w:themeColor="followedHyperlink"/>
      <w:u w:val="single"/>
    </w:rPr>
  </w:style>
  <w:style w:type="character" w:customStyle="1" w:styleId="RestitleChar">
    <w:name w:val="Res_title Char"/>
    <w:basedOn w:val="DefaultParagraphFont"/>
    <w:link w:val="Restitle"/>
    <w:rsid w:val="00DD07F2"/>
    <w:rPr>
      <w:rFonts w:ascii="Times New Roman Bold" w:hAnsi="Times New Roman Bold"/>
      <w:b/>
      <w:sz w:val="28"/>
      <w:lang w:val="es-ES_tradnl" w:eastAsia="en-US"/>
    </w:rPr>
  </w:style>
  <w:style w:type="paragraph" w:styleId="ListParagraph">
    <w:name w:val="List Paragraph"/>
    <w:basedOn w:val="Normal"/>
    <w:uiPriority w:val="34"/>
    <w:qFormat/>
    <w:rsid w:val="00674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R16-WRC19-C-0016!A24-C1!MSW-S</DPM_x0020_File_x0020_name>
    <DPM_x0020_Author xmlns="32a1a8c5-2265-4ebc-b7a0-2071e2c5c9bb" xsi:nil="false">DPM</DPM_x0020_Author>
    <DPM_x0020_Version xmlns="32a1a8c5-2265-4ebc-b7a0-2071e2c5c9bb" xsi:nil="false">DPM_2019.10.22.01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7D0C8-A413-46F5-B693-3673BAFC010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  <ds:schemaRef ds:uri="32a1a8c5-2265-4ebc-b7a0-2071e2c5c9bb"/>
    <ds:schemaRef ds:uri="996b2e75-67fd-4955-a3b0-5ab9934cb5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3763E0B-736A-4659-A3EF-115BDC20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761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R16-WRC19-C-0016!A24-C1!MSW-S</vt:lpstr>
    </vt:vector>
  </TitlesOfParts>
  <Manager>Secretaría General - Pool</Manager>
  <Company>Unión Internacional de Telecomunicaciones (UIT)</Company>
  <LinksUpToDate>false</LinksUpToDate>
  <CharactersWithSpaces>5105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R16-WRC19-C-0016!A24-C1!MSW-S</dc:title>
  <dc:subject>Conferencia Mundial de Radiocomunicaciones - 2019</dc:subject>
  <dc:creator>Documents Proposals Manager (DPM)</dc:creator>
  <cp:keywords>DPM_v2019.10.29.1_prod</cp:keywords>
  <dc:description/>
  <cp:lastModifiedBy>Spanish</cp:lastModifiedBy>
  <cp:revision>12</cp:revision>
  <cp:lastPrinted>2003-02-19T20:20:00Z</cp:lastPrinted>
  <dcterms:created xsi:type="dcterms:W3CDTF">2019-10-31T10:17:00Z</dcterms:created>
  <dcterms:modified xsi:type="dcterms:W3CDTF">2019-10-31T11:46:00Z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