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876C3E" w14:paraId="760B15C2" w14:textId="77777777" w:rsidTr="0050008E">
        <w:trPr>
          <w:cantSplit/>
        </w:trPr>
        <w:tc>
          <w:tcPr>
            <w:tcW w:w="6911" w:type="dxa"/>
          </w:tcPr>
          <w:p w14:paraId="5DB00248" w14:textId="77777777" w:rsidR="00BB1D82" w:rsidRPr="00876C3E" w:rsidRDefault="00851625" w:rsidP="00E60DFE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876C3E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876C3E">
              <w:rPr>
                <w:rFonts w:ascii="Verdana" w:hAnsi="Verdana"/>
                <w:b/>
                <w:bCs/>
                <w:sz w:val="20"/>
              </w:rPr>
              <w:t>9</w:t>
            </w:r>
            <w:r w:rsidRPr="00876C3E">
              <w:rPr>
                <w:rFonts w:ascii="Verdana" w:hAnsi="Verdana"/>
                <w:b/>
                <w:bCs/>
                <w:sz w:val="20"/>
              </w:rPr>
              <w:t>)</w:t>
            </w:r>
            <w:r w:rsidRPr="00876C3E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876C3E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876C3E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876C3E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876C3E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876C3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76C3E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876C3E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876C3E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876C3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76C3E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876C3E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876C3E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876C3E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44546DF4" w14:textId="77777777" w:rsidR="00BB1D82" w:rsidRPr="00876C3E" w:rsidRDefault="000A55AE" w:rsidP="00E60DFE">
            <w:pPr>
              <w:spacing w:before="0"/>
              <w:jc w:val="right"/>
            </w:pPr>
            <w:bookmarkStart w:id="0" w:name="ditulogo"/>
            <w:bookmarkEnd w:id="0"/>
            <w:r w:rsidRPr="00876C3E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4D73B87C" wp14:editId="6B7955F2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876C3E" w14:paraId="063F9639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24EB7CD" w14:textId="77777777" w:rsidR="00BB1D82" w:rsidRPr="00876C3E" w:rsidRDefault="00BB1D82" w:rsidP="00E60DFE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0EE04EC" w14:textId="77777777" w:rsidR="00BB1D82" w:rsidRPr="00876C3E" w:rsidRDefault="00BB1D82" w:rsidP="00E60DFE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876C3E" w14:paraId="55AA23AF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072BCEE" w14:textId="77777777" w:rsidR="00BB1D82" w:rsidRPr="00876C3E" w:rsidRDefault="00BB1D82" w:rsidP="00E60DF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CC6E774" w14:textId="77777777" w:rsidR="00BB1D82" w:rsidRPr="00876C3E" w:rsidRDefault="00BB1D82" w:rsidP="00E60DFE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876C3E" w14:paraId="44B74DA8" w14:textId="77777777" w:rsidTr="00BB1D82">
        <w:trPr>
          <w:cantSplit/>
        </w:trPr>
        <w:tc>
          <w:tcPr>
            <w:tcW w:w="6911" w:type="dxa"/>
          </w:tcPr>
          <w:p w14:paraId="7B27C28B" w14:textId="77777777" w:rsidR="00BB1D82" w:rsidRPr="00876C3E" w:rsidRDefault="006D4724" w:rsidP="00E60DF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76C3E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3F5F43C2" w14:textId="77777777" w:rsidR="00BB1D82" w:rsidRPr="00876C3E" w:rsidRDefault="006D4724" w:rsidP="00E60DFE">
            <w:pPr>
              <w:spacing w:before="0"/>
              <w:rPr>
                <w:rFonts w:ascii="Verdana" w:hAnsi="Verdana"/>
                <w:sz w:val="20"/>
              </w:rPr>
            </w:pPr>
            <w:r w:rsidRPr="00876C3E">
              <w:rPr>
                <w:rFonts w:ascii="Verdana" w:hAnsi="Verdana"/>
                <w:b/>
                <w:sz w:val="20"/>
              </w:rPr>
              <w:t>Corrigendum 1 au</w:t>
            </w:r>
            <w:r w:rsidRPr="00876C3E">
              <w:rPr>
                <w:rFonts w:ascii="Verdana" w:hAnsi="Verdana"/>
                <w:b/>
                <w:sz w:val="20"/>
              </w:rPr>
              <w:br/>
              <w:t>Document 16(Add.24)</w:t>
            </w:r>
            <w:r w:rsidR="00BB1D82" w:rsidRPr="00876C3E">
              <w:rPr>
                <w:rFonts w:ascii="Verdana" w:hAnsi="Verdana"/>
                <w:b/>
                <w:sz w:val="20"/>
              </w:rPr>
              <w:t>-</w:t>
            </w:r>
            <w:r w:rsidRPr="00876C3E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876C3E" w14:paraId="693F1029" w14:textId="77777777" w:rsidTr="00BB1D82">
        <w:trPr>
          <w:cantSplit/>
        </w:trPr>
        <w:tc>
          <w:tcPr>
            <w:tcW w:w="6911" w:type="dxa"/>
          </w:tcPr>
          <w:p w14:paraId="472AFA40" w14:textId="77777777" w:rsidR="00690C7B" w:rsidRPr="00876C3E" w:rsidRDefault="00690C7B" w:rsidP="00E60DFE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56CF4962" w14:textId="77777777" w:rsidR="00690C7B" w:rsidRPr="00876C3E" w:rsidRDefault="00690C7B" w:rsidP="00E60DF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76C3E">
              <w:rPr>
                <w:rFonts w:ascii="Verdana" w:hAnsi="Verdana"/>
                <w:b/>
                <w:sz w:val="20"/>
              </w:rPr>
              <w:t>30 octobre 2019</w:t>
            </w:r>
          </w:p>
        </w:tc>
      </w:tr>
      <w:tr w:rsidR="00690C7B" w:rsidRPr="00876C3E" w14:paraId="26AF0079" w14:textId="77777777" w:rsidTr="00BB1D82">
        <w:trPr>
          <w:cantSplit/>
        </w:trPr>
        <w:tc>
          <w:tcPr>
            <w:tcW w:w="6911" w:type="dxa"/>
          </w:tcPr>
          <w:p w14:paraId="335BF3C0" w14:textId="77777777" w:rsidR="00690C7B" w:rsidRPr="00876C3E" w:rsidRDefault="00690C7B" w:rsidP="00E60DF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9A2D414" w14:textId="77777777" w:rsidR="00690C7B" w:rsidRPr="00876C3E" w:rsidRDefault="00690C7B" w:rsidP="00E60DF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76C3E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876C3E" w14:paraId="1E555278" w14:textId="77777777" w:rsidTr="00C11970">
        <w:trPr>
          <w:cantSplit/>
        </w:trPr>
        <w:tc>
          <w:tcPr>
            <w:tcW w:w="10031" w:type="dxa"/>
            <w:gridSpan w:val="2"/>
          </w:tcPr>
          <w:p w14:paraId="22B1E971" w14:textId="77777777" w:rsidR="00690C7B" w:rsidRPr="00876C3E" w:rsidRDefault="00690C7B" w:rsidP="00E60DFE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876C3E" w14:paraId="0179C4E9" w14:textId="77777777" w:rsidTr="0050008E">
        <w:trPr>
          <w:cantSplit/>
        </w:trPr>
        <w:tc>
          <w:tcPr>
            <w:tcW w:w="10031" w:type="dxa"/>
            <w:gridSpan w:val="2"/>
          </w:tcPr>
          <w:p w14:paraId="4A4984D5" w14:textId="77777777" w:rsidR="00690C7B" w:rsidRPr="00876C3E" w:rsidRDefault="00690C7B" w:rsidP="00E60DFE">
            <w:pPr>
              <w:pStyle w:val="Source"/>
            </w:pPr>
            <w:bookmarkStart w:id="2" w:name="dsource" w:colFirst="0" w:colLast="0"/>
            <w:r w:rsidRPr="00876C3E">
              <w:t>Propositions européennes communes</w:t>
            </w:r>
          </w:p>
        </w:tc>
      </w:tr>
      <w:tr w:rsidR="00690C7B" w:rsidRPr="00876C3E" w14:paraId="57D5D8C9" w14:textId="77777777" w:rsidTr="0050008E">
        <w:trPr>
          <w:cantSplit/>
        </w:trPr>
        <w:tc>
          <w:tcPr>
            <w:tcW w:w="10031" w:type="dxa"/>
            <w:gridSpan w:val="2"/>
          </w:tcPr>
          <w:p w14:paraId="3783D6D7" w14:textId="77777777" w:rsidR="00690C7B" w:rsidRPr="00876C3E" w:rsidRDefault="00690C7B" w:rsidP="00E60DFE">
            <w:pPr>
              <w:pStyle w:val="Title1"/>
            </w:pPr>
            <w:bookmarkStart w:id="3" w:name="dtitle1" w:colFirst="0" w:colLast="0"/>
            <w:bookmarkEnd w:id="2"/>
            <w:r w:rsidRPr="00876C3E">
              <w:t>Propositions pour les travaux de la conférence</w:t>
            </w:r>
          </w:p>
        </w:tc>
      </w:tr>
      <w:tr w:rsidR="00690C7B" w:rsidRPr="00876C3E" w14:paraId="5CF51731" w14:textId="77777777" w:rsidTr="0050008E">
        <w:trPr>
          <w:cantSplit/>
        </w:trPr>
        <w:tc>
          <w:tcPr>
            <w:tcW w:w="10031" w:type="dxa"/>
            <w:gridSpan w:val="2"/>
          </w:tcPr>
          <w:p w14:paraId="41EA84CA" w14:textId="77777777" w:rsidR="00690C7B" w:rsidRPr="00876C3E" w:rsidRDefault="00690C7B" w:rsidP="00E60DFE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RPr="00876C3E" w14:paraId="0A8CA5D6" w14:textId="77777777" w:rsidTr="0050008E">
        <w:trPr>
          <w:cantSplit/>
        </w:trPr>
        <w:tc>
          <w:tcPr>
            <w:tcW w:w="10031" w:type="dxa"/>
            <w:gridSpan w:val="2"/>
          </w:tcPr>
          <w:p w14:paraId="41879C86" w14:textId="77777777" w:rsidR="00690C7B" w:rsidRPr="00876C3E" w:rsidRDefault="00690C7B" w:rsidP="00E60DFE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876C3E">
              <w:rPr>
                <w:lang w:val="fr-FR"/>
              </w:rPr>
              <w:t>Point 10 de l'ordre du jour</w:t>
            </w:r>
          </w:p>
        </w:tc>
      </w:tr>
    </w:tbl>
    <w:bookmarkEnd w:id="5"/>
    <w:p w14:paraId="50C2BE76" w14:textId="77777777" w:rsidR="003D093A" w:rsidRPr="00876C3E" w:rsidRDefault="00D56ED9" w:rsidP="00E60DFE">
      <w:r w:rsidRPr="00876C3E">
        <w:t>10</w:t>
      </w:r>
      <w:r w:rsidRPr="00876C3E">
        <w:tab/>
        <w:t>recommander au Conseil des points à inscrire à l'ordre du jour de la CMR suivante et exposer ses vues sur l'ordre du jour préliminaire de la conférence ultérieure ainsi que sur des points éventuels à inscrire à l'ordre du jour de conférences futures, conformément à l'article 7 de la Convention,</w:t>
      </w:r>
    </w:p>
    <w:p w14:paraId="07CAC837" w14:textId="77777777" w:rsidR="00E76005" w:rsidRPr="00876C3E" w:rsidRDefault="00E76005" w:rsidP="00E60DFE">
      <w:pPr>
        <w:pStyle w:val="Headingb"/>
      </w:pPr>
      <w:r w:rsidRPr="00876C3E">
        <w:t>Introduction</w:t>
      </w:r>
    </w:p>
    <w:p w14:paraId="0A60B7CB" w14:textId="37DC1B7F" w:rsidR="00FF30E4" w:rsidRPr="00876C3E" w:rsidRDefault="00FF30E4" w:rsidP="00E60DFE">
      <w:r w:rsidRPr="00876C3E">
        <w:t xml:space="preserve">La </w:t>
      </w:r>
      <w:r w:rsidR="00E76005" w:rsidRPr="00876C3E">
        <w:t xml:space="preserve">CEPT </w:t>
      </w:r>
      <w:r w:rsidRPr="00876C3E">
        <w:t xml:space="preserve">soumet un </w:t>
      </w:r>
      <w:r w:rsidR="00E76005" w:rsidRPr="00876C3E">
        <w:t xml:space="preserve">corrigendum </w:t>
      </w:r>
      <w:r w:rsidRPr="00876C3E">
        <w:t>à l'</w:t>
      </w:r>
      <w:r w:rsidR="00E76005" w:rsidRPr="00876C3E">
        <w:t xml:space="preserve">Addendum 24 </w:t>
      </w:r>
      <w:r w:rsidRPr="00876C3E">
        <w:t>(</w:t>
      </w:r>
      <w:r w:rsidR="00E76005" w:rsidRPr="00876C3E">
        <w:t>part</w:t>
      </w:r>
      <w:r w:rsidRPr="00876C3E">
        <w:t>ie</w:t>
      </w:r>
      <w:r w:rsidR="00E76005" w:rsidRPr="00876C3E">
        <w:t xml:space="preserve"> J10</w:t>
      </w:r>
      <w:r w:rsidRPr="00876C3E">
        <w:t>)</w:t>
      </w:r>
      <w:r w:rsidR="00E76005" w:rsidRPr="00876C3E">
        <w:t xml:space="preserve"> </w:t>
      </w:r>
      <w:r w:rsidRPr="00876C3E">
        <w:t>en raison de la suppression malencontreuse de certaines parties du texte du projet de nouvel</w:t>
      </w:r>
      <w:bookmarkStart w:id="6" w:name="_GoBack"/>
      <w:bookmarkEnd w:id="6"/>
      <w:r w:rsidRPr="00876C3E">
        <w:t>le Résolution concernant la proposition en question.</w:t>
      </w:r>
    </w:p>
    <w:p w14:paraId="5A1185CA" w14:textId="6BA65E8D" w:rsidR="003A583E" w:rsidRPr="00876C3E" w:rsidRDefault="00E76005" w:rsidP="00E60DFE">
      <w:pPr>
        <w:pStyle w:val="Headingb"/>
      </w:pPr>
      <w:r w:rsidRPr="00876C3E">
        <w:t>Propositions</w:t>
      </w:r>
    </w:p>
    <w:p w14:paraId="6D4676D0" w14:textId="77777777" w:rsidR="0015203F" w:rsidRPr="00876C3E" w:rsidRDefault="0015203F" w:rsidP="00E60DF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76C3E">
        <w:br w:type="page"/>
      </w:r>
    </w:p>
    <w:p w14:paraId="59F7A7F9" w14:textId="018480E7" w:rsidR="00214DFC" w:rsidRPr="00876C3E" w:rsidRDefault="00214DFC" w:rsidP="00214DFC">
      <w:r w:rsidRPr="00876C3E">
        <w:lastRenderedPageBreak/>
        <w:t>...</w:t>
      </w:r>
    </w:p>
    <w:p w14:paraId="43490100" w14:textId="6F2AD9EF" w:rsidR="008E27FC" w:rsidRPr="00876C3E" w:rsidRDefault="00D56ED9" w:rsidP="00E60DFE">
      <w:pPr>
        <w:pStyle w:val="Proposal"/>
      </w:pPr>
      <w:r w:rsidRPr="00876C3E">
        <w:t>ADD</w:t>
      </w:r>
      <w:r w:rsidRPr="00876C3E">
        <w:tab/>
        <w:t>EUR/16A24/12</w:t>
      </w:r>
    </w:p>
    <w:p w14:paraId="43BA9671" w14:textId="77777777" w:rsidR="002C1141" w:rsidRPr="00876C3E" w:rsidRDefault="002C1141" w:rsidP="00E60DFE">
      <w:pPr>
        <w:pStyle w:val="ResNo"/>
      </w:pPr>
      <w:r w:rsidRPr="00876C3E">
        <w:t>Projet de nouvelle Résolution [EUR-J10-10] (CMR-19)</w:t>
      </w:r>
    </w:p>
    <w:p w14:paraId="682A4910" w14:textId="775CDB5D" w:rsidR="002C1141" w:rsidRPr="00876C3E" w:rsidRDefault="002C1141" w:rsidP="00E60DFE">
      <w:pPr>
        <w:pStyle w:val="Restitle"/>
        <w:rPr>
          <w:rStyle w:val="BRNormal"/>
        </w:rPr>
      </w:pPr>
      <w:r w:rsidRPr="00876C3E">
        <w:t xml:space="preserve">Protection des réseaux à satellite géostationnaire dans les bandes </w:t>
      </w:r>
      <w:r w:rsidRPr="00876C3E">
        <w:rPr>
          <w:rFonts w:ascii="Times New Roman"/>
        </w:rPr>
        <w:t>de fr</w:t>
      </w:r>
      <w:r w:rsidRPr="00876C3E">
        <w:rPr>
          <w:rFonts w:ascii="Times New Roman"/>
        </w:rPr>
        <w:t>é</w:t>
      </w:r>
      <w:r w:rsidRPr="00876C3E">
        <w:rPr>
          <w:rFonts w:ascii="Times New Roman"/>
        </w:rPr>
        <w:t>quences 7</w:t>
      </w:r>
      <w:r w:rsidRPr="00876C3E">
        <w:rPr>
          <w:rFonts w:ascii="Times New Roman"/>
        </w:rPr>
        <w:t> </w:t>
      </w:r>
      <w:r w:rsidRPr="00876C3E">
        <w:rPr>
          <w:rFonts w:ascii="Times New Roman"/>
        </w:rPr>
        <w:t>250-7</w:t>
      </w:r>
      <w:r w:rsidRPr="00876C3E">
        <w:rPr>
          <w:rFonts w:ascii="Times New Roman"/>
        </w:rPr>
        <w:t> </w:t>
      </w:r>
      <w:r w:rsidRPr="00876C3E">
        <w:rPr>
          <w:rFonts w:ascii="Times New Roman"/>
        </w:rPr>
        <w:t>750 MHz (espace vers Terre), 7 900-8 400 MHz (Terre vers espace), 20,2</w:t>
      </w:r>
      <w:r w:rsidRPr="00876C3E">
        <w:rPr>
          <w:rFonts w:ascii="Times New Roman"/>
        </w:rPr>
        <w:noBreakHyphen/>
        <w:t xml:space="preserve">21,2 GHz (espace vers Terre) et 30-31 GHz (Terre vers espace) </w:t>
      </w:r>
      <w:r w:rsidRPr="00876C3E">
        <w:rPr>
          <w:rStyle w:val="BRNormal"/>
        </w:rPr>
        <w:t>contre les émissions des systèmes à satellites non géostationnaires fonctionnant dans les mêmes bandes de fréquences et dans les mêmes sens de transmission</w:t>
      </w:r>
    </w:p>
    <w:p w14:paraId="3941C6C0" w14:textId="77777777" w:rsidR="002C1141" w:rsidRPr="00876C3E" w:rsidRDefault="002C1141" w:rsidP="00E60DFE">
      <w:pPr>
        <w:pStyle w:val="Normalaftertitle"/>
      </w:pPr>
      <w:r w:rsidRPr="00876C3E">
        <w:t>La Conférence mondiale des radiocommunications (Charm el-Cheikh, 2019),</w:t>
      </w:r>
    </w:p>
    <w:p w14:paraId="2B7288B8" w14:textId="77777777" w:rsidR="002C1141" w:rsidRPr="00876C3E" w:rsidRDefault="002C1141" w:rsidP="00E60DFE">
      <w:pPr>
        <w:pStyle w:val="Call"/>
      </w:pPr>
      <w:r w:rsidRPr="00876C3E">
        <w:t>considérant</w:t>
      </w:r>
    </w:p>
    <w:p w14:paraId="63F3D3EE" w14:textId="77777777" w:rsidR="002C1141" w:rsidRPr="00876C3E" w:rsidRDefault="002C1141" w:rsidP="00E60DFE">
      <w:pPr>
        <w:rPr>
          <w:i/>
        </w:rPr>
      </w:pPr>
      <w:r w:rsidRPr="00876C3E">
        <w:rPr>
          <w:i/>
        </w:rPr>
        <w:t>a)</w:t>
      </w:r>
      <w:r w:rsidRPr="00876C3E">
        <w:rPr>
          <w:i/>
        </w:rPr>
        <w:tab/>
      </w:r>
      <w:r w:rsidRPr="00876C3E">
        <w:t>que les bandes de fréquences 7 250-7 750 MHz (espace vers Terre), 7 900-8 400 MHz (Terre vers espace), 20,2-21,2 GHz (espace vers Terre) et 30-31 GHz (Terre vers espace) sont attribuées à titre primaire au service fixe par satellite (SFS)</w:t>
      </w:r>
      <w:r w:rsidRPr="00876C3E">
        <w:rPr>
          <w:iCs/>
        </w:rPr>
        <w:t>;</w:t>
      </w:r>
    </w:p>
    <w:p w14:paraId="1C16508B" w14:textId="77777777" w:rsidR="002C1141" w:rsidRPr="00876C3E" w:rsidRDefault="002C1141" w:rsidP="00E60DFE">
      <w:pPr>
        <w:rPr>
          <w:i/>
        </w:rPr>
      </w:pPr>
      <w:r w:rsidRPr="00876C3E">
        <w:rPr>
          <w:i/>
        </w:rPr>
        <w:t>b)</w:t>
      </w:r>
      <w:r w:rsidRPr="00876C3E">
        <w:rPr>
          <w:i/>
        </w:rPr>
        <w:tab/>
      </w:r>
      <w:r w:rsidRPr="00876C3E">
        <w:t xml:space="preserve">que les bandes de fréquences 7 250-7 375 MHz (espace vers Terre) et 7 900-8 025 MHz (Terre vers espace) sont, de plus, attribuées au service mobile par satellite (SMS) à titre primaire, sous réserve de l'accord obtenu au titre du numéro </w:t>
      </w:r>
      <w:r w:rsidRPr="00876C3E">
        <w:rPr>
          <w:b/>
        </w:rPr>
        <w:t>9.21</w:t>
      </w:r>
      <w:r w:rsidRPr="00876C3E">
        <w:t>;</w:t>
      </w:r>
    </w:p>
    <w:p w14:paraId="1F1C9A5F" w14:textId="77777777" w:rsidR="002C1141" w:rsidRPr="00876C3E" w:rsidRDefault="002C1141" w:rsidP="00E60DFE">
      <w:pPr>
        <w:rPr>
          <w:i/>
        </w:rPr>
      </w:pPr>
      <w:r w:rsidRPr="00876C3E">
        <w:rPr>
          <w:i/>
        </w:rPr>
        <w:t>c)</w:t>
      </w:r>
      <w:r w:rsidRPr="00876C3E">
        <w:rPr>
          <w:i/>
        </w:rPr>
        <w:tab/>
      </w:r>
      <w:r w:rsidRPr="00876C3E">
        <w:t>que les bandes de fréquences 20,2-21,2 GHz (espace vers Terre) et 30-31 GHz (Terre vers espace) sont, de plus, attribuées à titre primaire au SMS;</w:t>
      </w:r>
    </w:p>
    <w:p w14:paraId="275AF8FE" w14:textId="77777777" w:rsidR="002C1141" w:rsidRPr="00876C3E" w:rsidRDefault="002C1141" w:rsidP="00E60DFE">
      <w:pPr>
        <w:rPr>
          <w:i/>
        </w:rPr>
      </w:pPr>
      <w:r w:rsidRPr="00876C3E">
        <w:rPr>
          <w:i/>
        </w:rPr>
        <w:t>d)</w:t>
      </w:r>
      <w:r w:rsidRPr="00876C3E">
        <w:rPr>
          <w:i/>
        </w:rPr>
        <w:tab/>
      </w:r>
      <w:r w:rsidRPr="00876C3E">
        <w:t xml:space="preserve">que les bandes de fréquences 7 450-7 550 MHz (espace vers Terre) et 8 175-8 215 MHz (Terre vers espace) sont, </w:t>
      </w:r>
      <w:r w:rsidRPr="00876C3E">
        <w:rPr>
          <w:color w:val="000000"/>
        </w:rPr>
        <w:t>de plus, attribuées au service de météorologie par satellite à titre primaire,</w:t>
      </w:r>
      <w:r w:rsidRPr="00876C3E">
        <w:t xml:space="preserve"> tandis que les bandes 8 025-8 175 MHz, 8 175-8 215 MHz et 8 215-8400 MHz (espace vers Terre) sont attribuées au service d'exploration de la Terre par satellite </w:t>
      </w:r>
      <w:r w:rsidRPr="00876C3E">
        <w:rPr>
          <w:color w:val="000000"/>
        </w:rPr>
        <w:t>à titre primaire;</w:t>
      </w:r>
      <w:r w:rsidRPr="00876C3E">
        <w:t xml:space="preserve"> </w:t>
      </w:r>
    </w:p>
    <w:p w14:paraId="680EF0E0" w14:textId="77777777" w:rsidR="002C1141" w:rsidRPr="00876C3E" w:rsidRDefault="002C1141" w:rsidP="00E60DFE">
      <w:pPr>
        <w:rPr>
          <w:i/>
        </w:rPr>
      </w:pPr>
      <w:r w:rsidRPr="00876C3E">
        <w:rPr>
          <w:i/>
        </w:rPr>
        <w:t>e)</w:t>
      </w:r>
      <w:r w:rsidRPr="00876C3E">
        <w:rPr>
          <w:i/>
        </w:rPr>
        <w:tab/>
      </w:r>
      <w:r w:rsidRPr="00876C3E">
        <w:rPr>
          <w:iCs/>
        </w:rPr>
        <w:t>qu'un nombre croissant de constellations de satellites non géostationnaires prévoient d'utiliser les attributions énumérées aux points</w:t>
      </w:r>
      <w:r w:rsidRPr="00876C3E">
        <w:rPr>
          <w:i/>
        </w:rPr>
        <w:t xml:space="preserve"> a), b) </w:t>
      </w:r>
      <w:r w:rsidRPr="00876C3E">
        <w:t xml:space="preserve">et </w:t>
      </w:r>
      <w:r w:rsidRPr="00876C3E">
        <w:rPr>
          <w:i/>
        </w:rPr>
        <w:t xml:space="preserve">c) </w:t>
      </w:r>
      <w:r w:rsidRPr="00876C3E">
        <w:rPr>
          <w:iCs/>
        </w:rPr>
        <w:t>du</w:t>
      </w:r>
      <w:r w:rsidRPr="00876C3E">
        <w:rPr>
          <w:i/>
        </w:rPr>
        <w:t xml:space="preserve"> considérant</w:t>
      </w:r>
      <w:r w:rsidRPr="00876C3E">
        <w:rPr>
          <w:iCs/>
        </w:rPr>
        <w:t>;</w:t>
      </w:r>
    </w:p>
    <w:p w14:paraId="203BC1F4" w14:textId="77777777" w:rsidR="002C1141" w:rsidRPr="00876C3E" w:rsidRDefault="002C1141" w:rsidP="00E60DFE">
      <w:pPr>
        <w:rPr>
          <w:i/>
        </w:rPr>
      </w:pPr>
      <w:r w:rsidRPr="00876C3E">
        <w:rPr>
          <w:i/>
        </w:rPr>
        <w:t>f)</w:t>
      </w:r>
      <w:r w:rsidRPr="00876C3E">
        <w:rPr>
          <w:i/>
        </w:rPr>
        <w:tab/>
      </w:r>
      <w:r w:rsidRPr="00876C3E">
        <w:t xml:space="preserve">qu'il serait utile de définir des critères permettant d'éviter les brouillages inacceptables pour assurer la coexistence entre les assignations existantes et futures aux réseaux à satellite géostationnaire et aux systèmes à satellites non géostationnaires dans le cadre des attributions énumérées aux </w:t>
      </w:r>
      <w:r w:rsidRPr="00876C3E">
        <w:rPr>
          <w:iCs/>
        </w:rPr>
        <w:t>points</w:t>
      </w:r>
      <w:r w:rsidRPr="00876C3E">
        <w:rPr>
          <w:i/>
        </w:rPr>
        <w:t xml:space="preserve"> a), b) </w:t>
      </w:r>
      <w:r w:rsidRPr="00876C3E">
        <w:t xml:space="preserve">et </w:t>
      </w:r>
      <w:r w:rsidRPr="00876C3E">
        <w:rPr>
          <w:i/>
        </w:rPr>
        <w:t xml:space="preserve">c) </w:t>
      </w:r>
      <w:r w:rsidRPr="00876C3E">
        <w:rPr>
          <w:iCs/>
        </w:rPr>
        <w:t>du</w:t>
      </w:r>
      <w:r w:rsidRPr="00876C3E">
        <w:rPr>
          <w:i/>
        </w:rPr>
        <w:t xml:space="preserve"> considérant</w:t>
      </w:r>
      <w:r w:rsidRPr="00876C3E">
        <w:rPr>
          <w:iCs/>
        </w:rPr>
        <w:t>;</w:t>
      </w:r>
    </w:p>
    <w:p w14:paraId="2F8C7BCB" w14:textId="77777777" w:rsidR="002C1141" w:rsidRPr="00876C3E" w:rsidRDefault="002C1141" w:rsidP="00E60DFE">
      <w:r w:rsidRPr="00876C3E">
        <w:rPr>
          <w:i/>
        </w:rPr>
        <w:t>g)</w:t>
      </w:r>
      <w:r w:rsidRPr="00876C3E">
        <w:rPr>
          <w:i/>
        </w:rPr>
        <w:tab/>
      </w:r>
      <w:r w:rsidRPr="00876C3E">
        <w:t xml:space="preserve">que, conformément au numéro </w:t>
      </w:r>
      <w:r w:rsidRPr="00876C3E">
        <w:rPr>
          <w:b/>
        </w:rPr>
        <w:t>22.2</w:t>
      </w:r>
      <w:r w:rsidRPr="00876C3E">
        <w:t>,</w:t>
      </w:r>
      <w:r w:rsidRPr="00876C3E">
        <w:rPr>
          <w:color w:val="000000"/>
        </w:rPr>
        <w:t xml:space="preserve"> les systèmes à satellites non </w:t>
      </w:r>
      <w:r w:rsidRPr="00876C3E">
        <w:t>géostationnaires</w:t>
      </w:r>
      <w:r w:rsidRPr="00876C3E">
        <w:rPr>
          <w:color w:val="000000"/>
        </w:rPr>
        <w:t xml:space="preserve"> ne doivent pas causer de brouillages inacceptables aux réseaux à satellite </w:t>
      </w:r>
      <w:r w:rsidRPr="00876C3E">
        <w:t>géostationnaire</w:t>
      </w:r>
      <w:r w:rsidRPr="00876C3E">
        <w:rPr>
          <w:color w:val="000000"/>
        </w:rPr>
        <w:t xml:space="preserve"> du service fixe par satellite et du service de radiodiffusion par satellite, et ne doivent pas demander à bénéficier d'une protection vis-à-vis de ces réseaux,</w:t>
      </w:r>
    </w:p>
    <w:p w14:paraId="3B75DF88" w14:textId="77777777" w:rsidR="002C1141" w:rsidRPr="00876C3E" w:rsidRDefault="002C1141" w:rsidP="00E60DFE">
      <w:pPr>
        <w:pStyle w:val="Call"/>
      </w:pPr>
      <w:r w:rsidRPr="00876C3E">
        <w:t>reconnaissant</w:t>
      </w:r>
    </w:p>
    <w:p w14:paraId="340D3481" w14:textId="77777777" w:rsidR="002C1141" w:rsidRPr="00876C3E" w:rsidRDefault="002C1141" w:rsidP="00E60DFE">
      <w:r w:rsidRPr="00876C3E">
        <w:rPr>
          <w:i/>
        </w:rPr>
        <w:t>a)</w:t>
      </w:r>
      <w:r w:rsidRPr="00876C3E">
        <w:rPr>
          <w:i/>
        </w:rPr>
        <w:tab/>
      </w:r>
      <w:r w:rsidRPr="00876C3E">
        <w:t xml:space="preserve">que l'Article </w:t>
      </w:r>
      <w:r w:rsidRPr="00876C3E">
        <w:rPr>
          <w:b/>
        </w:rPr>
        <w:t>22</w:t>
      </w:r>
      <w:r w:rsidRPr="00876C3E">
        <w:t xml:space="preserve"> du Règlement des radiocommunications ne contient aucune limite applicable aux systèmes à satellites non géostationnaires dans le cadre des attributions énumérées aux </w:t>
      </w:r>
      <w:r w:rsidRPr="00876C3E">
        <w:rPr>
          <w:iCs/>
        </w:rPr>
        <w:t>points</w:t>
      </w:r>
      <w:r w:rsidRPr="00876C3E">
        <w:rPr>
          <w:i/>
        </w:rPr>
        <w:t xml:space="preserve"> a), b) </w:t>
      </w:r>
      <w:r w:rsidRPr="00876C3E">
        <w:t xml:space="preserve">et </w:t>
      </w:r>
      <w:r w:rsidRPr="00876C3E">
        <w:rPr>
          <w:i/>
        </w:rPr>
        <w:t>c)</w:t>
      </w:r>
      <w:r w:rsidRPr="00876C3E">
        <w:t xml:space="preserve"> </w:t>
      </w:r>
      <w:r w:rsidRPr="00876C3E">
        <w:rPr>
          <w:iCs/>
        </w:rPr>
        <w:t>du</w:t>
      </w:r>
      <w:r w:rsidRPr="00876C3E">
        <w:rPr>
          <w:i/>
        </w:rPr>
        <w:t xml:space="preserve"> considérant</w:t>
      </w:r>
      <w:r w:rsidRPr="00876C3E">
        <w:t>;</w:t>
      </w:r>
    </w:p>
    <w:p w14:paraId="79A4195E" w14:textId="77777777" w:rsidR="002C1141" w:rsidRPr="00876C3E" w:rsidRDefault="002C1141" w:rsidP="00E60DFE">
      <w:r w:rsidRPr="00876C3E">
        <w:rPr>
          <w:i/>
        </w:rPr>
        <w:t>b)</w:t>
      </w:r>
      <w:r w:rsidRPr="00876C3E">
        <w:tab/>
        <w:t xml:space="preserve">que les dispositions du numéro </w:t>
      </w:r>
      <w:r w:rsidRPr="00876C3E">
        <w:rPr>
          <w:b/>
        </w:rPr>
        <w:t>22.2</w:t>
      </w:r>
      <w:r w:rsidRPr="00876C3E">
        <w:rPr>
          <w:bCs/>
        </w:rPr>
        <w:t xml:space="preserve"> ne permettent pas de protéger les systèmes à satellites géostationnaires utilisant les attributions au service mobile par satellite vis-à-vis des systèmes à satellites non géostationnaires</w:t>
      </w:r>
      <w:r w:rsidRPr="00876C3E">
        <w:t>;</w:t>
      </w:r>
    </w:p>
    <w:p w14:paraId="276E298E" w14:textId="77777777" w:rsidR="002C1141" w:rsidRPr="00876C3E" w:rsidRDefault="002C1141" w:rsidP="00E60DFE">
      <w:r w:rsidRPr="00876C3E">
        <w:rPr>
          <w:i/>
        </w:rPr>
        <w:t>c)</w:t>
      </w:r>
      <w:r w:rsidRPr="00876C3E">
        <w:tab/>
        <w:t xml:space="preserve">que les systèmes à satellites non géostationnaires exploités dans le cadre des attributions de fréquences énumérées aux </w:t>
      </w:r>
      <w:r w:rsidRPr="00876C3E">
        <w:rPr>
          <w:iCs/>
        </w:rPr>
        <w:t>points</w:t>
      </w:r>
      <w:r w:rsidRPr="00876C3E">
        <w:rPr>
          <w:i/>
        </w:rPr>
        <w:t xml:space="preserve"> a) </w:t>
      </w:r>
      <w:r w:rsidRPr="00876C3E">
        <w:t xml:space="preserve">et </w:t>
      </w:r>
      <w:r w:rsidRPr="00876C3E">
        <w:rPr>
          <w:i/>
        </w:rPr>
        <w:t>c)</w:t>
      </w:r>
      <w:r w:rsidRPr="00876C3E">
        <w:t xml:space="preserve"> </w:t>
      </w:r>
      <w:r w:rsidRPr="00876C3E">
        <w:rPr>
          <w:iCs/>
        </w:rPr>
        <w:t>du</w:t>
      </w:r>
      <w:r w:rsidRPr="00876C3E">
        <w:rPr>
          <w:i/>
        </w:rPr>
        <w:t xml:space="preserve"> considérant </w:t>
      </w:r>
      <w:r w:rsidRPr="00876C3E">
        <w:t xml:space="preserve">ne sont assujettis à aucune procédure de coordination, </w:t>
      </w:r>
    </w:p>
    <w:p w14:paraId="07BF7480" w14:textId="4DDBC1A0" w:rsidR="00660504" w:rsidRPr="00876C3E" w:rsidRDefault="00660504" w:rsidP="00E60DFE">
      <w:pPr>
        <w:pStyle w:val="Call"/>
      </w:pPr>
      <w:r w:rsidRPr="00876C3E">
        <w:t>décide d'inviter l'UIT-R</w:t>
      </w:r>
    </w:p>
    <w:p w14:paraId="1784BFBA" w14:textId="12772747" w:rsidR="00660504" w:rsidRPr="00876C3E" w:rsidRDefault="00660504" w:rsidP="00E60DFE">
      <w:r w:rsidRPr="00876C3E">
        <w:t>1</w:t>
      </w:r>
      <w:r w:rsidRPr="00876C3E">
        <w:tab/>
        <w:t>à effectuer des études réglementaires et, le cas échéant, des études opérationnelles pour garantir une protection efficace des réseaux à satellite géostationnaire fonctionnant dans le cadre des attributions au SFS ou au SMS dans les bandes 7 250-7 750 MHz (espace vers Terre), 7</w:t>
      </w:r>
      <w:r w:rsidR="00214DFC" w:rsidRPr="00876C3E">
        <w:t> </w:t>
      </w:r>
      <w:r w:rsidRPr="00876C3E">
        <w:t>900</w:t>
      </w:r>
      <w:r w:rsidR="00214DFC" w:rsidRPr="00876C3E">
        <w:noBreakHyphen/>
      </w:r>
      <w:r w:rsidRPr="00876C3E">
        <w:t>8</w:t>
      </w:r>
      <w:r w:rsidR="00214DFC" w:rsidRPr="00876C3E">
        <w:t> </w:t>
      </w:r>
      <w:r w:rsidRPr="00876C3E">
        <w:t>400 MHz (Terre vers espace), 20,2-21,2 GHz (espace vers Terre) et 30-31 GHz (Terre vers espace) vis-à-vis des systèmes à satellites non géostationnaires du SFS ou du SMS dans ces mêmes bandes</w:t>
      </w:r>
      <w:r w:rsidR="00E64E9B" w:rsidRPr="00876C3E">
        <w:t>,</w:t>
      </w:r>
      <w:r w:rsidRPr="00876C3E">
        <w:t xml:space="preserve"> sans limiter les réseaux </w:t>
      </w:r>
      <w:r w:rsidR="00E64E9B" w:rsidRPr="00876C3E">
        <w:t xml:space="preserve">à satellite géostationnaire </w:t>
      </w:r>
      <w:r w:rsidRPr="00876C3E">
        <w:t>existants et futurs</w:t>
      </w:r>
      <w:r w:rsidR="00E64E9B" w:rsidRPr="00876C3E">
        <w:t>, ni leur imposer de contraintes excessives</w:t>
      </w:r>
      <w:r w:rsidRPr="00876C3E">
        <w:t>;</w:t>
      </w:r>
    </w:p>
    <w:p w14:paraId="20760735" w14:textId="2E7C540F" w:rsidR="00660504" w:rsidRPr="00876C3E" w:rsidRDefault="00660504" w:rsidP="00E60DFE">
      <w:pPr>
        <w:rPr>
          <w:color w:val="000000"/>
        </w:rPr>
      </w:pPr>
      <w:r w:rsidRPr="00876C3E">
        <w:t>2</w:t>
      </w:r>
      <w:r w:rsidRPr="00876C3E">
        <w:tab/>
      </w:r>
      <w:r w:rsidR="00E64E9B" w:rsidRPr="00876C3E">
        <w:t>en tenant compte des résultats des études demandées ci-dessus</w:t>
      </w:r>
      <w:r w:rsidRPr="00876C3E">
        <w:t xml:space="preserve">, </w:t>
      </w:r>
      <w:r w:rsidR="00E64E9B" w:rsidRPr="00876C3E">
        <w:t xml:space="preserve">à formuler des recommandations à l'intention de la Conférence pour lui permettre de prendre une décision concernant </w:t>
      </w:r>
      <w:r w:rsidR="00753AD7" w:rsidRPr="00876C3E">
        <w:t xml:space="preserve">les </w:t>
      </w:r>
      <w:r w:rsidR="00E64E9B" w:rsidRPr="00876C3E">
        <w:t xml:space="preserve">dispositions réglementaires supplémentaires </w:t>
      </w:r>
      <w:r w:rsidR="00753AD7" w:rsidRPr="00876C3E">
        <w:t xml:space="preserve">permettant de </w:t>
      </w:r>
      <w:r w:rsidR="00E64E9B" w:rsidRPr="00876C3E">
        <w:t xml:space="preserve">garantir la </w:t>
      </w:r>
      <w:r w:rsidRPr="00876C3E">
        <w:t xml:space="preserve">protection </w:t>
      </w:r>
      <w:r w:rsidR="00E64E9B" w:rsidRPr="00876C3E">
        <w:t xml:space="preserve">des systèmes à satellites géostationnaires vis-à-vis des systèmes à </w:t>
      </w:r>
      <w:r w:rsidRPr="00876C3E">
        <w:t>satellite</w:t>
      </w:r>
      <w:r w:rsidR="00E64E9B" w:rsidRPr="00876C3E">
        <w:t xml:space="preserve">s non géostationnaires dans ces bandes et </w:t>
      </w:r>
      <w:r w:rsidRPr="00876C3E">
        <w:t>services</w:t>
      </w:r>
      <w:r w:rsidR="00E64E9B" w:rsidRPr="00876C3E">
        <w:t>, sans limiter les stations actuelles et futures des autres services existants, ni leur imposer de contraintes excessives</w:t>
      </w:r>
      <w:r w:rsidRPr="00876C3E">
        <w:rPr>
          <w:iCs/>
        </w:rPr>
        <w:t>;</w:t>
      </w:r>
    </w:p>
    <w:p w14:paraId="68B65FB5" w14:textId="5FEE8A83" w:rsidR="00E64E9B" w:rsidRPr="00876C3E" w:rsidRDefault="00E64E9B" w:rsidP="00E60DFE">
      <w:r w:rsidRPr="00876C3E">
        <w:t>3</w:t>
      </w:r>
      <w:r w:rsidRPr="00876C3E">
        <w:tab/>
        <w:t>à achever les études à temps pour la CMR</w:t>
      </w:r>
      <w:r w:rsidRPr="00876C3E">
        <w:noBreakHyphen/>
        <w:t>23,</w:t>
      </w:r>
    </w:p>
    <w:p w14:paraId="483CF08C" w14:textId="70DFA3AC" w:rsidR="002C1141" w:rsidRPr="00876C3E" w:rsidRDefault="002C1141" w:rsidP="00E60DFE">
      <w:pPr>
        <w:pStyle w:val="Call"/>
      </w:pPr>
      <w:r w:rsidRPr="00876C3E">
        <w:t>décide en outre d'inviter</w:t>
      </w:r>
      <w:r w:rsidR="00753AD7" w:rsidRPr="00876C3E">
        <w:t xml:space="preserve"> la</w:t>
      </w:r>
      <w:r w:rsidRPr="00876C3E">
        <w:t xml:space="preserve"> CMR-23</w:t>
      </w:r>
    </w:p>
    <w:p w14:paraId="64E4FB08" w14:textId="77777777" w:rsidR="002C1141" w:rsidRPr="00876C3E" w:rsidRDefault="002C1141" w:rsidP="00E60DFE">
      <w:r w:rsidRPr="00876C3E">
        <w:t>à examiner les résultats de ces études, notamment les incidences de la proposition relative au cadre réglementaire révisé sur les systèmes à satellites non géostationnaires soumis au Bureau après la CMR-19, et à prendre les mesures voulues.</w:t>
      </w:r>
    </w:p>
    <w:p w14:paraId="405886A2" w14:textId="002A96CE" w:rsidR="00E60DFE" w:rsidRPr="00876C3E" w:rsidRDefault="00E60DFE" w:rsidP="00411C49">
      <w:pPr>
        <w:pStyle w:val="Reasons"/>
      </w:pPr>
    </w:p>
    <w:p w14:paraId="7CE7FF4D" w14:textId="5AE3B640" w:rsidR="00214DFC" w:rsidRPr="00876C3E" w:rsidRDefault="00214DFC" w:rsidP="00214DFC">
      <w:r w:rsidRPr="00876C3E">
        <w:t>...</w:t>
      </w:r>
    </w:p>
    <w:p w14:paraId="4D76464C" w14:textId="5454B3A9" w:rsidR="008E27FC" w:rsidRPr="00876C3E" w:rsidRDefault="00E60DFE" w:rsidP="00E60DFE">
      <w:pPr>
        <w:jc w:val="center"/>
      </w:pPr>
      <w:r w:rsidRPr="00876C3E">
        <w:t>______________</w:t>
      </w:r>
    </w:p>
    <w:sectPr w:rsidR="008E27FC" w:rsidRPr="00876C3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E1AD5" w14:textId="77777777" w:rsidR="00BC217E" w:rsidRDefault="00BC217E">
      <w:r>
        <w:separator/>
      </w:r>
    </w:p>
  </w:endnote>
  <w:endnote w:type="continuationSeparator" w:id="0">
    <w:p w14:paraId="17100EB5" w14:textId="77777777" w:rsidR="00BC217E" w:rsidRDefault="00BC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BE30B" w14:textId="32AFA1B9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76C3E">
      <w:rPr>
        <w:noProof/>
        <w:lang w:val="en-US"/>
      </w:rPr>
      <w:t>P:\FRA\ITU-R\CONF-R\CMR19\000\016ADD24COR1F.docx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76C3E">
      <w:rPr>
        <w:noProof/>
      </w:rPr>
      <w:t>31.10.19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76C3E">
      <w:rPr>
        <w:noProof/>
      </w:rPr>
      <w:t>31.10.19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9115" w14:textId="0F8C3A22" w:rsidR="00936D25" w:rsidRPr="00753AD7" w:rsidRDefault="00936D25" w:rsidP="007B2C34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76C3E">
      <w:rPr>
        <w:lang w:val="en-US"/>
      </w:rPr>
      <w:t>P:\FRA\ITU-R\CONF-R\CMR19\000\016ADD24COR1F.docx</w:t>
    </w:r>
    <w:r>
      <w:fldChar w:fldCharType="end"/>
    </w:r>
    <w:r w:rsidR="00753AD7" w:rsidRPr="00753AD7">
      <w:rPr>
        <w:lang w:val="en-GB"/>
      </w:rPr>
      <w:t xml:space="preserve"> </w:t>
    </w:r>
    <w:r w:rsidR="00753AD7">
      <w:rPr>
        <w:lang w:val="en-GB"/>
      </w:rPr>
      <w:t>(463550)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009E" w14:textId="1A4016B2" w:rsidR="00936D25" w:rsidRPr="00753AD7" w:rsidRDefault="00936D25" w:rsidP="001A11F6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76C3E">
      <w:rPr>
        <w:lang w:val="en-US"/>
      </w:rPr>
      <w:t>P:\FRA\ITU-R\CONF-R\CMR19\000\016ADD24COR1F.docx</w:t>
    </w:r>
    <w:r>
      <w:fldChar w:fldCharType="end"/>
    </w:r>
    <w:r w:rsidR="00753AD7" w:rsidRPr="00753AD7">
      <w:rPr>
        <w:lang w:val="en-GB"/>
      </w:rPr>
      <w:t xml:space="preserve"> </w:t>
    </w:r>
    <w:r w:rsidR="00753AD7">
      <w:rPr>
        <w:lang w:val="en-GB"/>
      </w:rPr>
      <w:t>(463550)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8F034" w14:textId="77777777" w:rsidR="00BC217E" w:rsidRDefault="00BC217E">
      <w:r>
        <w:rPr>
          <w:b/>
        </w:rPr>
        <w:t>_______________</w:t>
      </w:r>
    </w:p>
  </w:footnote>
  <w:footnote w:type="continuationSeparator" w:id="0">
    <w:p w14:paraId="624C0614" w14:textId="77777777" w:rsidR="00BC217E" w:rsidRDefault="00BC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09EF9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3D7FA068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16(Add.24)(Cor.1)-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14DFC"/>
    <w:rsid w:val="00232FD2"/>
    <w:rsid w:val="0026554E"/>
    <w:rsid w:val="002A4622"/>
    <w:rsid w:val="002A6F8F"/>
    <w:rsid w:val="002B17E5"/>
    <w:rsid w:val="002C0EBF"/>
    <w:rsid w:val="002C1141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4A8B"/>
    <w:rsid w:val="00586CF2"/>
    <w:rsid w:val="005A7C75"/>
    <w:rsid w:val="005C3768"/>
    <w:rsid w:val="005C6C3F"/>
    <w:rsid w:val="00613635"/>
    <w:rsid w:val="0062093D"/>
    <w:rsid w:val="00637ECF"/>
    <w:rsid w:val="00647B59"/>
    <w:rsid w:val="00660504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53AD7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76C3E"/>
    <w:rsid w:val="008A3120"/>
    <w:rsid w:val="008A4B97"/>
    <w:rsid w:val="008C5B8E"/>
    <w:rsid w:val="008C5DD5"/>
    <w:rsid w:val="008D41BE"/>
    <w:rsid w:val="008D58D3"/>
    <w:rsid w:val="008E27FC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C217E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56ED9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0CB2"/>
    <w:rsid w:val="00E60DFE"/>
    <w:rsid w:val="00E64E9B"/>
    <w:rsid w:val="00E6539B"/>
    <w:rsid w:val="00E70A31"/>
    <w:rsid w:val="00E723A7"/>
    <w:rsid w:val="00E76005"/>
    <w:rsid w:val="00EA3F38"/>
    <w:rsid w:val="00EA5AB6"/>
    <w:rsid w:val="00EC7615"/>
    <w:rsid w:val="00ED16AA"/>
    <w:rsid w:val="00ED6B8D"/>
    <w:rsid w:val="00EE02EC"/>
    <w:rsid w:val="00EE3D7B"/>
    <w:rsid w:val="00EF662E"/>
    <w:rsid w:val="00F10064"/>
    <w:rsid w:val="00F148F1"/>
    <w:rsid w:val="00F6129D"/>
    <w:rsid w:val="00F711A7"/>
    <w:rsid w:val="00FA3BBF"/>
    <w:rsid w:val="00FC41F8"/>
    <w:rsid w:val="00FD7AA3"/>
    <w:rsid w:val="00FF1C40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F9E425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BRNormal">
    <w:name w:val="BR_Normal"/>
    <w:basedOn w:val="DefaultParagraphFont"/>
    <w:uiPriority w:val="1"/>
    <w:qFormat/>
    <w:rsid w:val="002C1141"/>
  </w:style>
  <w:style w:type="character" w:customStyle="1" w:styleId="CallChar">
    <w:name w:val="Call Char"/>
    <w:basedOn w:val="DefaultParagraphFont"/>
    <w:link w:val="Call"/>
    <w:locked/>
    <w:rsid w:val="002C1141"/>
    <w:rPr>
      <w:rFonts w:ascii="Times New Roman" w:hAnsi="Times New Roman"/>
      <w:i/>
      <w:sz w:val="24"/>
      <w:lang w:val="fr-FR" w:eastAsia="en-US"/>
    </w:rPr>
  </w:style>
  <w:style w:type="character" w:customStyle="1" w:styleId="NormalaftertitleChar">
    <w:name w:val="Normal after title Char"/>
    <w:link w:val="Normalaftertitle"/>
    <w:rsid w:val="002C1141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R16-WRC19-C-0016!A24-C1!MSW-F</DPM_x0020_File_x0020_name>
    <DPM_x0020_Author xmlns="32a1a8c5-2265-4ebc-b7a0-2071e2c5c9bb" xsi:nil="false">DPM</DPM_x0020_Author>
    <DPM_x0020_Version xmlns="32a1a8c5-2265-4ebc-b7a0-2071e2c5c9bb" xsi:nil="false">DPM_2019.10.22.01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AD32E-4F99-46ED-8DC7-8AA13D80B0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41E1E8-CEC3-49D4-802B-AA380A71092E}">
  <ds:schemaRefs>
    <ds:schemaRef ds:uri="32a1a8c5-2265-4ebc-b7a0-2071e2c5c9bb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BE3353-1171-43AC-94C9-DA0EF2864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930D0-4564-4514-A4D3-9044E7C6C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821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R16-WRC19-C-0016!A24-C1!MSW-F</vt:lpstr>
    </vt:vector>
  </TitlesOfParts>
  <Manager>Secrétariat général - Pool</Manager>
  <Company>Union internationale des télécommunications (UIT)</Company>
  <LinksUpToDate>false</LinksUpToDate>
  <CharactersWithSpaces>5392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R16-WRC19-C-0016!A24-C1!MSW-F</dc:title>
  <dc:subject>Conférence mondiale des radiocommunications - 2019</dc:subject>
  <dc:creator>Documents Proposals Manager (DPM)</dc:creator>
  <cp:keywords>DPM_v2019.10.29.1_prod</cp:keywords>
  <dc:description/>
  <cp:lastModifiedBy>French89</cp:lastModifiedBy>
  <cp:revision>6</cp:revision>
  <cp:lastPrinted>2019-10-31T08:57:00Z</cp:lastPrinted>
  <dcterms:created xsi:type="dcterms:W3CDTF">2019-10-31T08:50:00Z</dcterms:created>
  <dcterms:modified xsi:type="dcterms:W3CDTF">2019-10-31T08:57:00Z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