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BE551D" w14:paraId="78FA6BB1" w14:textId="77777777" w:rsidTr="0050008E">
        <w:trPr>
          <w:cantSplit/>
        </w:trPr>
        <w:tc>
          <w:tcPr>
            <w:tcW w:w="6911" w:type="dxa"/>
          </w:tcPr>
          <w:p w14:paraId="7924B53C" w14:textId="77777777" w:rsidR="0090121B" w:rsidRPr="00BE551D" w:rsidRDefault="005D46FB" w:rsidP="00F80AB3">
            <w:pPr>
              <w:spacing w:before="400" w:after="48"/>
              <w:rPr>
                <w:rFonts w:ascii="Verdana" w:hAnsi="Verdana"/>
                <w:position w:val="6"/>
              </w:rPr>
            </w:pPr>
            <w:r w:rsidRPr="00BE551D">
              <w:rPr>
                <w:rFonts w:ascii="Verdana" w:hAnsi="Verdana" w:cs="Times"/>
                <w:b/>
                <w:position w:val="6"/>
                <w:sz w:val="20"/>
              </w:rPr>
              <w:t>Conferencia Mundial de Radiocomunicaciones (CMR-1</w:t>
            </w:r>
            <w:r w:rsidR="00C44E9E" w:rsidRPr="00BE551D">
              <w:rPr>
                <w:rFonts w:ascii="Verdana" w:hAnsi="Verdana" w:cs="Times"/>
                <w:b/>
                <w:position w:val="6"/>
                <w:sz w:val="20"/>
              </w:rPr>
              <w:t>9</w:t>
            </w:r>
            <w:r w:rsidRPr="00BE551D">
              <w:rPr>
                <w:rFonts w:ascii="Verdana" w:hAnsi="Verdana" w:cs="Times"/>
                <w:b/>
                <w:position w:val="6"/>
                <w:sz w:val="20"/>
              </w:rPr>
              <w:t>)</w:t>
            </w:r>
            <w:r w:rsidRPr="00BE551D">
              <w:rPr>
                <w:rFonts w:ascii="Verdana" w:hAnsi="Verdana" w:cs="Times"/>
                <w:b/>
                <w:position w:val="6"/>
                <w:sz w:val="20"/>
              </w:rPr>
              <w:br/>
            </w:r>
            <w:r w:rsidR="006124AD" w:rsidRPr="00BE551D">
              <w:rPr>
                <w:rFonts w:ascii="Verdana" w:hAnsi="Verdana"/>
                <w:b/>
                <w:bCs/>
                <w:position w:val="6"/>
                <w:sz w:val="17"/>
                <w:szCs w:val="17"/>
              </w:rPr>
              <w:t>Sharm el-Sheikh (Egipto)</w:t>
            </w:r>
            <w:r w:rsidRPr="00BE551D">
              <w:rPr>
                <w:rFonts w:ascii="Verdana" w:hAnsi="Verdana"/>
                <w:b/>
                <w:bCs/>
                <w:position w:val="6"/>
                <w:sz w:val="17"/>
                <w:szCs w:val="17"/>
              </w:rPr>
              <w:t>, 2</w:t>
            </w:r>
            <w:r w:rsidR="00C44E9E" w:rsidRPr="00BE551D">
              <w:rPr>
                <w:rFonts w:ascii="Verdana" w:hAnsi="Verdana"/>
                <w:b/>
                <w:bCs/>
                <w:position w:val="6"/>
                <w:sz w:val="17"/>
                <w:szCs w:val="17"/>
              </w:rPr>
              <w:t xml:space="preserve">8 de octubre </w:t>
            </w:r>
            <w:r w:rsidR="00DE1C31" w:rsidRPr="00BE551D">
              <w:rPr>
                <w:rFonts w:ascii="Verdana" w:hAnsi="Verdana"/>
                <w:b/>
                <w:bCs/>
                <w:position w:val="6"/>
                <w:sz w:val="17"/>
                <w:szCs w:val="17"/>
              </w:rPr>
              <w:t>–</w:t>
            </w:r>
            <w:r w:rsidR="00C44E9E" w:rsidRPr="00BE551D">
              <w:rPr>
                <w:rFonts w:ascii="Verdana" w:hAnsi="Verdana"/>
                <w:b/>
                <w:bCs/>
                <w:position w:val="6"/>
                <w:sz w:val="17"/>
                <w:szCs w:val="17"/>
              </w:rPr>
              <w:t xml:space="preserve"> </w:t>
            </w:r>
            <w:r w:rsidRPr="00BE551D">
              <w:rPr>
                <w:rFonts w:ascii="Verdana" w:hAnsi="Verdana"/>
                <w:b/>
                <w:bCs/>
                <w:position w:val="6"/>
                <w:sz w:val="17"/>
                <w:szCs w:val="17"/>
              </w:rPr>
              <w:t>2</w:t>
            </w:r>
            <w:r w:rsidR="00C44E9E" w:rsidRPr="00BE551D">
              <w:rPr>
                <w:rFonts w:ascii="Verdana" w:hAnsi="Verdana"/>
                <w:b/>
                <w:bCs/>
                <w:position w:val="6"/>
                <w:sz w:val="17"/>
                <w:szCs w:val="17"/>
              </w:rPr>
              <w:t>2</w:t>
            </w:r>
            <w:r w:rsidRPr="00BE551D">
              <w:rPr>
                <w:rFonts w:ascii="Verdana" w:hAnsi="Verdana"/>
                <w:b/>
                <w:bCs/>
                <w:position w:val="6"/>
                <w:sz w:val="17"/>
                <w:szCs w:val="17"/>
              </w:rPr>
              <w:t xml:space="preserve"> de noviembre de 201</w:t>
            </w:r>
            <w:r w:rsidR="00C44E9E" w:rsidRPr="00BE551D">
              <w:rPr>
                <w:rFonts w:ascii="Verdana" w:hAnsi="Verdana"/>
                <w:b/>
                <w:bCs/>
                <w:position w:val="6"/>
                <w:sz w:val="17"/>
                <w:szCs w:val="17"/>
              </w:rPr>
              <w:t>9</w:t>
            </w:r>
          </w:p>
        </w:tc>
        <w:tc>
          <w:tcPr>
            <w:tcW w:w="3120" w:type="dxa"/>
          </w:tcPr>
          <w:p w14:paraId="1049C43F" w14:textId="77777777" w:rsidR="0090121B" w:rsidRPr="00BE551D" w:rsidRDefault="00DA71A3" w:rsidP="00F80AB3">
            <w:pPr>
              <w:spacing w:before="0"/>
              <w:jc w:val="right"/>
            </w:pPr>
            <w:r w:rsidRPr="00BE551D">
              <w:rPr>
                <w:rFonts w:ascii="Verdana" w:hAnsi="Verdana"/>
                <w:b/>
                <w:bCs/>
                <w:noProof/>
                <w:szCs w:val="24"/>
                <w:lang w:eastAsia="zh-CN"/>
              </w:rPr>
              <w:drawing>
                <wp:inline distT="0" distB="0" distL="0" distR="0" wp14:anchorId="6330B4F5" wp14:editId="5E9B0148">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BE551D" w14:paraId="4BA971BB" w14:textId="77777777" w:rsidTr="0050008E">
        <w:trPr>
          <w:cantSplit/>
        </w:trPr>
        <w:tc>
          <w:tcPr>
            <w:tcW w:w="6911" w:type="dxa"/>
            <w:tcBorders>
              <w:bottom w:val="single" w:sz="12" w:space="0" w:color="auto"/>
            </w:tcBorders>
          </w:tcPr>
          <w:p w14:paraId="3A025817" w14:textId="77777777" w:rsidR="0090121B" w:rsidRPr="00BE551D" w:rsidRDefault="0090121B" w:rsidP="00F80AB3">
            <w:pPr>
              <w:spacing w:before="0" w:after="48"/>
              <w:rPr>
                <w:b/>
                <w:smallCaps/>
                <w:szCs w:val="24"/>
              </w:rPr>
            </w:pPr>
            <w:bookmarkStart w:id="0" w:name="dhead"/>
          </w:p>
        </w:tc>
        <w:tc>
          <w:tcPr>
            <w:tcW w:w="3120" w:type="dxa"/>
            <w:tcBorders>
              <w:bottom w:val="single" w:sz="12" w:space="0" w:color="auto"/>
            </w:tcBorders>
          </w:tcPr>
          <w:p w14:paraId="06FA4EB0" w14:textId="77777777" w:rsidR="0090121B" w:rsidRPr="00BE551D" w:rsidRDefault="0090121B" w:rsidP="00F80AB3">
            <w:pPr>
              <w:spacing w:before="0"/>
              <w:rPr>
                <w:rFonts w:ascii="Verdana" w:hAnsi="Verdana"/>
                <w:szCs w:val="24"/>
              </w:rPr>
            </w:pPr>
          </w:p>
        </w:tc>
      </w:tr>
      <w:tr w:rsidR="0090121B" w:rsidRPr="00BE551D" w14:paraId="734BE12D" w14:textId="77777777" w:rsidTr="0090121B">
        <w:trPr>
          <w:cantSplit/>
        </w:trPr>
        <w:tc>
          <w:tcPr>
            <w:tcW w:w="6911" w:type="dxa"/>
            <w:tcBorders>
              <w:top w:val="single" w:sz="12" w:space="0" w:color="auto"/>
            </w:tcBorders>
          </w:tcPr>
          <w:p w14:paraId="3E7CEAD3" w14:textId="77777777" w:rsidR="0090121B" w:rsidRPr="00BE551D" w:rsidRDefault="0090121B" w:rsidP="00F80AB3">
            <w:pPr>
              <w:spacing w:before="0" w:after="48"/>
              <w:rPr>
                <w:rFonts w:ascii="Verdana" w:hAnsi="Verdana"/>
                <w:b/>
                <w:smallCaps/>
                <w:sz w:val="20"/>
              </w:rPr>
            </w:pPr>
          </w:p>
        </w:tc>
        <w:tc>
          <w:tcPr>
            <w:tcW w:w="3120" w:type="dxa"/>
            <w:tcBorders>
              <w:top w:val="single" w:sz="12" w:space="0" w:color="auto"/>
            </w:tcBorders>
          </w:tcPr>
          <w:p w14:paraId="59497CF6" w14:textId="77777777" w:rsidR="0090121B" w:rsidRPr="00BE551D" w:rsidRDefault="0090121B" w:rsidP="00F80AB3">
            <w:pPr>
              <w:spacing w:before="0"/>
              <w:rPr>
                <w:rFonts w:ascii="Verdana" w:hAnsi="Verdana"/>
                <w:sz w:val="20"/>
              </w:rPr>
            </w:pPr>
          </w:p>
        </w:tc>
      </w:tr>
      <w:tr w:rsidR="0090121B" w:rsidRPr="00BE551D" w14:paraId="4F1B847C" w14:textId="77777777" w:rsidTr="0090121B">
        <w:trPr>
          <w:cantSplit/>
        </w:trPr>
        <w:tc>
          <w:tcPr>
            <w:tcW w:w="6911" w:type="dxa"/>
          </w:tcPr>
          <w:p w14:paraId="410A6632" w14:textId="77777777" w:rsidR="0090121B" w:rsidRPr="00BE551D" w:rsidRDefault="001E7D42" w:rsidP="00F80AB3">
            <w:pPr>
              <w:pStyle w:val="Committee"/>
              <w:framePr w:hSpace="0" w:wrap="auto" w:hAnchor="text" w:yAlign="inline"/>
              <w:spacing w:line="240" w:lineRule="auto"/>
              <w:rPr>
                <w:sz w:val="18"/>
                <w:szCs w:val="18"/>
                <w:lang w:val="es-ES_tradnl"/>
              </w:rPr>
            </w:pPr>
            <w:r w:rsidRPr="00BE551D">
              <w:rPr>
                <w:sz w:val="18"/>
                <w:szCs w:val="18"/>
                <w:lang w:val="es-ES_tradnl"/>
              </w:rPr>
              <w:t>SESIÓN PLENARIA</w:t>
            </w:r>
          </w:p>
        </w:tc>
        <w:tc>
          <w:tcPr>
            <w:tcW w:w="3120" w:type="dxa"/>
          </w:tcPr>
          <w:p w14:paraId="46FF66E7" w14:textId="77777777" w:rsidR="0090121B" w:rsidRPr="00BE551D" w:rsidRDefault="00AE658F" w:rsidP="00F80AB3">
            <w:pPr>
              <w:spacing w:before="0"/>
              <w:rPr>
                <w:rFonts w:ascii="Verdana" w:hAnsi="Verdana"/>
                <w:sz w:val="18"/>
                <w:szCs w:val="18"/>
              </w:rPr>
            </w:pPr>
            <w:r w:rsidRPr="00BE551D">
              <w:rPr>
                <w:rFonts w:ascii="Verdana" w:hAnsi="Verdana"/>
                <w:b/>
                <w:sz w:val="18"/>
                <w:szCs w:val="18"/>
              </w:rPr>
              <w:t>Addéndum 7 al</w:t>
            </w:r>
            <w:r w:rsidRPr="00BE551D">
              <w:rPr>
                <w:rFonts w:ascii="Verdana" w:hAnsi="Verdana"/>
                <w:b/>
                <w:sz w:val="18"/>
                <w:szCs w:val="18"/>
              </w:rPr>
              <w:br/>
              <w:t>Documento 16(Add.22)</w:t>
            </w:r>
            <w:r w:rsidR="0090121B" w:rsidRPr="00BE551D">
              <w:rPr>
                <w:rFonts w:ascii="Verdana" w:hAnsi="Verdana"/>
                <w:b/>
                <w:sz w:val="18"/>
                <w:szCs w:val="18"/>
              </w:rPr>
              <w:t>-</w:t>
            </w:r>
            <w:r w:rsidRPr="00BE551D">
              <w:rPr>
                <w:rFonts w:ascii="Verdana" w:hAnsi="Verdana"/>
                <w:b/>
                <w:sz w:val="18"/>
                <w:szCs w:val="18"/>
              </w:rPr>
              <w:t>S</w:t>
            </w:r>
          </w:p>
        </w:tc>
      </w:tr>
      <w:bookmarkEnd w:id="0"/>
      <w:tr w:rsidR="000A5B9A" w:rsidRPr="00BE551D" w14:paraId="010B14F2" w14:textId="77777777" w:rsidTr="0090121B">
        <w:trPr>
          <w:cantSplit/>
        </w:trPr>
        <w:tc>
          <w:tcPr>
            <w:tcW w:w="6911" w:type="dxa"/>
          </w:tcPr>
          <w:p w14:paraId="6DB65758" w14:textId="77777777" w:rsidR="000A5B9A" w:rsidRPr="00BE551D" w:rsidRDefault="000A5B9A" w:rsidP="00F80AB3">
            <w:pPr>
              <w:spacing w:before="0" w:after="48"/>
              <w:rPr>
                <w:rFonts w:ascii="Verdana" w:hAnsi="Verdana"/>
                <w:b/>
                <w:smallCaps/>
                <w:sz w:val="18"/>
                <w:szCs w:val="18"/>
              </w:rPr>
            </w:pPr>
          </w:p>
        </w:tc>
        <w:tc>
          <w:tcPr>
            <w:tcW w:w="3120" w:type="dxa"/>
          </w:tcPr>
          <w:p w14:paraId="0741C40F" w14:textId="77777777" w:rsidR="000A5B9A" w:rsidRPr="00BE551D" w:rsidRDefault="000A5B9A" w:rsidP="00F80AB3">
            <w:pPr>
              <w:spacing w:before="0"/>
              <w:rPr>
                <w:rFonts w:ascii="Verdana" w:hAnsi="Verdana"/>
                <w:b/>
                <w:sz w:val="18"/>
                <w:szCs w:val="18"/>
              </w:rPr>
            </w:pPr>
            <w:r w:rsidRPr="00BE551D">
              <w:rPr>
                <w:rFonts w:ascii="Verdana" w:hAnsi="Verdana"/>
                <w:b/>
                <w:sz w:val="18"/>
                <w:szCs w:val="18"/>
              </w:rPr>
              <w:t>7 de octubre de 2019</w:t>
            </w:r>
          </w:p>
        </w:tc>
      </w:tr>
      <w:tr w:rsidR="000A5B9A" w:rsidRPr="00BE551D" w14:paraId="2B9A0111" w14:textId="77777777" w:rsidTr="0090121B">
        <w:trPr>
          <w:cantSplit/>
        </w:trPr>
        <w:tc>
          <w:tcPr>
            <w:tcW w:w="6911" w:type="dxa"/>
          </w:tcPr>
          <w:p w14:paraId="212F42CF" w14:textId="77777777" w:rsidR="000A5B9A" w:rsidRPr="00BE551D" w:rsidRDefault="000A5B9A" w:rsidP="00F80AB3">
            <w:pPr>
              <w:spacing w:before="0" w:after="48"/>
              <w:rPr>
                <w:rFonts w:ascii="Verdana" w:hAnsi="Verdana"/>
                <w:b/>
                <w:smallCaps/>
                <w:sz w:val="18"/>
                <w:szCs w:val="18"/>
              </w:rPr>
            </w:pPr>
          </w:p>
        </w:tc>
        <w:tc>
          <w:tcPr>
            <w:tcW w:w="3120" w:type="dxa"/>
          </w:tcPr>
          <w:p w14:paraId="2D22D033" w14:textId="77777777" w:rsidR="000A5B9A" w:rsidRPr="00BE551D" w:rsidRDefault="000A5B9A" w:rsidP="00F80AB3">
            <w:pPr>
              <w:spacing w:before="0"/>
              <w:rPr>
                <w:rFonts w:ascii="Verdana" w:hAnsi="Verdana"/>
                <w:b/>
                <w:sz w:val="18"/>
                <w:szCs w:val="18"/>
              </w:rPr>
            </w:pPr>
            <w:r w:rsidRPr="00BE551D">
              <w:rPr>
                <w:rFonts w:ascii="Verdana" w:hAnsi="Verdana"/>
                <w:b/>
                <w:sz w:val="18"/>
                <w:szCs w:val="18"/>
              </w:rPr>
              <w:t>Original: inglés</w:t>
            </w:r>
          </w:p>
        </w:tc>
      </w:tr>
      <w:tr w:rsidR="000A5B9A" w:rsidRPr="00BE551D" w14:paraId="66B4CF15" w14:textId="77777777" w:rsidTr="006744FC">
        <w:trPr>
          <w:cantSplit/>
        </w:trPr>
        <w:tc>
          <w:tcPr>
            <w:tcW w:w="10031" w:type="dxa"/>
            <w:gridSpan w:val="2"/>
          </w:tcPr>
          <w:p w14:paraId="4E27C4C6" w14:textId="77777777" w:rsidR="000A5B9A" w:rsidRPr="00BE551D" w:rsidRDefault="000A5B9A" w:rsidP="00F80AB3">
            <w:pPr>
              <w:spacing w:before="0"/>
              <w:rPr>
                <w:rFonts w:ascii="Verdana" w:hAnsi="Verdana"/>
                <w:b/>
                <w:sz w:val="18"/>
                <w:szCs w:val="22"/>
              </w:rPr>
            </w:pPr>
          </w:p>
        </w:tc>
      </w:tr>
      <w:tr w:rsidR="000A5B9A" w:rsidRPr="00BE551D" w14:paraId="671B1782" w14:textId="77777777" w:rsidTr="0050008E">
        <w:trPr>
          <w:cantSplit/>
        </w:trPr>
        <w:tc>
          <w:tcPr>
            <w:tcW w:w="10031" w:type="dxa"/>
            <w:gridSpan w:val="2"/>
          </w:tcPr>
          <w:p w14:paraId="41795768" w14:textId="77777777" w:rsidR="000A5B9A" w:rsidRPr="00BE551D" w:rsidRDefault="000A5B9A" w:rsidP="00F80AB3">
            <w:pPr>
              <w:pStyle w:val="Source"/>
            </w:pPr>
            <w:bookmarkStart w:id="1" w:name="dsource" w:colFirst="0" w:colLast="0"/>
            <w:r w:rsidRPr="00BE551D">
              <w:t>Propuestas Comunes Europeas</w:t>
            </w:r>
          </w:p>
        </w:tc>
      </w:tr>
      <w:tr w:rsidR="000A5B9A" w:rsidRPr="00BE551D" w14:paraId="5FD76BE8" w14:textId="77777777" w:rsidTr="0050008E">
        <w:trPr>
          <w:cantSplit/>
        </w:trPr>
        <w:tc>
          <w:tcPr>
            <w:tcW w:w="10031" w:type="dxa"/>
            <w:gridSpan w:val="2"/>
          </w:tcPr>
          <w:p w14:paraId="1561B131" w14:textId="7FABA4E9" w:rsidR="000A5B9A" w:rsidRPr="00BE551D" w:rsidRDefault="00100AD0" w:rsidP="00F80AB3">
            <w:pPr>
              <w:pStyle w:val="Title1"/>
            </w:pPr>
            <w:bookmarkStart w:id="2" w:name="dtitle1" w:colFirst="0" w:colLast="0"/>
            <w:bookmarkEnd w:id="1"/>
            <w:r w:rsidRPr="00BE551D">
              <w:t>Propuestas para los trabajos de la Conferencia</w:t>
            </w:r>
          </w:p>
        </w:tc>
      </w:tr>
      <w:tr w:rsidR="000A5B9A" w:rsidRPr="00BE551D" w14:paraId="2E1EA6FA" w14:textId="77777777" w:rsidTr="0050008E">
        <w:trPr>
          <w:cantSplit/>
        </w:trPr>
        <w:tc>
          <w:tcPr>
            <w:tcW w:w="10031" w:type="dxa"/>
            <w:gridSpan w:val="2"/>
          </w:tcPr>
          <w:p w14:paraId="66538B94" w14:textId="77777777" w:rsidR="000A5B9A" w:rsidRPr="00BE551D" w:rsidRDefault="000A5B9A" w:rsidP="00F80AB3">
            <w:pPr>
              <w:pStyle w:val="Title2"/>
            </w:pPr>
            <w:bookmarkStart w:id="3" w:name="dtitle2" w:colFirst="0" w:colLast="0"/>
            <w:bookmarkEnd w:id="2"/>
          </w:p>
        </w:tc>
      </w:tr>
      <w:tr w:rsidR="000A5B9A" w:rsidRPr="00BE551D" w14:paraId="20A45C57" w14:textId="77777777" w:rsidTr="0050008E">
        <w:trPr>
          <w:cantSplit/>
        </w:trPr>
        <w:tc>
          <w:tcPr>
            <w:tcW w:w="10031" w:type="dxa"/>
            <w:gridSpan w:val="2"/>
          </w:tcPr>
          <w:p w14:paraId="68F8821C" w14:textId="77777777" w:rsidR="000A5B9A" w:rsidRPr="00BE551D" w:rsidRDefault="000A5B9A" w:rsidP="00F80AB3">
            <w:pPr>
              <w:pStyle w:val="Agendaitem"/>
            </w:pPr>
            <w:bookmarkStart w:id="4" w:name="dtitle3" w:colFirst="0" w:colLast="0"/>
            <w:bookmarkEnd w:id="3"/>
            <w:r w:rsidRPr="00BE551D">
              <w:t>Punto 9.2 del orden del día</w:t>
            </w:r>
          </w:p>
        </w:tc>
      </w:tr>
    </w:tbl>
    <w:bookmarkEnd w:id="4"/>
    <w:p w14:paraId="5C774C39" w14:textId="77777777" w:rsidR="001C0E40" w:rsidRPr="00BE551D" w:rsidRDefault="00B815E8" w:rsidP="00F80AB3">
      <w:r w:rsidRPr="00BE551D">
        <w:t>9</w:t>
      </w:r>
      <w:r w:rsidRPr="00BE551D">
        <w:tab/>
        <w:t>examinar y aprobar el Informe del Director de la Oficina de Radiocomunicaciones, de conformidad con el Artículo 7 del Convenio:</w:t>
      </w:r>
    </w:p>
    <w:p w14:paraId="67B3FFA5" w14:textId="77777777" w:rsidR="001C0E40" w:rsidRPr="00BE551D" w:rsidRDefault="00B815E8" w:rsidP="00F80AB3">
      <w:r w:rsidRPr="00BE551D">
        <w:t>9.2</w:t>
      </w:r>
      <w:r w:rsidRPr="00BE551D">
        <w:tab/>
        <w:t>sobre las dificultades o incoherencias observadas en la aplicación del Reglamento de Radiocomunicaciones</w:t>
      </w:r>
      <w:r w:rsidRPr="00BE551D">
        <w:rPr>
          <w:position w:val="6"/>
          <w:sz w:val="18"/>
        </w:rPr>
        <w:footnoteReference w:customMarkFollows="1" w:id="1"/>
        <w:t>*</w:t>
      </w:r>
      <w:r w:rsidRPr="00BE551D">
        <w:t>; y</w:t>
      </w:r>
    </w:p>
    <w:p w14:paraId="7CF37021" w14:textId="4FC20A0E" w:rsidR="00545B1B" w:rsidRPr="00BE551D" w:rsidRDefault="00545B1B" w:rsidP="00F80AB3">
      <w:pPr>
        <w:pStyle w:val="Title4"/>
      </w:pPr>
      <w:r w:rsidRPr="00BE551D">
        <w:t>Part</w:t>
      </w:r>
      <w:r w:rsidR="00BE551D">
        <w:t>e</w:t>
      </w:r>
      <w:r w:rsidRPr="00BE551D">
        <w:t xml:space="preserve"> 7 – </w:t>
      </w:r>
      <w:r w:rsidR="00BE551D" w:rsidRPr="00BE551D">
        <w:t>Sec</w:t>
      </w:r>
      <w:r w:rsidR="00BE551D">
        <w:t>c</w:t>
      </w:r>
      <w:r w:rsidR="00BE551D" w:rsidRPr="00BE551D">
        <w:t>ión</w:t>
      </w:r>
      <w:r w:rsidRPr="00BE551D">
        <w:t xml:space="preserve"> 3.2.4.3 </w:t>
      </w:r>
      <w:r w:rsidR="00BE551D">
        <w:t>del Informe del Director de la</w:t>
      </w:r>
      <w:r w:rsidRPr="00BE551D">
        <w:t xml:space="preserve"> BR</w:t>
      </w:r>
    </w:p>
    <w:p w14:paraId="2221AF01" w14:textId="28AB493D" w:rsidR="00545B1B" w:rsidRPr="00BE551D" w:rsidRDefault="00BE551D">
      <w:pPr>
        <w:pStyle w:val="Headingb"/>
      </w:pPr>
      <w:r w:rsidRPr="00BE551D">
        <w:t>Introducción</w:t>
      </w:r>
    </w:p>
    <w:p w14:paraId="01438D83" w14:textId="621939BE" w:rsidR="00545B1B" w:rsidRPr="00BE551D" w:rsidRDefault="00BE551D">
      <w:r>
        <w:t xml:space="preserve">En este Addéndum se presenta la Propuesta Común Europea respecto de la sección </w:t>
      </w:r>
      <w:r w:rsidR="00545B1B" w:rsidRPr="00BE551D">
        <w:t xml:space="preserve">3.2.4.3 </w:t>
      </w:r>
      <w:r w:rsidRPr="00BE551D">
        <w:t xml:space="preserve">del </w:t>
      </w:r>
      <w:r w:rsidR="00C42DC7">
        <w:t xml:space="preserve">Informe </w:t>
      </w:r>
      <w:r w:rsidR="00702D2E">
        <w:t xml:space="preserve">del </w:t>
      </w:r>
      <w:r w:rsidRPr="00BE551D">
        <w:t xml:space="preserve">Director de la BR </w:t>
      </w:r>
      <w:r>
        <w:t xml:space="preserve">en el marco del punto 9.2 del orden del día de la CMR-19. La sección </w:t>
      </w:r>
      <w:r w:rsidR="00545B1B" w:rsidRPr="00BE551D">
        <w:t xml:space="preserve">3.2.4.3 </w:t>
      </w:r>
      <w:r>
        <w:t>trata de un recordatorio en el caso del plazo para solicitar una extensión de la validez de la asignación al SRS por quince años adicionales.</w:t>
      </w:r>
    </w:p>
    <w:p w14:paraId="17988D65" w14:textId="47117D07" w:rsidR="00545B1B" w:rsidRPr="00BE551D" w:rsidRDefault="00BE551D">
      <w:r>
        <w:t xml:space="preserve">Las disposiciones del </w:t>
      </w:r>
      <w:r w:rsidRPr="00BE551D">
        <w:t xml:space="preserve">§ 4.1.24 </w:t>
      </w:r>
      <w:r>
        <w:t xml:space="preserve">de los Apéndices </w:t>
      </w:r>
      <w:r w:rsidRPr="00BE551D">
        <w:rPr>
          <w:b/>
          <w:bCs/>
        </w:rPr>
        <w:t>30</w:t>
      </w:r>
      <w:r>
        <w:t xml:space="preserve"> y </w:t>
      </w:r>
      <w:r w:rsidRPr="00BE551D">
        <w:rPr>
          <w:b/>
          <w:bCs/>
        </w:rPr>
        <w:t>30A</w:t>
      </w:r>
      <w:r>
        <w:t xml:space="preserve"> del RR se especifica que n</w:t>
      </w:r>
      <w:r w:rsidR="00545B1B" w:rsidRPr="00BE551D">
        <w:t xml:space="preserve">inguna asignación de la Lista tendrá un periodo de funcionamiento que supere los 15 años, a partir de la fecha de puesta en servicio, o del 2 de junio de 2000, </w:t>
      </w:r>
      <w:r>
        <w:t xml:space="preserve">la </w:t>
      </w:r>
      <w:r w:rsidR="00545B1B" w:rsidRPr="00BE551D">
        <w:t xml:space="preserve">fecha </w:t>
      </w:r>
      <w:r>
        <w:t>que sea</w:t>
      </w:r>
      <w:r w:rsidR="00545B1B" w:rsidRPr="00BE551D">
        <w:t xml:space="preserve"> posterior. </w:t>
      </w:r>
      <w:r>
        <w:t>D</w:t>
      </w:r>
      <w:r w:rsidRPr="00BE551D">
        <w:t>icho periodo podrá prorrogarse hasta 15 años como máximo, a condición de que todas las características de la asignación permanezcan invariables</w:t>
      </w:r>
      <w:r>
        <w:t xml:space="preserve"> y que la solicitud para dicha prórroga haya sido </w:t>
      </w:r>
      <w:r w:rsidR="00545B1B" w:rsidRPr="00BE551D">
        <w:t xml:space="preserve">recibida por la Oficina por lo menos tres años antes de la expiración de </w:t>
      </w:r>
      <w:r>
        <w:t>los primeros 15 años.</w:t>
      </w:r>
    </w:p>
    <w:p w14:paraId="52751503" w14:textId="76A6C769" w:rsidR="00545B1B" w:rsidRPr="00BE551D" w:rsidRDefault="00BE551D">
      <w:r>
        <w:t>Con el fin de ayudar a las administraciones en cuestión para que sus asignaciones de frecuencias no sean eliminadas de la Lista de la Región 1 y 3 ni del Registro Internacional de Frecuencia</w:t>
      </w:r>
      <w:r w:rsidR="008211B4">
        <w:t>s</w:t>
      </w:r>
      <w:r>
        <w:t xml:space="preserve">, se propone añadir </w:t>
      </w:r>
      <w:r w:rsidR="008211B4">
        <w:t>una obligación para la Oficina de enviar un recordatorio a las administraciones en cuestión 30 días antes del plazo para la recepción de la solicitud de prórroga.</w:t>
      </w:r>
    </w:p>
    <w:p w14:paraId="70B3F7B4" w14:textId="773D02FF" w:rsidR="00545B1B" w:rsidRPr="00BE551D" w:rsidRDefault="008211B4">
      <w:r>
        <w:t xml:space="preserve">Además de esto, la Oficina ha recibido fuera de plazo algunas solicitudes de ampliación del periodo de funcionamiento de las asignaciones de frecuencias. En consecuencia, la Oficina empezó a enviar recordatorios a las administraciones interesadas 30 días antes de que se cumpliera el plazo y ha </w:t>
      </w:r>
      <w:r>
        <w:lastRenderedPageBreak/>
        <w:t>informado de estos casos a la Junta del Reglamento de Radiocomunicaciones. La Junta refrendó esta manera de proceder de la Oficina.</w:t>
      </w:r>
    </w:p>
    <w:p w14:paraId="4332B438" w14:textId="068FC270" w:rsidR="00545B1B" w:rsidRPr="00BE551D" w:rsidRDefault="008211B4">
      <w:bookmarkStart w:id="5" w:name="_Hlk22202603"/>
      <w:r>
        <w:t xml:space="preserve">La introducción de una obligación para la Oficina de enviar un recordatorio a la administración notificante al menos 30 días antes de que se cumpla el plazo para la solicitud de una prórroga de la asignación de frecuencias incluida en la Lista de la Región 1 y 3 que se ha puesto en servicio y sigue en servicio con todas sus características técnicas inalteradas redundaría en beneficio de todas las administraciones interesadas en aplicar </w:t>
      </w:r>
      <w:r w:rsidR="00B5489E">
        <w:t xml:space="preserve">a tiempo </w:t>
      </w:r>
      <w:r>
        <w:t xml:space="preserve">las disposiciones del </w:t>
      </w:r>
      <w:r w:rsidR="00545B1B" w:rsidRPr="00BE551D">
        <w:t xml:space="preserve">§ 4.1.24 </w:t>
      </w:r>
      <w:r>
        <w:t>de los Apéndices</w:t>
      </w:r>
      <w:r w:rsidR="00C42DC7">
        <w:t> </w:t>
      </w:r>
      <w:r w:rsidR="00545B1B" w:rsidRPr="00BE551D">
        <w:rPr>
          <w:b/>
        </w:rPr>
        <w:t>30</w:t>
      </w:r>
      <w:r w:rsidR="00545B1B" w:rsidRPr="00BE551D">
        <w:t xml:space="preserve"> </w:t>
      </w:r>
      <w:r>
        <w:t>y</w:t>
      </w:r>
      <w:r w:rsidR="00545B1B" w:rsidRPr="00BE551D">
        <w:t xml:space="preserve"> </w:t>
      </w:r>
      <w:r w:rsidR="00545B1B" w:rsidRPr="00BE551D">
        <w:rPr>
          <w:b/>
        </w:rPr>
        <w:t>30A</w:t>
      </w:r>
      <w:r w:rsidR="00545B1B" w:rsidRPr="00BE551D">
        <w:t xml:space="preserve"> </w:t>
      </w:r>
      <w:r>
        <w:t>del RR</w:t>
      </w:r>
      <w:bookmarkEnd w:id="5"/>
      <w:r>
        <w:t>.</w:t>
      </w:r>
    </w:p>
    <w:p w14:paraId="0B389DB1" w14:textId="7C2C8A0A" w:rsidR="00545B1B" w:rsidRPr="00BE551D" w:rsidRDefault="00545B1B">
      <w:pPr>
        <w:pStyle w:val="Headingb"/>
      </w:pPr>
      <w:r w:rsidRPr="00BE551D">
        <w:t>Prop</w:t>
      </w:r>
      <w:r w:rsidR="008211B4">
        <w:t>uestas</w:t>
      </w:r>
    </w:p>
    <w:p w14:paraId="1FB7601C" w14:textId="77777777" w:rsidR="008750A8" w:rsidRPr="00BE551D" w:rsidRDefault="008750A8" w:rsidP="00F80AB3">
      <w:pPr>
        <w:tabs>
          <w:tab w:val="clear" w:pos="1134"/>
          <w:tab w:val="clear" w:pos="1871"/>
          <w:tab w:val="clear" w:pos="2268"/>
        </w:tabs>
        <w:overflowPunct/>
        <w:autoSpaceDE/>
        <w:autoSpaceDN/>
        <w:adjustRightInd/>
        <w:spacing w:before="0"/>
        <w:textAlignment w:val="auto"/>
      </w:pPr>
      <w:r w:rsidRPr="00BE551D">
        <w:br w:type="page"/>
      </w:r>
    </w:p>
    <w:p w14:paraId="58EEDBFA" w14:textId="77777777" w:rsidR="00B063AE" w:rsidRPr="00BE551D" w:rsidRDefault="00B815E8" w:rsidP="00F80AB3">
      <w:pPr>
        <w:pStyle w:val="AppendixNo"/>
        <w:spacing w:before="240"/>
        <w:rPr>
          <w:vertAlign w:val="superscript"/>
        </w:rPr>
      </w:pPr>
      <w:r w:rsidRPr="00BE551D">
        <w:lastRenderedPageBreak/>
        <w:t xml:space="preserve">APÉNDICE </w:t>
      </w:r>
      <w:r w:rsidRPr="00BE551D">
        <w:rPr>
          <w:rStyle w:val="href"/>
          <w:color w:val="000000"/>
        </w:rPr>
        <w:t xml:space="preserve">30 </w:t>
      </w:r>
      <w:r w:rsidRPr="00BE551D">
        <w:t>(</w:t>
      </w:r>
      <w:r w:rsidRPr="00BE551D">
        <w:rPr>
          <w:caps w:val="0"/>
        </w:rPr>
        <w:t>REV</w:t>
      </w:r>
      <w:r w:rsidRPr="00BE551D">
        <w:t>.CMR-15)</w:t>
      </w:r>
      <w:r w:rsidRPr="00BE551D">
        <w:rPr>
          <w:rStyle w:val="FootnoteReference"/>
          <w:color w:val="000000"/>
        </w:rPr>
        <w:footnoteReference w:customMarkFollows="1" w:id="2"/>
        <w:t>*</w:t>
      </w:r>
    </w:p>
    <w:p w14:paraId="5E79DC70" w14:textId="77777777" w:rsidR="00B063AE" w:rsidRPr="00BE551D" w:rsidRDefault="00B815E8" w:rsidP="00F80AB3">
      <w:pPr>
        <w:pStyle w:val="Appendixtitle"/>
        <w:rPr>
          <w:b w:val="0"/>
          <w:bCs/>
          <w:color w:val="000000"/>
          <w:sz w:val="16"/>
        </w:rPr>
      </w:pPr>
      <w:r w:rsidRPr="00BE551D">
        <w:rPr>
          <w:color w:val="000000"/>
        </w:rPr>
        <w:t>Disposiciones aplicables a todos los servicios y Planes y Lista</w:t>
      </w:r>
      <w:r w:rsidRPr="00BE551D">
        <w:rPr>
          <w:rStyle w:val="FootnoteReference"/>
          <w:b w:val="0"/>
          <w:bCs/>
          <w:color w:val="000000"/>
        </w:rPr>
        <w:footnoteReference w:customMarkFollows="1" w:id="3"/>
        <w:t>1</w:t>
      </w:r>
      <w:r w:rsidRPr="00BE551D">
        <w:rPr>
          <w:color w:val="000000"/>
        </w:rPr>
        <w:t xml:space="preserve"> asociados</w:t>
      </w:r>
      <w:r w:rsidRPr="00BE551D">
        <w:rPr>
          <w:color w:val="000000"/>
        </w:rPr>
        <w:br/>
        <w:t>para el servicio de radiodifusión por satélite en las bandas de</w:t>
      </w:r>
      <w:r w:rsidRPr="00BE551D">
        <w:rPr>
          <w:color w:val="000000"/>
        </w:rPr>
        <w:br/>
        <w:t>frecuencias 11,7</w:t>
      </w:r>
      <w:r w:rsidRPr="00BE551D">
        <w:rPr>
          <w:color w:val="000000"/>
        </w:rPr>
        <w:noBreakHyphen/>
        <w:t>12,2 GHz (en la Región 3), 11,7-12,5 GHz</w:t>
      </w:r>
      <w:r w:rsidRPr="00BE551D">
        <w:rPr>
          <w:color w:val="000000"/>
        </w:rPr>
        <w:br/>
        <w:t>            (en la Región 1) y 12,2</w:t>
      </w:r>
      <w:r w:rsidRPr="00BE551D">
        <w:rPr>
          <w:color w:val="000000"/>
        </w:rPr>
        <w:noBreakHyphen/>
        <w:t>12,7 GHz (en la Región 2)</w:t>
      </w:r>
      <w:r w:rsidRPr="00BE551D">
        <w:rPr>
          <w:b w:val="0"/>
          <w:bCs/>
          <w:color w:val="000000"/>
          <w:sz w:val="16"/>
        </w:rPr>
        <w:t>     </w:t>
      </w:r>
      <w:r w:rsidRPr="00BE551D">
        <w:rPr>
          <w:rFonts w:ascii="Times New Roman"/>
          <w:b w:val="0"/>
          <w:bCs/>
          <w:color w:val="000000"/>
          <w:sz w:val="16"/>
        </w:rPr>
        <w:t>(CMR</w:t>
      </w:r>
      <w:r w:rsidRPr="00BE551D">
        <w:rPr>
          <w:rFonts w:ascii="Times New Roman"/>
          <w:b w:val="0"/>
          <w:bCs/>
          <w:color w:val="000000"/>
          <w:sz w:val="16"/>
        </w:rPr>
        <w:noBreakHyphen/>
        <w:t>03)</w:t>
      </w:r>
    </w:p>
    <w:p w14:paraId="040A8DA2" w14:textId="77777777" w:rsidR="00B063AE" w:rsidRPr="00BE551D" w:rsidRDefault="00B815E8" w:rsidP="00F80AB3">
      <w:pPr>
        <w:pStyle w:val="AppArtNo"/>
        <w:rPr>
          <w:color w:val="000000"/>
        </w:rPr>
      </w:pPr>
      <w:r w:rsidRPr="00BE551D">
        <w:rPr>
          <w:color w:val="000000"/>
        </w:rPr>
        <w:t>                  ARTÍCULO 4</w:t>
      </w:r>
      <w:r w:rsidRPr="00BE551D">
        <w:rPr>
          <w:color w:val="000000"/>
          <w:sz w:val="16"/>
        </w:rPr>
        <w:t>     (Rev.CMR</w:t>
      </w:r>
      <w:r w:rsidRPr="00BE551D">
        <w:rPr>
          <w:color w:val="000000"/>
          <w:sz w:val="16"/>
        </w:rPr>
        <w:noBreakHyphen/>
        <w:t>15)</w:t>
      </w:r>
    </w:p>
    <w:p w14:paraId="23E82445" w14:textId="77777777" w:rsidR="00B063AE" w:rsidRPr="00BE551D" w:rsidRDefault="00B815E8" w:rsidP="00F80AB3">
      <w:pPr>
        <w:pStyle w:val="AppArttitle"/>
        <w:rPr>
          <w:color w:val="000000"/>
        </w:rPr>
      </w:pPr>
      <w:r w:rsidRPr="00BE551D">
        <w:rPr>
          <w:color w:val="000000"/>
        </w:rPr>
        <w:t>Procedimientos para las modificaciones del Plan de la Región 2</w:t>
      </w:r>
      <w:r w:rsidRPr="00BE551D">
        <w:rPr>
          <w:color w:val="000000"/>
        </w:rPr>
        <w:br/>
        <w:t>o para los usos adicionales en las Regiones 1 y 3</w:t>
      </w:r>
      <w:r w:rsidRPr="00BE551D">
        <w:rPr>
          <w:rStyle w:val="FootnoteReference"/>
          <w:b w:val="0"/>
          <w:bCs/>
          <w:color w:val="000000"/>
        </w:rPr>
        <w:footnoteReference w:customMarkFollows="1" w:id="4"/>
        <w:t>3</w:t>
      </w:r>
    </w:p>
    <w:p w14:paraId="1BC4292F" w14:textId="77777777" w:rsidR="00B063AE" w:rsidRPr="00BE551D" w:rsidRDefault="00B815E8" w:rsidP="00F80AB3">
      <w:pPr>
        <w:pStyle w:val="Heading2"/>
        <w:rPr>
          <w:color w:val="000000"/>
        </w:rPr>
      </w:pPr>
      <w:r w:rsidRPr="00BE551D">
        <w:rPr>
          <w:color w:val="000000"/>
        </w:rPr>
        <w:t>4.1</w:t>
      </w:r>
      <w:r w:rsidRPr="00BE551D">
        <w:rPr>
          <w:color w:val="000000"/>
        </w:rPr>
        <w:tab/>
        <w:t>Disposiciones aplicables a las Regiones 1 y 3</w:t>
      </w:r>
    </w:p>
    <w:p w14:paraId="4F6CB9CE" w14:textId="77777777" w:rsidR="00D10CFA" w:rsidRPr="00BE551D" w:rsidRDefault="00B815E8" w:rsidP="00F80AB3">
      <w:pPr>
        <w:pStyle w:val="Proposal"/>
      </w:pPr>
      <w:r w:rsidRPr="00BE551D">
        <w:t>MOD</w:t>
      </w:r>
      <w:r w:rsidRPr="00BE551D">
        <w:tab/>
        <w:t>EUR/16A22A7/1</w:t>
      </w:r>
    </w:p>
    <w:p w14:paraId="1920E37D" w14:textId="71643177" w:rsidR="00B063AE" w:rsidRPr="00BE551D" w:rsidRDefault="00B815E8" w:rsidP="00AA0FA0">
      <w:r w:rsidRPr="00BE551D">
        <w:rPr>
          <w:rStyle w:val="Provsplit"/>
        </w:rPr>
        <w:t>4.1.24</w:t>
      </w:r>
      <w:r w:rsidRPr="00BE551D">
        <w:tab/>
        <w:t>Ninguna asignación de la Lista tendrá un periodo de funcionamiento que supere los 15 años, a partir de la fecha de puesta en servicio, o del 2 de junio de 2000, si esta fecha es posterior. A petición de la administración responsable, recibida por la Oficina por lo menos tres años antes de la expiración de este periodo, dicho periodo podrá prorrogarse hasta 15 años como máximo, a condición de que todas las características de la asignación permanezcan invariables</w:t>
      </w:r>
      <w:ins w:id="6" w:author="Spanish" w:date="2019-10-16T16:45:00Z">
        <w:r w:rsidRPr="00BE551D">
          <w:rPr>
            <w:rStyle w:val="FootnoteReference"/>
            <w:color w:val="000000"/>
          </w:rPr>
          <w:footnoteReference w:customMarkFollows="1" w:id="5"/>
          <w:t>a</w:t>
        </w:r>
      </w:ins>
      <w:r w:rsidRPr="00BE551D">
        <w:t>.</w:t>
      </w:r>
      <w:ins w:id="12" w:author="Spanish" w:date="2019-10-16T16:44:00Z">
        <w:r w:rsidRPr="00BE551D">
          <w:rPr>
            <w:sz w:val="16"/>
          </w:rPr>
          <w:t>     (CMR</w:t>
        </w:r>
        <w:r w:rsidRPr="00BE551D">
          <w:rPr>
            <w:sz w:val="16"/>
          </w:rPr>
          <w:noBreakHyphen/>
          <w:t>19)</w:t>
        </w:r>
      </w:ins>
    </w:p>
    <w:p w14:paraId="1DC3E91C" w14:textId="39557B7F" w:rsidR="00D10CFA" w:rsidRPr="00BE551D" w:rsidRDefault="00B815E8" w:rsidP="00F80AB3">
      <w:pPr>
        <w:pStyle w:val="Reasons"/>
      </w:pPr>
      <w:r w:rsidRPr="00BE551D">
        <w:rPr>
          <w:b/>
        </w:rPr>
        <w:t>Motivos</w:t>
      </w:r>
      <w:r w:rsidRPr="00C808B0">
        <w:rPr>
          <w:bCs/>
        </w:rPr>
        <w:t>:</w:t>
      </w:r>
      <w:r w:rsidRPr="00C808B0">
        <w:rPr>
          <w:bCs/>
        </w:rPr>
        <w:tab/>
      </w:r>
      <w:r w:rsidR="008211B4" w:rsidRPr="008211B4">
        <w:t>La introducción de una obligación para la Oficina de enviar un recordatorio al menos 30</w:t>
      </w:r>
      <w:r w:rsidR="00C808B0">
        <w:t> </w:t>
      </w:r>
      <w:r w:rsidR="008211B4" w:rsidRPr="008211B4">
        <w:t xml:space="preserve">días antes de que se cumpla el plazo para la solicitud de prórroga </w:t>
      </w:r>
      <w:r w:rsidR="008211B4">
        <w:t xml:space="preserve">del periodo de funcionamiento </w:t>
      </w:r>
      <w:r w:rsidR="008211B4" w:rsidRPr="008211B4">
        <w:t xml:space="preserve">de la asignación de frecuencias en la Lista de la Región 1 y 3 redundaría en beneficio de todas las administraciones interesadas en aplicar </w:t>
      </w:r>
      <w:r w:rsidR="00B5489E">
        <w:t xml:space="preserve">a tiempo </w:t>
      </w:r>
      <w:r w:rsidR="008211B4" w:rsidRPr="008211B4">
        <w:t xml:space="preserve">las disposiciones del § 4.1.24 de los Apéndices </w:t>
      </w:r>
      <w:r w:rsidR="008211B4" w:rsidRPr="007F2061">
        <w:rPr>
          <w:b/>
          <w:bCs/>
        </w:rPr>
        <w:t>30</w:t>
      </w:r>
      <w:r w:rsidR="008211B4" w:rsidRPr="008211B4">
        <w:t xml:space="preserve"> y </w:t>
      </w:r>
      <w:r w:rsidR="008211B4" w:rsidRPr="007F2061">
        <w:rPr>
          <w:b/>
          <w:bCs/>
        </w:rPr>
        <w:t>30A</w:t>
      </w:r>
      <w:r w:rsidR="008211B4" w:rsidRPr="008211B4">
        <w:t xml:space="preserve"> del RR</w:t>
      </w:r>
      <w:r w:rsidR="00B5489E">
        <w:t>.</w:t>
      </w:r>
    </w:p>
    <w:p w14:paraId="7FD2A192" w14:textId="77777777" w:rsidR="00B063AE" w:rsidRPr="00BE551D" w:rsidRDefault="00B815E8" w:rsidP="00F80AB3">
      <w:pPr>
        <w:pStyle w:val="AppendixNo"/>
        <w:spacing w:before="0"/>
        <w:rPr>
          <w:rStyle w:val="FootnoteReference"/>
        </w:rPr>
      </w:pPr>
      <w:r w:rsidRPr="00BE551D">
        <w:rPr>
          <w:color w:val="000000"/>
        </w:rPr>
        <w:lastRenderedPageBreak/>
        <w:t xml:space="preserve">APÉNDICE </w:t>
      </w:r>
      <w:r w:rsidRPr="00BE551D">
        <w:rPr>
          <w:rStyle w:val="href"/>
          <w:color w:val="000000"/>
        </w:rPr>
        <w:t xml:space="preserve">30A </w:t>
      </w:r>
      <w:r w:rsidRPr="00BE551D">
        <w:rPr>
          <w:color w:val="000000"/>
        </w:rPr>
        <w:t>(</w:t>
      </w:r>
      <w:r w:rsidRPr="00BE551D">
        <w:rPr>
          <w:caps w:val="0"/>
          <w:color w:val="000000"/>
        </w:rPr>
        <w:t>REV</w:t>
      </w:r>
      <w:r w:rsidRPr="00BE551D">
        <w:rPr>
          <w:color w:val="000000"/>
        </w:rPr>
        <w:t>.CMR-15)</w:t>
      </w:r>
      <w:r w:rsidRPr="00BE551D">
        <w:rPr>
          <w:rStyle w:val="FootnoteReference"/>
        </w:rPr>
        <w:footnoteReference w:customMarkFollows="1" w:id="6"/>
        <w:t>*</w:t>
      </w:r>
    </w:p>
    <w:p w14:paraId="4E8D6C67" w14:textId="77777777" w:rsidR="00B063AE" w:rsidRPr="00BE551D" w:rsidRDefault="00B815E8" w:rsidP="00F80AB3">
      <w:pPr>
        <w:pStyle w:val="Appendixtitle"/>
        <w:rPr>
          <w:rFonts w:asciiTheme="majorBidi" w:hAnsiTheme="majorBidi" w:cstheme="majorBidi"/>
          <w:b w:val="0"/>
          <w:bCs/>
          <w:szCs w:val="28"/>
        </w:rPr>
      </w:pPr>
      <w:r w:rsidRPr="00BE551D">
        <w:rPr>
          <w:color w:val="000000"/>
        </w:rPr>
        <w:t>Disposiciones y Planes asociados y Lista</w:t>
      </w:r>
      <w:r w:rsidRPr="00BE551D">
        <w:rPr>
          <w:rStyle w:val="FootnoteReference"/>
          <w:b w:val="0"/>
          <w:bCs/>
          <w:color w:val="000000"/>
        </w:rPr>
        <w:footnoteReference w:customMarkFollows="1" w:id="7"/>
        <w:t>1</w:t>
      </w:r>
      <w:r w:rsidRPr="00BE551D">
        <w:rPr>
          <w:color w:val="000000"/>
        </w:rPr>
        <w:t xml:space="preserve"> para los enlaces de conexión del</w:t>
      </w:r>
      <w:r w:rsidRPr="00BE551D">
        <w:rPr>
          <w:color w:val="000000"/>
        </w:rPr>
        <w:br/>
        <w:t>servicio de radiodifusión por satélite (11,7</w:t>
      </w:r>
      <w:r w:rsidRPr="00BE551D">
        <w:rPr>
          <w:color w:val="000000"/>
        </w:rPr>
        <w:noBreakHyphen/>
        <w:t>12,5 GHz en la Región 1,</w:t>
      </w:r>
      <w:r w:rsidRPr="00BE551D">
        <w:rPr>
          <w:color w:val="000000"/>
        </w:rPr>
        <w:br/>
        <w:t>12,2</w:t>
      </w:r>
      <w:r w:rsidRPr="00BE551D">
        <w:rPr>
          <w:color w:val="000000"/>
        </w:rPr>
        <w:noBreakHyphen/>
        <w:t>12,7 GHz en la Región 2 y 11,7</w:t>
      </w:r>
      <w:r w:rsidRPr="00BE551D">
        <w:rPr>
          <w:color w:val="000000"/>
        </w:rPr>
        <w:noBreakHyphen/>
        <w:t>12,2 GHz en la Región 3) en</w:t>
      </w:r>
      <w:r w:rsidRPr="00BE551D">
        <w:rPr>
          <w:color w:val="000000"/>
        </w:rPr>
        <w:br/>
        <w:t>las bandas de frecuencias 14,5-14,8 GHz</w:t>
      </w:r>
      <w:r w:rsidRPr="00BE551D">
        <w:rPr>
          <w:rStyle w:val="FootnoteReference"/>
          <w:color w:val="000000"/>
        </w:rPr>
        <w:footnoteReference w:customMarkFollows="1" w:id="8"/>
        <w:t>2</w:t>
      </w:r>
      <w:r w:rsidRPr="00BE551D">
        <w:rPr>
          <w:color w:val="000000"/>
        </w:rPr>
        <w:t xml:space="preserve"> y 17,3</w:t>
      </w:r>
      <w:r w:rsidRPr="00BE551D">
        <w:rPr>
          <w:color w:val="000000"/>
        </w:rPr>
        <w:noBreakHyphen/>
        <w:t>18,1 GHz en</w:t>
      </w:r>
      <w:r w:rsidRPr="00BE551D">
        <w:rPr>
          <w:color w:val="000000"/>
        </w:rPr>
        <w:br/>
        <w:t>las Regiones 1 y 3, y 17,3</w:t>
      </w:r>
      <w:r w:rsidRPr="00BE551D">
        <w:rPr>
          <w:color w:val="000000"/>
        </w:rPr>
        <w:noBreakHyphen/>
        <w:t>17,8 GHz en la Región 2</w:t>
      </w:r>
      <w:r w:rsidRPr="00BE551D">
        <w:rPr>
          <w:b w:val="0"/>
          <w:bCs/>
          <w:color w:val="000000"/>
          <w:sz w:val="20"/>
        </w:rPr>
        <w:t>     </w:t>
      </w:r>
      <w:r w:rsidRPr="00BE551D">
        <w:rPr>
          <w:rFonts w:asciiTheme="majorBidi" w:hAnsiTheme="majorBidi" w:cstheme="majorBidi"/>
          <w:b w:val="0"/>
          <w:bCs/>
          <w:sz w:val="16"/>
        </w:rPr>
        <w:t>(CMR</w:t>
      </w:r>
      <w:r w:rsidRPr="00BE551D">
        <w:rPr>
          <w:rFonts w:asciiTheme="majorBidi" w:hAnsiTheme="majorBidi" w:cstheme="majorBidi"/>
          <w:b w:val="0"/>
          <w:bCs/>
          <w:sz w:val="16"/>
        </w:rPr>
        <w:noBreakHyphen/>
        <w:t>03)</w:t>
      </w:r>
    </w:p>
    <w:p w14:paraId="228489C1" w14:textId="77777777" w:rsidR="00B063AE" w:rsidRPr="00BE551D" w:rsidRDefault="00B815E8" w:rsidP="00F80AB3">
      <w:pPr>
        <w:pStyle w:val="AppArtNo"/>
        <w:rPr>
          <w:color w:val="000000"/>
        </w:rPr>
      </w:pPr>
      <w:r w:rsidRPr="00BE551D">
        <w:rPr>
          <w:color w:val="000000"/>
        </w:rPr>
        <w:t>                   ARTÍCULO 4</w:t>
      </w:r>
      <w:r w:rsidRPr="00BE551D">
        <w:rPr>
          <w:color w:val="000000"/>
          <w:sz w:val="16"/>
        </w:rPr>
        <w:t>     (</w:t>
      </w:r>
      <w:r w:rsidRPr="00BE551D">
        <w:rPr>
          <w:caps w:val="0"/>
          <w:color w:val="000000"/>
          <w:sz w:val="16"/>
        </w:rPr>
        <w:t>REV.</w:t>
      </w:r>
      <w:r w:rsidRPr="00BE551D">
        <w:rPr>
          <w:color w:val="000000"/>
          <w:sz w:val="16"/>
        </w:rPr>
        <w:t>CMR</w:t>
      </w:r>
      <w:r w:rsidRPr="00BE551D">
        <w:rPr>
          <w:color w:val="000000"/>
          <w:sz w:val="16"/>
        </w:rPr>
        <w:noBreakHyphen/>
        <w:t>15)</w:t>
      </w:r>
    </w:p>
    <w:p w14:paraId="51A57EE3" w14:textId="77777777" w:rsidR="00B063AE" w:rsidRPr="00BE551D" w:rsidRDefault="00B815E8" w:rsidP="00F80AB3">
      <w:pPr>
        <w:pStyle w:val="AppArttitle"/>
        <w:rPr>
          <w:color w:val="000000"/>
        </w:rPr>
      </w:pPr>
      <w:r w:rsidRPr="00BE551D">
        <w:rPr>
          <w:color w:val="000000"/>
        </w:rPr>
        <w:t>Procedimientos para las modificaciones del Plan para los enlaces</w:t>
      </w:r>
      <w:r w:rsidRPr="00BE551D">
        <w:rPr>
          <w:color w:val="000000"/>
        </w:rPr>
        <w:br/>
        <w:t>de conexión en la Región 2 o para los usos adicionales</w:t>
      </w:r>
      <w:r w:rsidRPr="00BE551D">
        <w:rPr>
          <w:color w:val="000000"/>
        </w:rPr>
        <w:br/>
        <w:t>en las Regiones 1 y 3</w:t>
      </w:r>
    </w:p>
    <w:p w14:paraId="5501B922" w14:textId="77777777" w:rsidR="00B063AE" w:rsidRPr="00BE551D" w:rsidRDefault="00B815E8" w:rsidP="00F80AB3">
      <w:pPr>
        <w:pStyle w:val="Heading2"/>
        <w:rPr>
          <w:rFonts w:eastAsia="SimSun"/>
        </w:rPr>
      </w:pPr>
      <w:r w:rsidRPr="00BE551D">
        <w:rPr>
          <w:rFonts w:eastAsia="SimSun"/>
        </w:rPr>
        <w:t>4.1</w:t>
      </w:r>
      <w:r w:rsidRPr="00BE551D">
        <w:rPr>
          <w:rFonts w:eastAsia="SimSun"/>
        </w:rPr>
        <w:tab/>
        <w:t>Disposiciones aplicables a las Regiones 1 y 3</w:t>
      </w:r>
    </w:p>
    <w:p w14:paraId="3E28320E" w14:textId="77777777" w:rsidR="00D10CFA" w:rsidRPr="00BE551D" w:rsidRDefault="00B815E8" w:rsidP="00F80AB3">
      <w:pPr>
        <w:pStyle w:val="Proposal"/>
      </w:pPr>
      <w:r w:rsidRPr="00BE551D">
        <w:t>MOD</w:t>
      </w:r>
      <w:r w:rsidRPr="00BE551D">
        <w:tab/>
        <w:t>EUR/16A22A7/2</w:t>
      </w:r>
    </w:p>
    <w:p w14:paraId="271521B9" w14:textId="3EB061C0" w:rsidR="00B063AE" w:rsidRPr="00BE551D" w:rsidRDefault="00B815E8" w:rsidP="00F80AB3">
      <w:pPr>
        <w:rPr>
          <w:sz w:val="16"/>
        </w:rPr>
      </w:pPr>
      <w:r w:rsidRPr="00BE551D">
        <w:rPr>
          <w:rStyle w:val="Provsplit"/>
        </w:rPr>
        <w:t>4.1.24</w:t>
      </w:r>
      <w:r w:rsidRPr="00BE551D">
        <w:tab/>
        <w:t>Ninguna asignación de la Lista para los enlaces de conexión tendrá un periodo de funcionamiento que supere los 15 años, a partir de la fecha de puesta en servicio, o del 2 de junio de 2000, si esta fecha es posterior. A petición de la administración responsable, recibida por la Oficina por lo menos tres años antes de la expiración de este periodo, dicho periodo podrá prorrogarse hasta 15 años como máximo, a condición de que todas las características de la asignación permanezcan invariables</w:t>
      </w:r>
      <w:ins w:id="14" w:author="Spanish" w:date="2019-10-16T16:48:00Z">
        <w:r w:rsidRPr="00BE551D">
          <w:rPr>
            <w:rStyle w:val="FootnoteReference"/>
          </w:rPr>
          <w:footnoteReference w:customMarkFollows="1" w:id="9"/>
          <w:t>b</w:t>
        </w:r>
      </w:ins>
      <w:r w:rsidRPr="00BE551D">
        <w:t>.</w:t>
      </w:r>
      <w:r w:rsidRPr="00BE551D">
        <w:rPr>
          <w:sz w:val="16"/>
        </w:rPr>
        <w:t>     (CMR</w:t>
      </w:r>
      <w:r w:rsidRPr="00BE551D">
        <w:rPr>
          <w:sz w:val="16"/>
        </w:rPr>
        <w:noBreakHyphen/>
      </w:r>
      <w:del w:id="21" w:author="Spanish" w:date="2019-10-16T16:48:00Z">
        <w:r w:rsidRPr="00BE551D" w:rsidDel="00B815E8">
          <w:rPr>
            <w:sz w:val="16"/>
          </w:rPr>
          <w:delText>03</w:delText>
        </w:r>
      </w:del>
      <w:ins w:id="22" w:author="Spanish" w:date="2019-10-16T16:48:00Z">
        <w:r w:rsidRPr="007F2061">
          <w:rPr>
            <w:sz w:val="16"/>
          </w:rPr>
          <w:t>19</w:t>
        </w:r>
      </w:ins>
      <w:r w:rsidRPr="00BE551D">
        <w:rPr>
          <w:sz w:val="16"/>
        </w:rPr>
        <w:t>)</w:t>
      </w:r>
    </w:p>
    <w:p w14:paraId="704EA4E6" w14:textId="49AED373" w:rsidR="00B815E8" w:rsidRPr="00BE551D" w:rsidRDefault="00B815E8" w:rsidP="00F80AB3">
      <w:pPr>
        <w:pStyle w:val="Reasons"/>
      </w:pPr>
      <w:r w:rsidRPr="00B5489E">
        <w:rPr>
          <w:b/>
        </w:rPr>
        <w:t>Motivos:</w:t>
      </w:r>
      <w:r w:rsidRPr="00BE551D">
        <w:tab/>
      </w:r>
      <w:r w:rsidR="00B5489E" w:rsidRPr="008211B4">
        <w:t>La introducción de una obligación para la Oficina de enviar un recordatorio al menos 30</w:t>
      </w:r>
      <w:r w:rsidR="003A49E7">
        <w:t> </w:t>
      </w:r>
      <w:r w:rsidR="00B5489E" w:rsidRPr="008211B4">
        <w:t xml:space="preserve">días antes de que se cumpla el plazo para la solicitud de prórroga </w:t>
      </w:r>
      <w:r w:rsidR="00B5489E">
        <w:t xml:space="preserve">del periodo de funcionamiento </w:t>
      </w:r>
      <w:r w:rsidR="00B5489E" w:rsidRPr="008211B4">
        <w:t xml:space="preserve">de la asignación de frecuencias en la Lista de la Región 1 y 3 redundaría en beneficio de todas las administraciones interesadas en aplicar </w:t>
      </w:r>
      <w:r w:rsidR="00B5489E">
        <w:t xml:space="preserve">a tiempo </w:t>
      </w:r>
      <w:r w:rsidR="00B5489E" w:rsidRPr="008211B4">
        <w:t xml:space="preserve">las disposiciones del § 4.1.24 de los Apéndices </w:t>
      </w:r>
      <w:r w:rsidR="00B5489E" w:rsidRPr="007F2061">
        <w:rPr>
          <w:b/>
          <w:bCs/>
        </w:rPr>
        <w:t>30</w:t>
      </w:r>
      <w:r w:rsidR="00B5489E" w:rsidRPr="008211B4">
        <w:t xml:space="preserve"> y </w:t>
      </w:r>
      <w:r w:rsidR="00B5489E" w:rsidRPr="007F2061">
        <w:rPr>
          <w:b/>
          <w:bCs/>
        </w:rPr>
        <w:t>30A</w:t>
      </w:r>
      <w:r w:rsidR="00B5489E" w:rsidRPr="008211B4">
        <w:t xml:space="preserve"> del RR</w:t>
      </w:r>
      <w:r w:rsidR="003A49E7">
        <w:t>.</w:t>
      </w:r>
    </w:p>
    <w:p w14:paraId="1418EDDD" w14:textId="77777777" w:rsidR="00B815E8" w:rsidRPr="00BE551D" w:rsidRDefault="00B815E8" w:rsidP="00F80AB3">
      <w:pPr>
        <w:jc w:val="center"/>
      </w:pPr>
      <w:r w:rsidRPr="00BE551D">
        <w:t>______________</w:t>
      </w:r>
    </w:p>
    <w:sectPr w:rsidR="00B815E8" w:rsidRPr="00BE551D">
      <w:headerReference w:type="default" r:id="rId13"/>
      <w:footerReference w:type="even" r:id="rId14"/>
      <w:footerReference w:type="default" r:id="rId15"/>
      <w:footerReference w:type="first" r:id="rId16"/>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3C512" w14:textId="77777777" w:rsidR="003C0613" w:rsidRDefault="003C0613">
      <w:r>
        <w:separator/>
      </w:r>
    </w:p>
  </w:endnote>
  <w:endnote w:type="continuationSeparator" w:id="0">
    <w:p w14:paraId="0E711CFD"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BA536"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2DD738" w14:textId="5AF9CE94" w:rsidR="0077084A" w:rsidRDefault="0077084A">
    <w:pPr>
      <w:ind w:right="360"/>
      <w:rPr>
        <w:lang w:val="en-US"/>
      </w:rPr>
    </w:pPr>
    <w:r>
      <w:fldChar w:fldCharType="begin"/>
    </w:r>
    <w:r>
      <w:rPr>
        <w:lang w:val="en-US"/>
      </w:rPr>
      <w:instrText xml:space="preserve"> FILENAME \p  \* MERGEFORMAT </w:instrText>
    </w:r>
    <w:r>
      <w:fldChar w:fldCharType="separate"/>
    </w:r>
    <w:r w:rsidR="00751CD4">
      <w:rPr>
        <w:noProof/>
        <w:lang w:val="en-US"/>
      </w:rPr>
      <w:t>P:\TRAD\S\ITU-R\CONF-R\CMR19\000\016ADD22ADD07S_Montaje FP.docx</w:t>
    </w:r>
    <w:r>
      <w:fldChar w:fldCharType="end"/>
    </w:r>
    <w:r>
      <w:rPr>
        <w:lang w:val="en-US"/>
      </w:rPr>
      <w:tab/>
    </w:r>
    <w:r>
      <w:fldChar w:fldCharType="begin"/>
    </w:r>
    <w:r>
      <w:instrText xml:space="preserve"> SAVEDATE \@ DD.MM.YY </w:instrText>
    </w:r>
    <w:r>
      <w:fldChar w:fldCharType="separate"/>
    </w:r>
    <w:r w:rsidR="00502EFC">
      <w:rPr>
        <w:noProof/>
      </w:rPr>
      <w:t>17.10.19</w:t>
    </w:r>
    <w:r>
      <w:fldChar w:fldCharType="end"/>
    </w:r>
    <w:r>
      <w:rPr>
        <w:lang w:val="en-US"/>
      </w:rPr>
      <w:tab/>
    </w:r>
    <w:r>
      <w:fldChar w:fldCharType="begin"/>
    </w:r>
    <w:r>
      <w:instrText xml:space="preserve"> PRINTDATE \@ DD.MM.YY </w:instrText>
    </w:r>
    <w:r>
      <w:fldChar w:fldCharType="separate"/>
    </w:r>
    <w:r w:rsidR="00751CD4">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7528" w14:textId="77777777" w:rsidR="00FD0307" w:rsidRPr="0030047B" w:rsidRDefault="00FD0307" w:rsidP="00FD0307">
    <w:pPr>
      <w:pStyle w:val="Footer"/>
      <w:rPr>
        <w:lang w:val="en-US"/>
      </w:rPr>
    </w:pPr>
    <w:r>
      <w:fldChar w:fldCharType="begin"/>
    </w:r>
    <w:r>
      <w:rPr>
        <w:lang w:val="en-US"/>
      </w:rPr>
      <w:instrText xml:space="preserve"> FILENAME \p  \* MERGEFORMAT </w:instrText>
    </w:r>
    <w:r>
      <w:fldChar w:fldCharType="separate"/>
    </w:r>
    <w:r>
      <w:rPr>
        <w:lang w:val="en-US"/>
      </w:rPr>
      <w:t>P:\ESP\ITU-R\CONF-R\CMR19\000\016ADD22ADD07S.docx</w:t>
    </w:r>
    <w:r>
      <w:fldChar w:fldCharType="end"/>
    </w:r>
    <w:r w:rsidRPr="0030047B">
      <w:rPr>
        <w:lang w:val="en-US"/>
      </w:rPr>
      <w:t xml:space="preserve"> </w:t>
    </w:r>
    <w:r>
      <w:rPr>
        <w:lang w:val="en-US"/>
      </w:rPr>
      <w:t>(461976)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911DD" w14:textId="72446334" w:rsidR="0077084A" w:rsidRPr="0030047B" w:rsidRDefault="0077084A" w:rsidP="00B47331">
    <w:pPr>
      <w:pStyle w:val="Footer"/>
      <w:rPr>
        <w:lang w:val="en-US"/>
      </w:rPr>
    </w:pPr>
    <w:r>
      <w:fldChar w:fldCharType="begin"/>
    </w:r>
    <w:r>
      <w:rPr>
        <w:lang w:val="en-US"/>
      </w:rPr>
      <w:instrText xml:space="preserve"> FILENAME \p  \* MERGEFORMAT </w:instrText>
    </w:r>
    <w:r>
      <w:fldChar w:fldCharType="separate"/>
    </w:r>
    <w:r w:rsidR="00FD0307">
      <w:rPr>
        <w:lang w:val="en-US"/>
      </w:rPr>
      <w:t>P:\ESP\ITU-R\CONF-R\CMR19\000\016ADD22ADD07S.docx</w:t>
    </w:r>
    <w:r>
      <w:fldChar w:fldCharType="end"/>
    </w:r>
    <w:r w:rsidR="0030047B" w:rsidRPr="0030047B">
      <w:rPr>
        <w:lang w:val="en-US"/>
      </w:rPr>
      <w:t xml:space="preserve"> </w:t>
    </w:r>
    <w:r w:rsidR="0030047B">
      <w:rPr>
        <w:lang w:val="en-US"/>
      </w:rPr>
      <w:t>(461976)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2EC51" w14:textId="77777777" w:rsidR="003C0613" w:rsidRDefault="003C0613">
      <w:r>
        <w:rPr>
          <w:b/>
        </w:rPr>
        <w:t>_______________</w:t>
      </w:r>
    </w:p>
  </w:footnote>
  <w:footnote w:type="continuationSeparator" w:id="0">
    <w:p w14:paraId="48A7A23E" w14:textId="77777777" w:rsidR="003C0613" w:rsidRDefault="003C0613">
      <w:r>
        <w:continuationSeparator/>
      </w:r>
    </w:p>
  </w:footnote>
  <w:footnote w:id="1">
    <w:p w14:paraId="22E6898A" w14:textId="77777777" w:rsidR="0051418C" w:rsidRPr="007E1573" w:rsidRDefault="00B815E8" w:rsidP="0051418C">
      <w:pPr>
        <w:pStyle w:val="FootnoteText"/>
      </w:pPr>
      <w:r w:rsidRPr="007E1573">
        <w:rPr>
          <w:rStyle w:val="FootnoteReference"/>
        </w:rPr>
        <w:t>*</w:t>
      </w:r>
      <w:r w:rsidRPr="007E1573">
        <w:tab/>
        <w:t>Este punto del orden del día se limita estrictamente al Informe del Director, en relación con las dificultades o incoherencias observadas en la aplicación del Reglamento de Radiocomunicaciones y las observaciones de las administraciones.</w:t>
      </w:r>
    </w:p>
  </w:footnote>
  <w:footnote w:id="2">
    <w:p w14:paraId="01374256" w14:textId="77777777" w:rsidR="00453441" w:rsidRPr="007E1573" w:rsidRDefault="00B815E8" w:rsidP="00B063AE">
      <w:pPr>
        <w:pStyle w:val="FootnoteText"/>
      </w:pPr>
      <w:r w:rsidRPr="007E1573">
        <w:rPr>
          <w:rStyle w:val="FootnoteReference"/>
        </w:rPr>
        <w:t>*</w:t>
      </w:r>
      <w:r w:rsidRPr="007E1573">
        <w:tab/>
      </w:r>
      <w:r w:rsidRPr="007E1573">
        <w:rPr>
          <w:szCs w:val="24"/>
        </w:rPr>
        <w:t>Cuando aparezca en este Apéndice la expresión «asignación de frecuencia a una estación espacial», se entenderá que se refiere a una asignación de frecuencia asociada a una posición orbital dada. Véanse además en el Anexo 7 las restricciones aplicables a las posiciones orbitales.</w:t>
      </w:r>
      <w:r w:rsidRPr="007E1573">
        <w:rPr>
          <w:sz w:val="16"/>
        </w:rPr>
        <w:t>     (CMR</w:t>
      </w:r>
      <w:r w:rsidRPr="007E1573">
        <w:rPr>
          <w:sz w:val="16"/>
        </w:rPr>
        <w:noBreakHyphen/>
        <w:t>2000)</w:t>
      </w:r>
    </w:p>
  </w:footnote>
  <w:footnote w:id="3">
    <w:p w14:paraId="3FF8907E" w14:textId="77777777" w:rsidR="00453441" w:rsidRPr="007E1573" w:rsidRDefault="00B815E8" w:rsidP="00B063AE">
      <w:pPr>
        <w:pStyle w:val="FootnoteText"/>
        <w:rPr>
          <w:sz w:val="16"/>
        </w:rPr>
      </w:pPr>
      <w:r w:rsidRPr="007E1573">
        <w:rPr>
          <w:rStyle w:val="FootnoteReference"/>
        </w:rPr>
        <w:t>1</w:t>
      </w:r>
      <w:r w:rsidRPr="007E1573">
        <w:tab/>
      </w:r>
      <w:r w:rsidRPr="007E1573">
        <w:rPr>
          <w:szCs w:val="24"/>
          <w:lang w:eastAsia="fr-FR"/>
        </w:rPr>
        <w:t>La Lista de usos adicionales en las Regiones 1</w:t>
      </w:r>
      <w:r w:rsidRPr="007E1573">
        <w:rPr>
          <w:szCs w:val="24"/>
        </w:rPr>
        <w:t xml:space="preserve"> y 3 se encuentra en el Anexo al Registro Internacional de Frecuencias (véase la Resolución </w:t>
      </w:r>
      <w:r w:rsidRPr="007E1573">
        <w:rPr>
          <w:b/>
          <w:bCs/>
          <w:szCs w:val="24"/>
        </w:rPr>
        <w:t>542</w:t>
      </w:r>
      <w:r w:rsidRPr="007E1573">
        <w:rPr>
          <w:b/>
          <w:szCs w:val="24"/>
        </w:rPr>
        <w:t xml:space="preserve"> (CMR-2000)</w:t>
      </w:r>
      <w:r w:rsidRPr="007E1573">
        <w:rPr>
          <w:szCs w:val="24"/>
        </w:rPr>
        <w:t>**</w:t>
      </w:r>
      <w:r w:rsidRPr="007E1573">
        <w:rPr>
          <w:bCs/>
          <w:szCs w:val="24"/>
        </w:rPr>
        <w:t>).</w:t>
      </w:r>
      <w:r w:rsidRPr="007E1573">
        <w:rPr>
          <w:sz w:val="16"/>
        </w:rPr>
        <w:t>     (CMR</w:t>
      </w:r>
      <w:r w:rsidRPr="007E1573">
        <w:rPr>
          <w:sz w:val="16"/>
        </w:rPr>
        <w:noBreakHyphen/>
        <w:t>03)</w:t>
      </w:r>
    </w:p>
    <w:p w14:paraId="3DCC14E8" w14:textId="77777777" w:rsidR="00453441" w:rsidRPr="007E1573" w:rsidRDefault="00B815E8" w:rsidP="00B063AE">
      <w:pPr>
        <w:pStyle w:val="FootnoteText"/>
        <w:rPr>
          <w:szCs w:val="24"/>
        </w:rPr>
      </w:pPr>
      <w:r w:rsidRPr="007E1573">
        <w:rPr>
          <w:rStyle w:val="FootnoteReference"/>
        </w:rPr>
        <w:tab/>
        <w:t>**</w:t>
      </w:r>
      <w:r w:rsidRPr="007E1573">
        <w:t>   </w:t>
      </w:r>
      <w:r w:rsidRPr="007E1573">
        <w:rPr>
          <w:i/>
          <w:iCs/>
          <w:szCs w:val="24"/>
        </w:rPr>
        <w:t>Nota de la Secretaría:</w:t>
      </w:r>
      <w:r w:rsidRPr="007E1573">
        <w:rPr>
          <w:szCs w:val="24"/>
        </w:rPr>
        <w:t xml:space="preserve"> Esta Resolución ha sido abrogada por la CMR</w:t>
      </w:r>
      <w:r w:rsidRPr="007E1573">
        <w:rPr>
          <w:szCs w:val="24"/>
        </w:rPr>
        <w:noBreakHyphen/>
        <w:t>03.</w:t>
      </w:r>
    </w:p>
    <w:p w14:paraId="594AD322" w14:textId="77777777" w:rsidR="00453441" w:rsidRPr="007E1573" w:rsidRDefault="00B815E8" w:rsidP="00B063AE">
      <w:pPr>
        <w:pStyle w:val="FootnoteText"/>
        <w:rPr>
          <w:szCs w:val="24"/>
        </w:rPr>
      </w:pPr>
      <w:r w:rsidRPr="007E1573">
        <w:rPr>
          <w:i/>
          <w:iCs/>
          <w:szCs w:val="24"/>
        </w:rPr>
        <w:t>Nota de la Secretaría:</w:t>
      </w:r>
      <w:r w:rsidRPr="007E1573">
        <w:rPr>
          <w:szCs w:val="24"/>
        </w:rPr>
        <w:t xml:space="preserve"> </w:t>
      </w:r>
      <w:r w:rsidRPr="007E1573">
        <w:rPr>
          <w:iCs/>
          <w:szCs w:val="24"/>
        </w:rPr>
        <w:t xml:space="preserve">Las referencias a un </w:t>
      </w:r>
      <w:r w:rsidRPr="007E1573">
        <w:rPr>
          <w:iCs/>
          <w:caps/>
          <w:szCs w:val="24"/>
        </w:rPr>
        <w:t>A</w:t>
      </w:r>
      <w:r w:rsidRPr="007E1573">
        <w:rPr>
          <w:iCs/>
          <w:szCs w:val="24"/>
        </w:rPr>
        <w:t>rtículo con su número en romanillas se refiere a un Artículo del presente Apéndice.</w:t>
      </w:r>
    </w:p>
  </w:footnote>
  <w:footnote w:id="4">
    <w:p w14:paraId="2692AACD" w14:textId="77777777" w:rsidR="00453441" w:rsidRPr="007E1573" w:rsidRDefault="00B815E8" w:rsidP="00B063AE">
      <w:pPr>
        <w:pStyle w:val="FootnoteText"/>
        <w:rPr>
          <w:sz w:val="16"/>
        </w:rPr>
      </w:pPr>
      <w:r w:rsidRPr="007E1573">
        <w:rPr>
          <w:rStyle w:val="FootnoteReference"/>
        </w:rPr>
        <w:t>3</w:t>
      </w:r>
      <w:r w:rsidRPr="007E1573">
        <w:tab/>
      </w:r>
      <w:r w:rsidRPr="007E1573">
        <w:rPr>
          <w:szCs w:val="24"/>
        </w:rPr>
        <w:t xml:space="preserve">Se aplican las disposiciones de la Resolución </w:t>
      </w:r>
      <w:r w:rsidRPr="007E1573">
        <w:rPr>
          <w:b/>
          <w:bCs/>
          <w:szCs w:val="24"/>
        </w:rPr>
        <w:t>49 (Rev.CMR</w:t>
      </w:r>
      <w:r w:rsidRPr="007E1573">
        <w:rPr>
          <w:b/>
          <w:bCs/>
          <w:szCs w:val="24"/>
        </w:rPr>
        <w:noBreakHyphen/>
        <w:t>15)</w:t>
      </w:r>
      <w:r w:rsidRPr="007E1573">
        <w:rPr>
          <w:szCs w:val="24"/>
        </w:rPr>
        <w:t>.</w:t>
      </w:r>
      <w:r w:rsidRPr="007E1573">
        <w:rPr>
          <w:sz w:val="16"/>
        </w:rPr>
        <w:t>     (CMR-15)</w:t>
      </w:r>
    </w:p>
  </w:footnote>
  <w:footnote w:id="5">
    <w:p w14:paraId="40CF094E" w14:textId="2B71E2D1" w:rsidR="00B815E8" w:rsidRPr="007E1573" w:rsidRDefault="00B815E8" w:rsidP="00F80AB3">
      <w:pPr>
        <w:pStyle w:val="FootnoteText"/>
      </w:pPr>
      <w:ins w:id="7" w:author="Spanish" w:date="2019-10-16T16:45:00Z">
        <w:r w:rsidRPr="007E1573">
          <w:rPr>
            <w:rStyle w:val="FootnoteReference"/>
          </w:rPr>
          <w:t>a</w:t>
        </w:r>
        <w:r w:rsidRPr="007E1573">
          <w:tab/>
        </w:r>
      </w:ins>
      <w:ins w:id="8" w:author="Peral, Fernando" w:date="2019-10-17T11:05:00Z">
        <w:r w:rsidR="00B5489E" w:rsidRPr="007E1573">
          <w:t xml:space="preserve">Salvo que la solicitud haya sido recibida por la Oficina, ésta </w:t>
        </w:r>
      </w:ins>
      <w:ins w:id="9" w:author="Spanish" w:date="2019-10-16T16:47:00Z">
        <w:r w:rsidRPr="007E1573">
          <w:t xml:space="preserve"> enviará, a más tardar 30 días antes de la expiración del </w:t>
        </w:r>
      </w:ins>
      <w:ins w:id="10" w:author="Peral, Fernando" w:date="2019-10-17T11:06:00Z">
        <w:r w:rsidR="00B5489E" w:rsidRPr="007E1573">
          <w:t>plazo para dicha solicitud</w:t>
        </w:r>
      </w:ins>
      <w:ins w:id="11" w:author="Spanish" w:date="2019-10-16T16:47:00Z">
        <w:r w:rsidRPr="007E1573">
          <w:t>, un recordatorio a la administración notificante.</w:t>
        </w:r>
        <w:r w:rsidRPr="007E1573">
          <w:rPr>
            <w:sz w:val="16"/>
          </w:rPr>
          <w:t>     (CMR</w:t>
        </w:r>
        <w:r w:rsidRPr="007E1573">
          <w:rPr>
            <w:sz w:val="16"/>
          </w:rPr>
          <w:noBreakHyphen/>
          <w:t>19)</w:t>
        </w:r>
      </w:ins>
    </w:p>
  </w:footnote>
  <w:footnote w:id="6">
    <w:p w14:paraId="63AF4014" w14:textId="77777777" w:rsidR="00453441" w:rsidRPr="007E1573" w:rsidRDefault="00B815E8" w:rsidP="00B063AE">
      <w:pPr>
        <w:pStyle w:val="FootnoteText"/>
      </w:pPr>
      <w:r w:rsidRPr="007E1573">
        <w:rPr>
          <w:rStyle w:val="FootnoteReference"/>
          <w:color w:val="000000"/>
        </w:rPr>
        <w:t>*</w:t>
      </w:r>
      <w:r w:rsidRPr="007E1573">
        <w:tab/>
      </w:r>
      <w:r w:rsidRPr="007E1573">
        <w:rPr>
          <w:szCs w:val="24"/>
        </w:rPr>
        <w:t>Siempre que en este Apéndice aparezca la expresión «asignación de frecuencia a una estación espacial», se entenderá con referencia a una asignación de frecuencia asociada a una determinada posición orbital.</w:t>
      </w:r>
      <w:r w:rsidRPr="007E1573">
        <w:rPr>
          <w:sz w:val="16"/>
        </w:rPr>
        <w:t>     </w:t>
      </w:r>
      <w:r w:rsidRPr="007E1573">
        <w:rPr>
          <w:sz w:val="16"/>
          <w:szCs w:val="16"/>
        </w:rPr>
        <w:t>(CMR-03)</w:t>
      </w:r>
    </w:p>
  </w:footnote>
  <w:footnote w:id="7">
    <w:p w14:paraId="553A35A7" w14:textId="77777777" w:rsidR="00453441" w:rsidRPr="007E1573" w:rsidRDefault="00B815E8" w:rsidP="00B063AE">
      <w:pPr>
        <w:pStyle w:val="FootnoteText"/>
      </w:pPr>
      <w:r w:rsidRPr="007E1573">
        <w:rPr>
          <w:rStyle w:val="FootnoteReference"/>
        </w:rPr>
        <w:t>1</w:t>
      </w:r>
      <w:r w:rsidRPr="007E1573">
        <w:tab/>
      </w:r>
      <w:r w:rsidRPr="007E1573">
        <w:rPr>
          <w:szCs w:val="24"/>
        </w:rPr>
        <w:t xml:space="preserve">La Lista de usos adicionales para los enlaces de conexión en las Regiones 1 y 3 figurará como Anexo al Registro Internacional de Frecuencias (véase la Resolución </w:t>
      </w:r>
      <w:r w:rsidRPr="007E1573">
        <w:rPr>
          <w:b/>
          <w:bCs/>
          <w:szCs w:val="24"/>
        </w:rPr>
        <w:t>542 (CMR-2000)</w:t>
      </w:r>
      <w:r w:rsidRPr="007E1573">
        <w:rPr>
          <w:szCs w:val="24"/>
        </w:rPr>
        <w:t>**).</w:t>
      </w:r>
      <w:r w:rsidRPr="007E1573">
        <w:rPr>
          <w:sz w:val="16"/>
        </w:rPr>
        <w:t>    (CMR-03)</w:t>
      </w:r>
    </w:p>
    <w:p w14:paraId="35292135" w14:textId="77777777" w:rsidR="00453441" w:rsidRPr="007E1573" w:rsidRDefault="00B815E8" w:rsidP="00D9062E">
      <w:pPr>
        <w:pStyle w:val="FootnoteText"/>
      </w:pPr>
      <w:r w:rsidRPr="007E1573">
        <w:rPr>
          <w:sz w:val="16"/>
        </w:rPr>
        <w:tab/>
      </w:r>
      <w:r w:rsidRPr="007E1573">
        <w:rPr>
          <w:szCs w:val="24"/>
        </w:rPr>
        <w:t>**</w:t>
      </w:r>
      <w:r w:rsidRPr="007E1573">
        <w:rPr>
          <w:rStyle w:val="FootnoteTextChar"/>
        </w:rPr>
        <w:t>   </w:t>
      </w:r>
      <w:r w:rsidRPr="007E1573">
        <w:rPr>
          <w:i/>
          <w:iCs/>
          <w:szCs w:val="24"/>
        </w:rPr>
        <w:t>Nota de la Secretaría</w:t>
      </w:r>
      <w:r w:rsidRPr="007E1573">
        <w:rPr>
          <w:szCs w:val="24"/>
        </w:rPr>
        <w:t>: Esta Resolución ha sido abrogada por la CMR-03.</w:t>
      </w:r>
    </w:p>
  </w:footnote>
  <w:footnote w:id="8">
    <w:p w14:paraId="05EBCA6B" w14:textId="77777777" w:rsidR="00453441" w:rsidRPr="007E1573" w:rsidRDefault="00B815E8" w:rsidP="00B063AE">
      <w:pPr>
        <w:pStyle w:val="FootnoteText"/>
        <w:rPr>
          <w:szCs w:val="24"/>
        </w:rPr>
      </w:pPr>
      <w:r w:rsidRPr="007E1573">
        <w:rPr>
          <w:rStyle w:val="FootnoteReference"/>
        </w:rPr>
        <w:t>2</w:t>
      </w:r>
      <w:r w:rsidRPr="007E1573">
        <w:tab/>
      </w:r>
      <w:r w:rsidRPr="007E1573">
        <w:rPr>
          <w:szCs w:val="24"/>
        </w:rPr>
        <w:t>Este uso de la banda 14,5-14,8 GHz está reservado a los países situados fuera de Europa.</w:t>
      </w:r>
    </w:p>
    <w:p w14:paraId="41C12E62" w14:textId="77777777" w:rsidR="00453441" w:rsidRPr="007E1573" w:rsidRDefault="00B815E8" w:rsidP="00B063AE">
      <w:pPr>
        <w:pStyle w:val="FootnoteText"/>
        <w:spacing w:before="80"/>
        <w:rPr>
          <w:color w:val="000000"/>
          <w:szCs w:val="24"/>
        </w:rPr>
      </w:pPr>
      <w:r w:rsidRPr="007E1573">
        <w:rPr>
          <w:i/>
          <w:iCs/>
          <w:color w:val="000000"/>
          <w:szCs w:val="24"/>
        </w:rPr>
        <w:t>Nota de la Secretaría:</w:t>
      </w:r>
      <w:r w:rsidRPr="007E1573">
        <w:rPr>
          <w:color w:val="000000"/>
          <w:szCs w:val="24"/>
        </w:rPr>
        <w:t xml:space="preserve"> Las referencias a un Artículo con su número en romanillas se refiere a un Artículo del presente Apéndice.</w:t>
      </w:r>
      <w:bookmarkStart w:id="13" w:name="_GoBack"/>
      <w:bookmarkEnd w:id="13"/>
    </w:p>
  </w:footnote>
  <w:footnote w:id="9">
    <w:p w14:paraId="0FA2DB65" w14:textId="0CC16686" w:rsidR="00B815E8" w:rsidRPr="007E1573" w:rsidRDefault="00B815E8" w:rsidP="00702D2E">
      <w:pPr>
        <w:pStyle w:val="FootnoteText"/>
        <w:rPr>
          <w:rPrChange w:id="15" w:author="Spanish" w:date="2019-10-16T16:48:00Z">
            <w:rPr/>
          </w:rPrChange>
        </w:rPr>
      </w:pPr>
      <w:ins w:id="16" w:author="Spanish" w:date="2019-10-16T16:48:00Z">
        <w:r w:rsidRPr="007E1573">
          <w:rPr>
            <w:rStyle w:val="FootnoteReference"/>
          </w:rPr>
          <w:t>b</w:t>
        </w:r>
        <w:r w:rsidRPr="007E1573">
          <w:tab/>
        </w:r>
      </w:ins>
      <w:ins w:id="17" w:author="Peral, Fernando" w:date="2019-10-17T11:05:00Z">
        <w:r w:rsidR="00F80AB3" w:rsidRPr="007E1573">
          <w:t xml:space="preserve">Salvo que la solicitud haya sido recibida por la Oficina, ésta </w:t>
        </w:r>
      </w:ins>
      <w:ins w:id="18" w:author="Spanish" w:date="2019-10-16T16:47:00Z">
        <w:r w:rsidR="00F80AB3" w:rsidRPr="007E1573">
          <w:t xml:space="preserve"> enviará, a más tardar 30 días antes de la expiración del </w:t>
        </w:r>
      </w:ins>
      <w:ins w:id="19" w:author="Peral, Fernando" w:date="2019-10-17T11:06:00Z">
        <w:r w:rsidR="00F80AB3" w:rsidRPr="007E1573">
          <w:t>plazo para dicha solicitud</w:t>
        </w:r>
      </w:ins>
      <w:ins w:id="20" w:author="Spanish" w:date="2019-10-16T16:47:00Z">
        <w:r w:rsidR="00F80AB3" w:rsidRPr="007E1573">
          <w:t>, un recordatorio a la administración notificante.</w:t>
        </w:r>
        <w:r w:rsidR="00F80AB3" w:rsidRPr="007E1573">
          <w:rPr>
            <w:sz w:val="16"/>
          </w:rPr>
          <w:t>     (CMR</w:t>
        </w:r>
        <w:r w:rsidR="00F80AB3" w:rsidRPr="007E1573">
          <w:rPr>
            <w:sz w:val="16"/>
          </w:rPr>
          <w:noBreakHyphen/>
          <w:t>19)</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AE387"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66078BF4" w14:textId="77777777" w:rsidR="0077084A" w:rsidRDefault="008750A8" w:rsidP="00C44E9E">
    <w:pPr>
      <w:pStyle w:val="Header"/>
      <w:rPr>
        <w:lang w:val="en-US"/>
      </w:rPr>
    </w:pPr>
    <w:r>
      <w:rPr>
        <w:lang w:val="en-US"/>
      </w:rPr>
      <w:t>CMR1</w:t>
    </w:r>
    <w:r w:rsidR="00C44E9E">
      <w:rPr>
        <w:lang w:val="en-US"/>
      </w:rPr>
      <w:t>9</w:t>
    </w:r>
    <w:r>
      <w:rPr>
        <w:lang w:val="en-US"/>
      </w:rPr>
      <w:t>/</w:t>
    </w:r>
    <w:r w:rsidR="00702F3D">
      <w:t>16(Add.22)(Add.7)-</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Peral, Fernando">
    <w15:presenceInfo w15:providerId="AD" w15:userId="S::fernando.peral@itu.int::ac480509-f875-4c0a-95a4-e013a4465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E5BF9"/>
    <w:rsid w:val="000F0E6D"/>
    <w:rsid w:val="00100AD0"/>
    <w:rsid w:val="00121170"/>
    <w:rsid w:val="00123CC5"/>
    <w:rsid w:val="0015142D"/>
    <w:rsid w:val="001616DC"/>
    <w:rsid w:val="00163962"/>
    <w:rsid w:val="00191A97"/>
    <w:rsid w:val="0019729C"/>
    <w:rsid w:val="001A083F"/>
    <w:rsid w:val="001B08DE"/>
    <w:rsid w:val="001C41FA"/>
    <w:rsid w:val="001E2B52"/>
    <w:rsid w:val="001E3F27"/>
    <w:rsid w:val="001E7D42"/>
    <w:rsid w:val="0023659C"/>
    <w:rsid w:val="00236D2A"/>
    <w:rsid w:val="0024569E"/>
    <w:rsid w:val="00255F12"/>
    <w:rsid w:val="00262C09"/>
    <w:rsid w:val="002A791F"/>
    <w:rsid w:val="002C1A52"/>
    <w:rsid w:val="002C1B26"/>
    <w:rsid w:val="002C5D6C"/>
    <w:rsid w:val="002E701F"/>
    <w:rsid w:val="0030047B"/>
    <w:rsid w:val="003248A9"/>
    <w:rsid w:val="00324FFA"/>
    <w:rsid w:val="0032680B"/>
    <w:rsid w:val="00363A65"/>
    <w:rsid w:val="003A49E7"/>
    <w:rsid w:val="003B1E8C"/>
    <w:rsid w:val="003C0613"/>
    <w:rsid w:val="003C2508"/>
    <w:rsid w:val="003D0AA3"/>
    <w:rsid w:val="003E2086"/>
    <w:rsid w:val="003F7F66"/>
    <w:rsid w:val="00440B3A"/>
    <w:rsid w:val="0044375A"/>
    <w:rsid w:val="0045384C"/>
    <w:rsid w:val="00454553"/>
    <w:rsid w:val="00472A86"/>
    <w:rsid w:val="004B124A"/>
    <w:rsid w:val="004B3095"/>
    <w:rsid w:val="004D2C7C"/>
    <w:rsid w:val="00502EFC"/>
    <w:rsid w:val="005133B5"/>
    <w:rsid w:val="00524392"/>
    <w:rsid w:val="00532097"/>
    <w:rsid w:val="00545B1B"/>
    <w:rsid w:val="0058350F"/>
    <w:rsid w:val="00583C7E"/>
    <w:rsid w:val="0059098E"/>
    <w:rsid w:val="005D46FB"/>
    <w:rsid w:val="005F2605"/>
    <w:rsid w:val="005F3B0E"/>
    <w:rsid w:val="005F3DB8"/>
    <w:rsid w:val="005F559C"/>
    <w:rsid w:val="00602857"/>
    <w:rsid w:val="006124AD"/>
    <w:rsid w:val="00624009"/>
    <w:rsid w:val="00662BA0"/>
    <w:rsid w:val="0067344B"/>
    <w:rsid w:val="00684A94"/>
    <w:rsid w:val="00692AAE"/>
    <w:rsid w:val="006C0E38"/>
    <w:rsid w:val="006D6E67"/>
    <w:rsid w:val="006E1A13"/>
    <w:rsid w:val="00701C20"/>
    <w:rsid w:val="00702D2E"/>
    <w:rsid w:val="00702F3D"/>
    <w:rsid w:val="0070518E"/>
    <w:rsid w:val="007354E9"/>
    <w:rsid w:val="007424E8"/>
    <w:rsid w:val="0074579D"/>
    <w:rsid w:val="00751CD4"/>
    <w:rsid w:val="00765578"/>
    <w:rsid w:val="00766333"/>
    <w:rsid w:val="0077084A"/>
    <w:rsid w:val="007952C7"/>
    <w:rsid w:val="007B03A6"/>
    <w:rsid w:val="007C0B95"/>
    <w:rsid w:val="007C2317"/>
    <w:rsid w:val="007D330A"/>
    <w:rsid w:val="007E1573"/>
    <w:rsid w:val="007F2061"/>
    <w:rsid w:val="008211B4"/>
    <w:rsid w:val="00866AE6"/>
    <w:rsid w:val="008750A8"/>
    <w:rsid w:val="008D3316"/>
    <w:rsid w:val="008E5AF2"/>
    <w:rsid w:val="0090121B"/>
    <w:rsid w:val="00912E61"/>
    <w:rsid w:val="009144C9"/>
    <w:rsid w:val="0094091F"/>
    <w:rsid w:val="00962171"/>
    <w:rsid w:val="00973754"/>
    <w:rsid w:val="009C0BED"/>
    <w:rsid w:val="009E11EC"/>
    <w:rsid w:val="00A021CC"/>
    <w:rsid w:val="00A118DB"/>
    <w:rsid w:val="00A4450C"/>
    <w:rsid w:val="00AA0FA0"/>
    <w:rsid w:val="00AA5E6C"/>
    <w:rsid w:val="00AB6987"/>
    <w:rsid w:val="00AE5677"/>
    <w:rsid w:val="00AE658F"/>
    <w:rsid w:val="00AF2F78"/>
    <w:rsid w:val="00B239FA"/>
    <w:rsid w:val="00B372AB"/>
    <w:rsid w:val="00B47331"/>
    <w:rsid w:val="00B52D55"/>
    <w:rsid w:val="00B5489E"/>
    <w:rsid w:val="00B815E8"/>
    <w:rsid w:val="00B8288C"/>
    <w:rsid w:val="00B86034"/>
    <w:rsid w:val="00BE2E80"/>
    <w:rsid w:val="00BE551D"/>
    <w:rsid w:val="00BE5EDD"/>
    <w:rsid w:val="00BE6A1F"/>
    <w:rsid w:val="00C126C4"/>
    <w:rsid w:val="00C42DC7"/>
    <w:rsid w:val="00C44E9E"/>
    <w:rsid w:val="00C63EB5"/>
    <w:rsid w:val="00C808B0"/>
    <w:rsid w:val="00C87DA7"/>
    <w:rsid w:val="00CB5D8B"/>
    <w:rsid w:val="00CC01E0"/>
    <w:rsid w:val="00CD5FEE"/>
    <w:rsid w:val="00CE60D2"/>
    <w:rsid w:val="00CE7431"/>
    <w:rsid w:val="00D00CA8"/>
    <w:rsid w:val="00D0288A"/>
    <w:rsid w:val="00D10CFA"/>
    <w:rsid w:val="00D72A5D"/>
    <w:rsid w:val="00DA71A3"/>
    <w:rsid w:val="00DC629B"/>
    <w:rsid w:val="00DE1C31"/>
    <w:rsid w:val="00E05BFF"/>
    <w:rsid w:val="00E262F1"/>
    <w:rsid w:val="00E3176A"/>
    <w:rsid w:val="00E36CE4"/>
    <w:rsid w:val="00E54754"/>
    <w:rsid w:val="00E56BD3"/>
    <w:rsid w:val="00E71D14"/>
    <w:rsid w:val="00EA77F0"/>
    <w:rsid w:val="00F32316"/>
    <w:rsid w:val="00F66597"/>
    <w:rsid w:val="00F675D0"/>
    <w:rsid w:val="00F80AB3"/>
    <w:rsid w:val="00F8150C"/>
    <w:rsid w:val="00FD0307"/>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CE66BA"/>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03177F"/>
  </w:style>
  <w:style w:type="character" w:customStyle="1" w:styleId="FootnoteTextChar">
    <w:name w:val="Footnote Text Char"/>
    <w:basedOn w:val="DefaultParagraphFont"/>
    <w:link w:val="FootnoteText"/>
    <w:rsid w:val="00B54C73"/>
    <w:rPr>
      <w:rFonts w:ascii="Times New Roman" w:hAnsi="Times New Roman"/>
      <w:sz w:val="24"/>
      <w:lang w:val="es-ES_tradnl" w:eastAsia="en-US"/>
    </w:rPr>
  </w:style>
  <w:style w:type="character" w:styleId="Hyperlink">
    <w:name w:val="Hyperlink"/>
    <w:basedOn w:val="DefaultParagraphFont"/>
    <w:unhideWhenUsed/>
    <w:rsid w:val="00B815E8"/>
    <w:rPr>
      <w:color w:val="0000FF" w:themeColor="hyperlink"/>
      <w:u w:val="single"/>
    </w:rPr>
  </w:style>
  <w:style w:type="character" w:styleId="UnresolvedMention">
    <w:name w:val="Unresolved Mention"/>
    <w:basedOn w:val="DefaultParagraphFont"/>
    <w:uiPriority w:val="99"/>
    <w:semiHidden/>
    <w:unhideWhenUsed/>
    <w:rsid w:val="00B815E8"/>
    <w:rPr>
      <w:color w:val="605E5C"/>
      <w:shd w:val="clear" w:color="auto" w:fill="E1DFDD"/>
    </w:rPr>
  </w:style>
  <w:style w:type="character" w:styleId="FollowedHyperlink">
    <w:name w:val="FollowedHyperlink"/>
    <w:basedOn w:val="DefaultParagraphFont"/>
    <w:semiHidden/>
    <w:unhideWhenUsed/>
    <w:rsid w:val="00B815E8"/>
    <w:rPr>
      <w:color w:val="800080" w:themeColor="followedHyperlink"/>
      <w:u w:val="single"/>
    </w:rPr>
  </w:style>
  <w:style w:type="paragraph" w:styleId="BalloonText">
    <w:name w:val="Balloon Text"/>
    <w:basedOn w:val="Normal"/>
    <w:link w:val="BalloonTextChar"/>
    <w:semiHidden/>
    <w:unhideWhenUsed/>
    <w:rsid w:val="00BE551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E551D"/>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R16-WRC19-C-0016!A22-A7!MSW-S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AF86FA-3C21-4564-B62D-B793A6F3F7A6}">
  <ds:schemaRef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32a1a8c5-2265-4ebc-b7a0-2071e2c5c9bb"/>
    <ds:schemaRef ds:uri="996b2e75-67fd-4955-a3b0-5ab9934cb50b"/>
    <ds:schemaRef ds:uri="http://www.w3.org/XML/1998/namespace"/>
  </ds:schemaRefs>
</ds:datastoreItem>
</file>

<file path=customXml/itemProps5.xml><?xml version="1.0" encoding="utf-8"?>
<ds:datastoreItem xmlns:ds="http://schemas.openxmlformats.org/officeDocument/2006/customXml" ds:itemID="{2966FFFC-6B78-45B5-A27C-3F605BF7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973</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R16-WRC19-C-0016!A22-A7!MSW-S</vt:lpstr>
    </vt:vector>
  </TitlesOfParts>
  <Manager>Secretaría General - Pool</Manager>
  <Company>Unión Internacional de Telecomunicaciones (UIT)</Company>
  <LinksUpToDate>false</LinksUpToDate>
  <CharactersWithSpaces>5847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R16-WRC19-C-0016!A22-A7!MSW-S</dc:title>
  <dc:subject>Conferencia Mundial de Radiocomunicaciones - 2019</dc:subject>
  <dc:creator>Documents Proposals Manager (DPM)</dc:creator>
  <cp:keywords>DPM_v2019.10.15.2_prod</cp:keywords>
  <dc:description/>
  <cp:lastModifiedBy>Spanish</cp:lastModifiedBy>
  <cp:revision>13</cp:revision>
  <cp:lastPrinted>2019-10-17T09:10:00Z</cp:lastPrinted>
  <dcterms:created xsi:type="dcterms:W3CDTF">2019-10-23T01:32:00Z</dcterms:created>
  <dcterms:modified xsi:type="dcterms:W3CDTF">2019-10-23T01:36:00Z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