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 xml:space="preserve">World </w:t>
            </w:r>
            <w:proofErr w:type="spellStart"/>
            <w:r w:rsidRPr="00F7284A">
              <w:rPr>
                <w:rFonts w:ascii="Verdana" w:hAnsi="Verdana" w:cs="Times"/>
                <w:b/>
                <w:position w:val="6"/>
                <w:sz w:val="22"/>
                <w:szCs w:val="22"/>
                <w:lang w:val="en-US"/>
              </w:rPr>
              <w:t>Radiocommunication</w:t>
            </w:r>
            <w:proofErr w:type="spellEnd"/>
            <w:r w:rsidRPr="00F7284A">
              <w:rPr>
                <w:rFonts w:ascii="Verdana" w:hAnsi="Verdana" w:cs="Times"/>
                <w:b/>
                <w:position w:val="6"/>
                <w:sz w:val="22"/>
                <w:szCs w:val="22"/>
                <w:lang w:val="en-US"/>
              </w:rPr>
              <w:t xml:space="preserve">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proofErr w:type="spellStart"/>
            <w:r w:rsidR="00116C7A" w:rsidRPr="00116C7A">
              <w:rPr>
                <w:rFonts w:ascii="Verdana" w:hAnsi="Verdana"/>
                <w:b/>
                <w:bCs/>
                <w:position w:val="6"/>
                <w:sz w:val="18"/>
                <w:szCs w:val="18"/>
                <w:lang w:val="en-US"/>
              </w:rPr>
              <w:t>Sharm</w:t>
            </w:r>
            <w:proofErr w:type="spellEnd"/>
            <w:r w:rsidR="00116C7A" w:rsidRPr="00116C7A">
              <w:rPr>
                <w:rFonts w:ascii="Verdana" w:hAnsi="Verdana"/>
                <w:b/>
                <w:bCs/>
                <w:position w:val="6"/>
                <w:sz w:val="18"/>
                <w:szCs w:val="18"/>
                <w:lang w:val="en-US"/>
              </w:rPr>
              <w:t xml:space="preserve">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rsidR="00A066F1" w:rsidRDefault="005F04D8" w:rsidP="003B2284">
            <w:pPr>
              <w:spacing w:before="0" w:line="240" w:lineRule="atLeast"/>
              <w:jc w:val="right"/>
            </w:pPr>
            <w:r>
              <w:rPr>
                <w:noProof/>
                <w:lang w:eastAsia="en-GB"/>
              </w:rPr>
              <w:drawing>
                <wp:inline distT="0" distB="0" distL="0" distR="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7 to</w:t>
            </w:r>
            <w:r>
              <w:rPr>
                <w:rFonts w:ascii="Verdana" w:hAnsi="Verdana"/>
                <w:b/>
                <w:sz w:val="20"/>
              </w:rPr>
              <w:br/>
              <w:t>Document 16(Add.22)</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European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9.2</w:t>
            </w:r>
          </w:p>
        </w:tc>
      </w:tr>
    </w:tbl>
    <w:bookmarkEnd w:id="5"/>
    <w:bookmarkEnd w:id="6"/>
    <w:p w:rsidR="005118F7" w:rsidRPr="00EC5386" w:rsidRDefault="00C33E18" w:rsidP="00167FA6">
      <w:pPr>
        <w:overflowPunct/>
        <w:autoSpaceDE/>
        <w:autoSpaceDN/>
        <w:adjustRightInd/>
        <w:textAlignment w:val="auto"/>
        <w:rPr>
          <w:lang w:val="en-US"/>
        </w:rPr>
      </w:pPr>
      <w:r w:rsidRPr="00656311">
        <w:rPr>
          <w:lang w:val="en-US"/>
        </w:rPr>
        <w:t>9</w:t>
      </w:r>
      <w:r w:rsidRPr="00656311">
        <w:rPr>
          <w:lang w:val="en-US"/>
        </w:rPr>
        <w:tab/>
        <w:t>to consider and approve the Report of the Director of the Radiocommunication Bureau, in accordance with Article 7 of the Convention:</w:t>
      </w:r>
    </w:p>
    <w:p w:rsidR="005118F7" w:rsidRPr="00C22E98" w:rsidRDefault="00C33E18" w:rsidP="006C1544">
      <w:r w:rsidRPr="00656311">
        <w:rPr>
          <w:lang w:val="en-US"/>
        </w:rPr>
        <w:t>9.2</w:t>
      </w:r>
      <w:r w:rsidRPr="00656311">
        <w:rPr>
          <w:lang w:val="en-US"/>
        </w:rPr>
        <w:tab/>
        <w:t>on any difficulties or inconsistencies encountered in the application of the Radio Regulations</w:t>
      </w:r>
      <w:r>
        <w:rPr>
          <w:rStyle w:val="FootnoteReference"/>
          <w:lang w:val="en-US"/>
        </w:rPr>
        <w:footnoteReference w:customMarkFollows="1" w:id="1"/>
        <w:t>*</w:t>
      </w:r>
      <w:r w:rsidRPr="00656311">
        <w:rPr>
          <w:lang w:val="en-US"/>
        </w:rPr>
        <w:t>; and</w:t>
      </w:r>
    </w:p>
    <w:p w:rsidR="00C33E18" w:rsidRPr="00CD789E" w:rsidRDefault="00C33E18" w:rsidP="00C33E18">
      <w:pPr>
        <w:pStyle w:val="Title4"/>
        <w:rPr>
          <w:lang w:val="en-US"/>
        </w:rPr>
      </w:pPr>
      <w:r w:rsidRPr="00CD789E">
        <w:rPr>
          <w:lang w:val="en-US"/>
        </w:rPr>
        <w:t xml:space="preserve">Part </w:t>
      </w:r>
      <w:proofErr w:type="gramStart"/>
      <w:r w:rsidRPr="00CD789E">
        <w:rPr>
          <w:lang w:val="en-US"/>
        </w:rPr>
        <w:t>7</w:t>
      </w:r>
      <w:proofErr w:type="gramEnd"/>
      <w:r w:rsidRPr="00CD789E">
        <w:rPr>
          <w:lang w:val="en-US"/>
        </w:rPr>
        <w:t xml:space="preserve"> – Section 3.2.</w:t>
      </w:r>
      <w:r>
        <w:rPr>
          <w:lang w:val="en-US"/>
        </w:rPr>
        <w:t>4</w:t>
      </w:r>
      <w:r w:rsidRPr="00CD789E">
        <w:rPr>
          <w:lang w:val="en-US"/>
        </w:rPr>
        <w:t>.3 of the Report of the BR Director</w:t>
      </w:r>
    </w:p>
    <w:p w:rsidR="00C33E18" w:rsidRPr="00CD789E" w:rsidRDefault="00C33E18" w:rsidP="00C33E18">
      <w:pPr>
        <w:pStyle w:val="Headingb"/>
        <w:rPr>
          <w:lang w:val="en-US"/>
        </w:rPr>
      </w:pPr>
      <w:r w:rsidRPr="00CD789E">
        <w:rPr>
          <w:lang w:val="en-US"/>
        </w:rPr>
        <w:t>Introduction</w:t>
      </w:r>
    </w:p>
    <w:p w:rsidR="00C33E18" w:rsidRPr="00A93287" w:rsidRDefault="00C33E18" w:rsidP="00C33E18">
      <w:r w:rsidRPr="00A93287">
        <w:t>This Addendum presents the European Common Proposal with respect to Section 3.2.</w:t>
      </w:r>
      <w:r>
        <w:t>4</w:t>
      </w:r>
      <w:r w:rsidRPr="00A93287">
        <w:t xml:space="preserve">.3 of the Report of the Director of the </w:t>
      </w:r>
      <w:proofErr w:type="spellStart"/>
      <w:r w:rsidRPr="00A93287">
        <w:t>Radiocommunication</w:t>
      </w:r>
      <w:proofErr w:type="spellEnd"/>
      <w:r w:rsidRPr="00A93287">
        <w:t xml:space="preserve"> Bureau under WRC-19 agenda item 9.2.</w:t>
      </w:r>
      <w:r>
        <w:t xml:space="preserve"> The Section 3.2.4.3 is dealing with a reminder in the case of the deadline to request an extension of the validity of BSS frequency assignment for additional 15 years.</w:t>
      </w:r>
    </w:p>
    <w:p w:rsidR="00C33E18" w:rsidRDefault="00C33E18" w:rsidP="00C33E18">
      <w:pPr>
        <w:rPr>
          <w:lang w:val="en-US"/>
        </w:rPr>
      </w:pPr>
      <w:r w:rsidRPr="00FE4913">
        <w:t>The provisions</w:t>
      </w:r>
      <w:r>
        <w:t xml:space="preserve"> of </w:t>
      </w:r>
      <w:r w:rsidRPr="00FE4913">
        <w:t>§</w:t>
      </w:r>
      <w:r>
        <w:t xml:space="preserve"> 4.1.24</w:t>
      </w:r>
      <w:r w:rsidRPr="00FE4913">
        <w:t xml:space="preserve"> of RR Appendices </w:t>
      </w:r>
      <w:r w:rsidRPr="00FE4913">
        <w:rPr>
          <w:b/>
        </w:rPr>
        <w:t>30</w:t>
      </w:r>
      <w:r w:rsidRPr="00FE4913">
        <w:t xml:space="preserve"> and </w:t>
      </w:r>
      <w:r w:rsidRPr="00FE4913">
        <w:rPr>
          <w:b/>
        </w:rPr>
        <w:t>30A</w:t>
      </w:r>
      <w:r w:rsidRPr="00FE4913">
        <w:t xml:space="preserve"> </w:t>
      </w:r>
      <w:r>
        <w:rPr>
          <w:lang w:val="en-US"/>
        </w:rPr>
        <w:t>specify that n</w:t>
      </w:r>
      <w:r w:rsidRPr="00FE4913">
        <w:rPr>
          <w:lang w:val="en-US"/>
        </w:rPr>
        <w:t xml:space="preserve">o </w:t>
      </w:r>
      <w:r>
        <w:rPr>
          <w:lang w:val="en-US"/>
        </w:rPr>
        <w:t xml:space="preserve">frequency </w:t>
      </w:r>
      <w:r w:rsidRPr="00FE4913">
        <w:rPr>
          <w:lang w:val="en-US"/>
        </w:rPr>
        <w:t xml:space="preserve">assignment in the </w:t>
      </w:r>
      <w:r>
        <w:rPr>
          <w:lang w:val="en-US"/>
        </w:rPr>
        <w:t xml:space="preserve">Region 1 and 3 </w:t>
      </w:r>
      <w:r w:rsidRPr="00FE4913">
        <w:rPr>
          <w:lang w:val="en-US"/>
        </w:rPr>
        <w:t>List shall have a period of operation exceeding 15 years, counted</w:t>
      </w:r>
      <w:r>
        <w:rPr>
          <w:lang w:val="en-US"/>
        </w:rPr>
        <w:t xml:space="preserve"> </w:t>
      </w:r>
      <w:r w:rsidRPr="00FE4913">
        <w:rPr>
          <w:lang w:val="en-US"/>
        </w:rPr>
        <w:t xml:space="preserve">from the date of bringing into use, or </w:t>
      </w:r>
      <w:r>
        <w:rPr>
          <w:lang w:val="en-US"/>
        </w:rPr>
        <w:t>2 June 2000, whichever is later</w:t>
      </w:r>
      <w:r w:rsidRPr="00FE4913">
        <w:rPr>
          <w:lang w:val="en-US"/>
        </w:rPr>
        <w:t xml:space="preserve">. </w:t>
      </w:r>
      <w:r>
        <w:rPr>
          <w:lang w:val="en-US"/>
        </w:rPr>
        <w:t xml:space="preserve">This period of operation may be extended for additional 15 years, on the condition </w:t>
      </w:r>
      <w:r w:rsidRPr="00FE4913">
        <w:rPr>
          <w:lang w:val="en-US"/>
        </w:rPr>
        <w:t xml:space="preserve">that all the characteristics of the </w:t>
      </w:r>
      <w:r>
        <w:rPr>
          <w:lang w:val="en-US"/>
        </w:rPr>
        <w:t xml:space="preserve">frequency </w:t>
      </w:r>
      <w:r w:rsidRPr="00FE4913">
        <w:rPr>
          <w:lang w:val="en-US"/>
        </w:rPr>
        <w:t>assignment</w:t>
      </w:r>
      <w:r>
        <w:rPr>
          <w:lang w:val="en-US"/>
        </w:rPr>
        <w:t xml:space="preserve">s in question </w:t>
      </w:r>
      <w:r w:rsidRPr="00FE4913">
        <w:rPr>
          <w:lang w:val="en-US"/>
        </w:rPr>
        <w:t>remain unchanged</w:t>
      </w:r>
      <w:r>
        <w:rPr>
          <w:lang w:val="en-US"/>
        </w:rPr>
        <w:t xml:space="preserve"> and that the request for such extension is received by the Bureau at least 3 years before the expiry of the first 15 years</w:t>
      </w:r>
      <w:r w:rsidRPr="00FE4913">
        <w:rPr>
          <w:lang w:val="en-US"/>
        </w:rPr>
        <w:t>.</w:t>
      </w:r>
    </w:p>
    <w:p w:rsidR="00C33E18" w:rsidRDefault="00C33E18" w:rsidP="00C33E18">
      <w:pPr>
        <w:rPr>
          <w:lang w:val="en-US"/>
        </w:rPr>
      </w:pPr>
      <w:r w:rsidRPr="00FE4913">
        <w:rPr>
          <w:lang w:val="en-US"/>
        </w:rPr>
        <w:t>In order to help the administrations in question to not have their frequency assignments being removed from the Region 1 and 3 L</w:t>
      </w:r>
      <w:r>
        <w:rPr>
          <w:lang w:val="en-US"/>
        </w:rPr>
        <w:t>ist</w:t>
      </w:r>
      <w:r w:rsidRPr="00FE4913">
        <w:rPr>
          <w:lang w:val="en-US"/>
        </w:rPr>
        <w:t>, as well as from the Master</w:t>
      </w:r>
      <w:r>
        <w:rPr>
          <w:lang w:val="en-US"/>
        </w:rPr>
        <w:t xml:space="preserve"> International Frequency</w:t>
      </w:r>
      <w:r w:rsidRPr="00FE4913">
        <w:rPr>
          <w:lang w:val="en-US"/>
        </w:rPr>
        <w:t xml:space="preserve"> Register, it is proposed to add an obligation to the Bureau to </w:t>
      </w:r>
      <w:r>
        <w:rPr>
          <w:lang w:val="en-US"/>
        </w:rPr>
        <w:t>send a rem</w:t>
      </w:r>
      <w:r w:rsidRPr="00FE4913">
        <w:rPr>
          <w:lang w:val="en-US"/>
        </w:rPr>
        <w:t xml:space="preserve">inder to administrations concerned </w:t>
      </w:r>
      <w:r>
        <w:rPr>
          <w:lang w:val="en-US"/>
        </w:rPr>
        <w:t>30 days before the deadline of receipt of the request for extension</w:t>
      </w:r>
      <w:r w:rsidRPr="00FE4913">
        <w:rPr>
          <w:lang w:val="en-US"/>
        </w:rPr>
        <w:t>.</w:t>
      </w:r>
      <w:r>
        <w:rPr>
          <w:lang w:val="en-US"/>
        </w:rPr>
        <w:t xml:space="preserve"> </w:t>
      </w:r>
    </w:p>
    <w:p w:rsidR="00C33E18" w:rsidRDefault="00C33E18" w:rsidP="00C33E18">
      <w:pPr>
        <w:rPr>
          <w:lang w:val="en-US"/>
        </w:rPr>
      </w:pPr>
      <w:r>
        <w:rPr>
          <w:lang w:val="en-US"/>
        </w:rPr>
        <w:t xml:space="preserve">In addition to that, the Bureau has received some requests for extension of the period of operation of the frequency assignments after the deadline. Consequently, the Bureau started to send reminders to </w:t>
      </w:r>
      <w:r>
        <w:rPr>
          <w:lang w:val="en-US"/>
        </w:rPr>
        <w:lastRenderedPageBreak/>
        <w:t>the administrations concerned 30 days before the deadline and also has reported these cases to the Radio Regulations Board. The Board endorsed the course of action taken by the Bureau.</w:t>
      </w:r>
    </w:p>
    <w:p w:rsidR="00C33E18" w:rsidRPr="00FE4913" w:rsidRDefault="00C33E18" w:rsidP="00C33E18">
      <w:pPr>
        <w:rPr>
          <w:lang w:val="en-US"/>
        </w:rPr>
      </w:pPr>
      <w:r>
        <w:rPr>
          <w:lang w:val="en-US"/>
        </w:rPr>
        <w:t xml:space="preserve">The introduction of an obligation to the Bureau to send a reminder to the notifying administration at least 30 days before the deadline for the request for extension of the frequency assignment contained in the Region 1 and 3 List which has been brought into use and continue to be in use with all its technical characteristics unchanged would benefit to all concerned administrations to apply the provisions of </w:t>
      </w:r>
      <w:r w:rsidRPr="00833B8A">
        <w:t xml:space="preserve">§ 4.1.24 of RR Appendices </w:t>
      </w:r>
      <w:r w:rsidRPr="00833B8A">
        <w:rPr>
          <w:b/>
        </w:rPr>
        <w:t>30</w:t>
      </w:r>
      <w:r w:rsidRPr="00833B8A">
        <w:t xml:space="preserve"> and </w:t>
      </w:r>
      <w:r w:rsidRPr="00833B8A">
        <w:rPr>
          <w:b/>
        </w:rPr>
        <w:t>30A</w:t>
      </w:r>
      <w:r w:rsidRPr="00833B8A">
        <w:t xml:space="preserve"> in due time.</w:t>
      </w:r>
    </w:p>
    <w:p w:rsidR="00C33E18" w:rsidRPr="00CD789E" w:rsidRDefault="00C33E18" w:rsidP="00C33E18">
      <w:pPr>
        <w:pStyle w:val="Headingb"/>
        <w:rPr>
          <w:lang w:val="en-US"/>
        </w:rPr>
      </w:pPr>
      <w:r w:rsidRPr="00CD789E">
        <w:rPr>
          <w:lang w:val="en-US"/>
        </w:rPr>
        <w:t>Proposals</w:t>
      </w:r>
    </w:p>
    <w:p w:rsidR="00241FA2" w:rsidRPr="00C33E18" w:rsidRDefault="00241FA2" w:rsidP="00EF71B6">
      <w:pPr>
        <w:rPr>
          <w:lang w:val="en-US"/>
        </w:rPr>
      </w:pPr>
    </w:p>
    <w:p w:rsidR="00C33E18" w:rsidRDefault="00C33E18" w:rsidP="00EF71B6"/>
    <w:p w:rsidR="00187BD9" w:rsidRPr="002D76A2" w:rsidRDefault="00187BD9" w:rsidP="00187BD9">
      <w:pPr>
        <w:tabs>
          <w:tab w:val="clear" w:pos="1134"/>
          <w:tab w:val="clear" w:pos="1871"/>
          <w:tab w:val="clear" w:pos="2268"/>
        </w:tabs>
        <w:overflowPunct/>
        <w:autoSpaceDE/>
        <w:autoSpaceDN/>
        <w:adjustRightInd/>
        <w:spacing w:before="0"/>
        <w:textAlignment w:val="auto"/>
      </w:pPr>
      <w:r w:rsidRPr="002D76A2">
        <w:br w:type="page"/>
      </w:r>
      <w:bookmarkStart w:id="7" w:name="_GoBack"/>
      <w:bookmarkEnd w:id="7"/>
    </w:p>
    <w:p w:rsidR="006C04ED" w:rsidRPr="00B06821" w:rsidRDefault="00C33E18" w:rsidP="00AE79D0">
      <w:pPr>
        <w:pStyle w:val="AppendixNo"/>
        <w:spacing w:before="0"/>
        <w:rPr>
          <w:vertAlign w:val="superscript"/>
          <w:lang w:val="en-US"/>
        </w:rPr>
      </w:pPr>
      <w:bookmarkStart w:id="8" w:name="_Toc454787466"/>
      <w:r w:rsidRPr="00B06821">
        <w:rPr>
          <w:lang w:val="en-US"/>
        </w:rPr>
        <w:lastRenderedPageBreak/>
        <w:t xml:space="preserve">APPENDIX </w:t>
      </w:r>
      <w:r w:rsidRPr="00B06821">
        <w:rPr>
          <w:rStyle w:val="href"/>
          <w:lang w:val="en-US"/>
        </w:rPr>
        <w:t>30</w:t>
      </w:r>
      <w:r w:rsidRPr="00B06821">
        <w:rPr>
          <w:lang w:val="en-US"/>
        </w:rPr>
        <w:t xml:space="preserve"> (</w:t>
      </w:r>
      <w:r w:rsidRPr="00354DCE">
        <w:t>REV</w:t>
      </w:r>
      <w:r w:rsidRPr="00B06821">
        <w:rPr>
          <w:lang w:val="en-US"/>
        </w:rPr>
        <w:t>.</w:t>
      </w:r>
      <w:r>
        <w:rPr>
          <w:lang w:val="en-US"/>
        </w:rPr>
        <w:t>WRC</w:t>
      </w:r>
      <w:r>
        <w:rPr>
          <w:lang w:val="en-US"/>
        </w:rPr>
        <w:noBreakHyphen/>
        <w:t>15</w:t>
      </w:r>
      <w:r w:rsidRPr="00B06821">
        <w:rPr>
          <w:lang w:val="en-US"/>
        </w:rPr>
        <w:t>)</w:t>
      </w:r>
      <w:r w:rsidRPr="008B2790">
        <w:rPr>
          <w:rStyle w:val="FootnoteReference"/>
        </w:rPr>
        <w:footnoteReference w:customMarkFollows="1" w:id="2"/>
        <w:t>*</w:t>
      </w:r>
      <w:bookmarkEnd w:id="8"/>
    </w:p>
    <w:p w:rsidR="006C04ED" w:rsidRDefault="00C33E18" w:rsidP="001F0862">
      <w:pPr>
        <w:pStyle w:val="Appendixtitle"/>
        <w:rPr>
          <w:rFonts w:ascii="Times New Roman"/>
          <w:b w:val="0"/>
          <w:bCs/>
          <w:color w:val="000000"/>
          <w:sz w:val="16"/>
        </w:rPr>
      </w:pPr>
      <w:bookmarkStart w:id="9" w:name="_Toc330560547"/>
      <w:bookmarkStart w:id="10" w:name="_Toc454787467"/>
      <w:r w:rsidRPr="00821BE4">
        <w:t>Provisions for all services and associated Plans and List</w:t>
      </w:r>
      <w:r w:rsidRPr="00144E9E">
        <w:rPr>
          <w:rStyle w:val="FootnoteReference"/>
        </w:rPr>
        <w:footnoteReference w:customMarkFollows="1" w:id="3"/>
        <w:t>1</w:t>
      </w:r>
      <w:r w:rsidRPr="00821BE4">
        <w:t xml:space="preserve"> for</w:t>
      </w:r>
      <w:r w:rsidRPr="00821BE4">
        <w:br/>
        <w:t>the broadcasting-satellite service in the frequency bands</w:t>
      </w:r>
      <w:r w:rsidRPr="00821BE4">
        <w:br/>
        <w:t>11.7-12.2 GHz (in Region 3), 11.7-12.5 GHz (in Region 1)</w:t>
      </w:r>
      <w:r w:rsidRPr="00821BE4">
        <w:br/>
        <w:t>         and 12.2-12.7 GHz (in Region 2)</w:t>
      </w:r>
      <w:r>
        <w:rPr>
          <w:b w:val="0"/>
          <w:bCs/>
          <w:color w:val="000000"/>
          <w:sz w:val="16"/>
        </w:rPr>
        <w:t>  </w:t>
      </w:r>
      <w:r w:rsidRPr="00D41CE2">
        <w:rPr>
          <w:b w:val="0"/>
          <w:bCs/>
          <w:color w:val="000000"/>
          <w:sz w:val="16"/>
        </w:rPr>
        <w:t>  </w:t>
      </w:r>
      <w:r w:rsidRPr="00D41CE2">
        <w:rPr>
          <w:rFonts w:ascii="Times New Roman"/>
          <w:b w:val="0"/>
          <w:bCs/>
          <w:color w:val="000000"/>
          <w:sz w:val="16"/>
        </w:rPr>
        <w:t>(</w:t>
      </w:r>
      <w:r>
        <w:rPr>
          <w:rFonts w:ascii="Times New Roman"/>
          <w:b w:val="0"/>
          <w:bCs/>
          <w:color w:val="000000"/>
          <w:sz w:val="16"/>
        </w:rPr>
        <w:t>WRC</w:t>
      </w:r>
      <w:r>
        <w:rPr>
          <w:rFonts w:ascii="Times New Roman"/>
          <w:b w:val="0"/>
          <w:bCs/>
          <w:color w:val="000000"/>
          <w:sz w:val="16"/>
        </w:rPr>
        <w:noBreakHyphen/>
      </w:r>
      <w:r w:rsidRPr="00D41CE2">
        <w:rPr>
          <w:rFonts w:ascii="Times New Roman"/>
          <w:b w:val="0"/>
          <w:bCs/>
          <w:color w:val="000000"/>
          <w:sz w:val="16"/>
        </w:rPr>
        <w:t>03)</w:t>
      </w:r>
      <w:bookmarkEnd w:id="9"/>
      <w:bookmarkEnd w:id="10"/>
    </w:p>
    <w:p w:rsidR="006C04ED" w:rsidRPr="002A23C2" w:rsidRDefault="00C33E18" w:rsidP="001530B7">
      <w:pPr>
        <w:pStyle w:val="AppArtNo"/>
        <w:rPr>
          <w:lang w:val="en-US"/>
        </w:rPr>
      </w:pPr>
      <w:r w:rsidRPr="002A23C2">
        <w:rPr>
          <w:lang w:val="en-US"/>
        </w:rPr>
        <w:t>ARTICLE  4</w:t>
      </w:r>
      <w:r w:rsidRPr="008D640A">
        <w:rPr>
          <w:sz w:val="16"/>
          <w:szCs w:val="16"/>
          <w:lang w:val="en-US"/>
        </w:rPr>
        <w:t>     (Rev.WRC</w:t>
      </w:r>
      <w:r w:rsidRPr="008D640A">
        <w:rPr>
          <w:sz w:val="16"/>
          <w:szCs w:val="16"/>
          <w:lang w:val="en-US"/>
        </w:rPr>
        <w:noBreakHyphen/>
      </w:r>
      <w:r>
        <w:rPr>
          <w:sz w:val="16"/>
          <w:szCs w:val="16"/>
          <w:lang w:val="en-US"/>
        </w:rPr>
        <w:t>15</w:t>
      </w:r>
      <w:r w:rsidRPr="008D640A">
        <w:rPr>
          <w:sz w:val="16"/>
          <w:szCs w:val="16"/>
          <w:lang w:val="en-US"/>
        </w:rPr>
        <w:t>)</w:t>
      </w:r>
    </w:p>
    <w:p w:rsidR="006C04ED" w:rsidRDefault="00C33E18" w:rsidP="001F0862">
      <w:pPr>
        <w:pStyle w:val="AppArttitle"/>
      </w:pPr>
      <w:r>
        <w:t xml:space="preserve">Procedures for modifications to the Region 2 Plan or </w:t>
      </w:r>
      <w:r>
        <w:br/>
        <w:t>for additional uses in Regions 1 and 3</w:t>
      </w:r>
      <w:r w:rsidRPr="00205E38">
        <w:rPr>
          <w:rStyle w:val="FootnoteReference"/>
          <w:b w:val="0"/>
          <w:bCs/>
          <w:position w:val="0"/>
          <w:sz w:val="28"/>
          <w:szCs w:val="28"/>
          <w:vertAlign w:val="superscript"/>
        </w:rPr>
        <w:footnoteReference w:customMarkFollows="1" w:id="4"/>
        <w:t>3</w:t>
      </w:r>
    </w:p>
    <w:p w:rsidR="006C04ED" w:rsidRDefault="00C33E18" w:rsidP="001F0862">
      <w:pPr>
        <w:pStyle w:val="Heading2"/>
      </w:pPr>
      <w:r>
        <w:t>4.1</w:t>
      </w:r>
      <w:r>
        <w:tab/>
        <w:t>Provisions applicable to Regions 1 and 3</w:t>
      </w:r>
    </w:p>
    <w:p w:rsidR="003812A2" w:rsidRDefault="00C33E18">
      <w:pPr>
        <w:pStyle w:val="Proposal"/>
      </w:pPr>
      <w:r>
        <w:t>MOD</w:t>
      </w:r>
      <w:r>
        <w:tab/>
        <w:t>EUR/16A22A7/1</w:t>
      </w:r>
    </w:p>
    <w:p w:rsidR="006C04ED" w:rsidRPr="00F90A20" w:rsidRDefault="00C33E18" w:rsidP="001F0862">
      <w:pPr>
        <w:rPr>
          <w:lang w:val="en-US"/>
        </w:rPr>
      </w:pPr>
      <w:r w:rsidRPr="00735E9E">
        <w:rPr>
          <w:rStyle w:val="Provsplit"/>
        </w:rPr>
        <w:t>4.1.24</w:t>
      </w:r>
      <w:r w:rsidRPr="00F90A20">
        <w:tab/>
        <w:t>No assignment in the List shall have a period of operation exceeding 15 years, counted from the date of bringing into use, or 2</w:t>
      </w:r>
      <w:r>
        <w:t> </w:t>
      </w:r>
      <w:r w:rsidRPr="00F90A20">
        <w:t>June</w:t>
      </w:r>
      <w:r>
        <w:t> </w:t>
      </w:r>
      <w:r w:rsidRPr="00F90A20">
        <w:t>2000, whichever is later. Upon request by the responsible administration received by the Bureau at the latest three years before the expiry of this period, this period may be extended by up to 15 years, on condition that all the characteristics of the assignment remain unchanged</w:t>
      </w:r>
      <w:ins w:id="11" w:author="CEPT Coordinator" w:date="2019-05-30T19:26:00Z">
        <w:r w:rsidRPr="00C33E18">
          <w:rPr>
            <w:position w:val="6"/>
            <w:sz w:val="18"/>
          </w:rPr>
          <w:footnoteReference w:id="5"/>
        </w:r>
      </w:ins>
      <w:r w:rsidRPr="00F90A20">
        <w:t>.</w:t>
      </w:r>
      <w:ins w:id="14" w:author="CEPT Coordinator" w:date="2019-07-24T14:48:00Z">
        <w:r w:rsidRPr="00C33E18">
          <w:rPr>
            <w:sz w:val="16"/>
          </w:rPr>
          <w:t>     (WRC</w:t>
        </w:r>
        <w:r w:rsidRPr="00C33E18">
          <w:rPr>
            <w:sz w:val="16"/>
          </w:rPr>
          <w:noBreakHyphen/>
          <w:t>19)</w:t>
        </w:r>
      </w:ins>
    </w:p>
    <w:p w:rsidR="003812A2" w:rsidRDefault="00C33E18">
      <w:pPr>
        <w:pStyle w:val="Reasons"/>
      </w:pPr>
      <w:r>
        <w:rPr>
          <w:b/>
        </w:rPr>
        <w:t>Reasons:</w:t>
      </w:r>
      <w:r>
        <w:tab/>
        <w:t xml:space="preserve">Introduction of an obligation to the Bureau to send a reminder at least 30 days before the deadline for the request for extension of the period of operation of the frequency assignment in the Regions 1 and 3 List would benefit all concerned administrations to apply the provisions of </w:t>
      </w:r>
      <w:r w:rsidRPr="006C173E">
        <w:t xml:space="preserve">§ 4.1.24 of RR Appendices </w:t>
      </w:r>
      <w:r w:rsidRPr="006C173E">
        <w:rPr>
          <w:b/>
        </w:rPr>
        <w:t>30</w:t>
      </w:r>
      <w:r w:rsidRPr="006C173E">
        <w:t xml:space="preserve"> and </w:t>
      </w:r>
      <w:r w:rsidRPr="006C173E">
        <w:rPr>
          <w:b/>
        </w:rPr>
        <w:t>30A</w:t>
      </w:r>
      <w:r w:rsidRPr="006C173E">
        <w:t xml:space="preserve"> in due time</w:t>
      </w:r>
      <w:r>
        <w:t>.</w:t>
      </w:r>
    </w:p>
    <w:p w:rsidR="006C04ED" w:rsidRPr="003705ED" w:rsidRDefault="00C33E18" w:rsidP="00FB7A3D">
      <w:pPr>
        <w:pStyle w:val="AppendixNo"/>
        <w:spacing w:before="0"/>
        <w:rPr>
          <w:lang w:val="en-US"/>
        </w:rPr>
      </w:pPr>
      <w:bookmarkStart w:id="15" w:name="_Toc454787482"/>
      <w:r w:rsidRPr="003705ED">
        <w:rPr>
          <w:lang w:val="en-US"/>
        </w:rPr>
        <w:lastRenderedPageBreak/>
        <w:t xml:space="preserve">APPENDIX </w:t>
      </w:r>
      <w:r w:rsidRPr="00ED18A7">
        <w:rPr>
          <w:rStyle w:val="href"/>
        </w:rPr>
        <w:t>30A</w:t>
      </w:r>
      <w:r w:rsidRPr="003705ED">
        <w:rPr>
          <w:lang w:val="en-US"/>
        </w:rPr>
        <w:t> (</w:t>
      </w:r>
      <w:r w:rsidRPr="00354DCE">
        <w:t>REV</w:t>
      </w:r>
      <w:r w:rsidRPr="003705ED">
        <w:rPr>
          <w:lang w:val="en-US"/>
        </w:rPr>
        <w:t>.</w:t>
      </w:r>
      <w:r>
        <w:rPr>
          <w:lang w:val="en-US"/>
        </w:rPr>
        <w:t>WRC</w:t>
      </w:r>
      <w:r>
        <w:rPr>
          <w:lang w:val="en-US"/>
        </w:rPr>
        <w:noBreakHyphen/>
        <w:t>15</w:t>
      </w:r>
      <w:r w:rsidRPr="003705ED">
        <w:rPr>
          <w:lang w:val="en-US"/>
        </w:rPr>
        <w:t>)</w:t>
      </w:r>
      <w:r>
        <w:rPr>
          <w:rStyle w:val="FootnoteReference"/>
          <w:color w:val="000000"/>
        </w:rPr>
        <w:footnoteReference w:customMarkFollows="1" w:id="6"/>
        <w:t>*</w:t>
      </w:r>
      <w:bookmarkEnd w:id="15"/>
    </w:p>
    <w:p w:rsidR="006C04ED" w:rsidRPr="008C356D" w:rsidRDefault="00C33E18" w:rsidP="001F0862">
      <w:pPr>
        <w:pStyle w:val="Appendixtitle"/>
        <w:rPr>
          <w:b w:val="0"/>
          <w:bCs/>
          <w:sz w:val="16"/>
          <w:lang w:val="en-US"/>
        </w:rPr>
      </w:pPr>
      <w:bookmarkStart w:id="16" w:name="_Toc330560563"/>
      <w:bookmarkStart w:id="17" w:name="_Toc454787483"/>
      <w:r w:rsidRPr="008C356D">
        <w:rPr>
          <w:lang w:val="en-US"/>
        </w:rPr>
        <w:t>Provisions and associated Plans and List</w:t>
      </w:r>
      <w:r w:rsidRPr="006A21E2">
        <w:rPr>
          <w:rStyle w:val="FootnoteReference"/>
          <w:rFonts w:asciiTheme="majorBidi" w:hAnsiTheme="majorBidi" w:cstheme="majorBidi"/>
          <w:b w:val="0"/>
          <w:bCs/>
          <w:color w:val="000000"/>
          <w:lang w:val="en-US"/>
        </w:rPr>
        <w:footnoteReference w:customMarkFollows="1" w:id="7"/>
        <w:t>1</w:t>
      </w:r>
      <w:r w:rsidRPr="008C356D">
        <w:rPr>
          <w:lang w:val="en-US"/>
        </w:rPr>
        <w:t xml:space="preserve"> for feeder links for the broadcasting-satellite service (11.7-12.5</w:t>
      </w:r>
      <w:r>
        <w:rPr>
          <w:lang w:val="en-US"/>
        </w:rPr>
        <w:t> GHz</w:t>
      </w:r>
      <w:r w:rsidRPr="008C356D">
        <w:rPr>
          <w:lang w:val="en-US"/>
        </w:rPr>
        <w:t xml:space="preserve"> in </w:t>
      </w:r>
      <w:r>
        <w:rPr>
          <w:lang w:val="en-US"/>
        </w:rPr>
        <w:t>Region </w:t>
      </w:r>
      <w:r w:rsidRPr="008C356D">
        <w:rPr>
          <w:lang w:val="en-US"/>
        </w:rPr>
        <w:t>1, 12.2-12.7</w:t>
      </w:r>
      <w:r>
        <w:rPr>
          <w:lang w:val="en-US"/>
        </w:rPr>
        <w:t> GHz</w:t>
      </w:r>
      <w:r w:rsidRPr="008C356D">
        <w:rPr>
          <w:lang w:val="en-US"/>
        </w:rPr>
        <w:br/>
        <w:t xml:space="preserve">in </w:t>
      </w:r>
      <w:r>
        <w:rPr>
          <w:lang w:val="en-US"/>
        </w:rPr>
        <w:t>Region </w:t>
      </w:r>
      <w:r w:rsidRPr="008C356D">
        <w:rPr>
          <w:lang w:val="en-US"/>
        </w:rPr>
        <w:t>2 and 11.7-12.2</w:t>
      </w:r>
      <w:r>
        <w:rPr>
          <w:lang w:val="en-US"/>
        </w:rPr>
        <w:t> GHz</w:t>
      </w:r>
      <w:r w:rsidRPr="008C356D">
        <w:rPr>
          <w:lang w:val="en-US"/>
        </w:rPr>
        <w:t xml:space="preserve"> in </w:t>
      </w:r>
      <w:r>
        <w:rPr>
          <w:lang w:val="en-US"/>
        </w:rPr>
        <w:t>Region </w:t>
      </w:r>
      <w:r w:rsidRPr="008C356D">
        <w:rPr>
          <w:lang w:val="en-US"/>
        </w:rPr>
        <w:t>3) in the frequency bands</w:t>
      </w:r>
      <w:r w:rsidRPr="008C356D">
        <w:rPr>
          <w:lang w:val="en-US"/>
        </w:rPr>
        <w:br/>
        <w:t>14.5-14.8</w:t>
      </w:r>
      <w:r>
        <w:rPr>
          <w:lang w:val="en-US"/>
        </w:rPr>
        <w:t> GHz</w:t>
      </w:r>
      <w:r w:rsidRPr="006A21E2">
        <w:rPr>
          <w:rStyle w:val="FootnoteReference"/>
          <w:rFonts w:asciiTheme="majorBidi" w:hAnsiTheme="majorBidi" w:cstheme="majorBidi"/>
          <w:b w:val="0"/>
          <w:bCs/>
          <w:color w:val="000000"/>
          <w:lang w:val="en-US"/>
        </w:rPr>
        <w:footnoteReference w:customMarkFollows="1" w:id="8"/>
        <w:t>2</w:t>
      </w:r>
      <w:r w:rsidRPr="008C356D">
        <w:rPr>
          <w:lang w:val="en-US"/>
        </w:rPr>
        <w:t xml:space="preserve"> and 17.3-18.1</w:t>
      </w:r>
      <w:r>
        <w:rPr>
          <w:lang w:val="en-US"/>
        </w:rPr>
        <w:t> GHz</w:t>
      </w:r>
      <w:r w:rsidRPr="008C356D">
        <w:rPr>
          <w:lang w:val="en-US"/>
        </w:rPr>
        <w:t xml:space="preserve"> in </w:t>
      </w:r>
      <w:r>
        <w:rPr>
          <w:lang w:val="en-US"/>
        </w:rPr>
        <w:t>Regions </w:t>
      </w:r>
      <w:r w:rsidRPr="008C356D">
        <w:rPr>
          <w:lang w:val="en-US"/>
        </w:rPr>
        <w:t>1 and 3,</w:t>
      </w:r>
      <w:r w:rsidRPr="008C356D">
        <w:rPr>
          <w:lang w:val="en-US"/>
        </w:rPr>
        <w:br/>
        <w:t>and 17.3-17.8</w:t>
      </w:r>
      <w:r>
        <w:rPr>
          <w:lang w:val="en-US"/>
        </w:rPr>
        <w:t> GHz</w:t>
      </w:r>
      <w:r w:rsidRPr="008C356D">
        <w:rPr>
          <w:lang w:val="en-US"/>
        </w:rPr>
        <w:t xml:space="preserve"> in </w:t>
      </w:r>
      <w:r>
        <w:rPr>
          <w:lang w:val="en-US"/>
        </w:rPr>
        <w:t>Region </w:t>
      </w:r>
      <w:r w:rsidRPr="008C356D">
        <w:rPr>
          <w:lang w:val="en-US"/>
        </w:rPr>
        <w:t>2</w:t>
      </w:r>
      <w:r w:rsidRPr="00672737">
        <w:rPr>
          <w:b w:val="0"/>
          <w:bCs/>
          <w:sz w:val="16"/>
          <w:lang w:val="en-US"/>
        </w:rPr>
        <w:t>     (</w:t>
      </w:r>
      <w:r>
        <w:rPr>
          <w:rFonts w:asciiTheme="majorBidi" w:hAnsiTheme="majorBidi" w:cstheme="majorBidi"/>
          <w:b w:val="0"/>
          <w:bCs/>
          <w:sz w:val="16"/>
          <w:lang w:val="en-US"/>
        </w:rPr>
        <w:t>WRC</w:t>
      </w:r>
      <w:r>
        <w:rPr>
          <w:rFonts w:asciiTheme="majorBidi" w:hAnsiTheme="majorBidi" w:cstheme="majorBidi"/>
          <w:b w:val="0"/>
          <w:bCs/>
          <w:sz w:val="16"/>
          <w:lang w:val="en-US"/>
        </w:rPr>
        <w:noBreakHyphen/>
      </w:r>
      <w:r w:rsidRPr="00D92A15">
        <w:rPr>
          <w:rFonts w:asciiTheme="majorBidi" w:hAnsiTheme="majorBidi" w:cstheme="majorBidi"/>
          <w:b w:val="0"/>
          <w:bCs/>
          <w:sz w:val="16"/>
          <w:lang w:val="en-US"/>
        </w:rPr>
        <w:t>03)</w:t>
      </w:r>
      <w:bookmarkEnd w:id="16"/>
      <w:bookmarkEnd w:id="17"/>
    </w:p>
    <w:p w:rsidR="006C04ED" w:rsidRPr="00755316" w:rsidRDefault="00C33E18" w:rsidP="007E077B">
      <w:pPr>
        <w:pStyle w:val="AppArtNo"/>
        <w:tabs>
          <w:tab w:val="clear" w:pos="1134"/>
          <w:tab w:val="clear" w:pos="1871"/>
          <w:tab w:val="clear" w:pos="2268"/>
          <w:tab w:val="left" w:pos="1418"/>
        </w:tabs>
        <w:rPr>
          <w:sz w:val="16"/>
          <w:szCs w:val="16"/>
        </w:rPr>
      </w:pPr>
      <w:r w:rsidRPr="00755316">
        <w:t>ARTICLE 4</w:t>
      </w:r>
      <w:r w:rsidRPr="00755316">
        <w:rPr>
          <w:sz w:val="16"/>
          <w:szCs w:val="16"/>
        </w:rPr>
        <w:t>     (Rev.WRC</w:t>
      </w:r>
      <w:r w:rsidRPr="00755316">
        <w:rPr>
          <w:sz w:val="16"/>
          <w:szCs w:val="16"/>
        </w:rPr>
        <w:noBreakHyphen/>
        <w:t>15)</w:t>
      </w:r>
    </w:p>
    <w:p w:rsidR="006C04ED" w:rsidRPr="00755316" w:rsidRDefault="00C33E18" w:rsidP="007E077B">
      <w:pPr>
        <w:pStyle w:val="AppArttitle"/>
      </w:pPr>
      <w:r w:rsidRPr="00755316">
        <w:t xml:space="preserve">Procedures for modifications to the Region 2 feeder-link Plan </w:t>
      </w:r>
      <w:r w:rsidRPr="00755316">
        <w:br/>
        <w:t>or for additional uses in Regions 1 and 3</w:t>
      </w:r>
    </w:p>
    <w:p w:rsidR="006C04ED" w:rsidRPr="00755316" w:rsidRDefault="00C33E18" w:rsidP="007E077B">
      <w:pPr>
        <w:pStyle w:val="Heading2"/>
      </w:pPr>
      <w:r w:rsidRPr="00755316">
        <w:t>4.1</w:t>
      </w:r>
      <w:r w:rsidRPr="00755316">
        <w:tab/>
        <w:t>Provisions applicable to Regions 1 and 3</w:t>
      </w:r>
    </w:p>
    <w:p w:rsidR="003812A2" w:rsidRDefault="00C33E18">
      <w:pPr>
        <w:pStyle w:val="Proposal"/>
      </w:pPr>
      <w:r>
        <w:t>MOD</w:t>
      </w:r>
      <w:r>
        <w:tab/>
        <w:t>EUR/16A22A7/2</w:t>
      </w:r>
    </w:p>
    <w:p w:rsidR="00C33E18" w:rsidRDefault="00C33E18" w:rsidP="00C33E18">
      <w:pPr>
        <w:rPr>
          <w:sz w:val="16"/>
        </w:rPr>
      </w:pPr>
      <w:r w:rsidRPr="00E32DCC">
        <w:rPr>
          <w:rStyle w:val="Provsplit"/>
        </w:rPr>
        <w:t>4.1.24</w:t>
      </w:r>
      <w:r>
        <w:tab/>
        <w:t>No assignment in the feeder-link List shall have a period of operation exceeding 15 years, counted from the date of bringing into use, or 2 June 2000, whichever is later. Upon request by the responsible administration received by the Bureau at the latest three years before the expiry of this period, this period may be extended by up to 15 years, on condition that all the characteristics of the assignment remain unchanged</w:t>
      </w:r>
      <w:ins w:id="18" w:author="CEPT Coordinator" w:date="2019-05-30T19:28:00Z">
        <w:r w:rsidRPr="00C33E18">
          <w:rPr>
            <w:position w:val="6"/>
            <w:sz w:val="18"/>
          </w:rPr>
          <w:footnoteReference w:id="9"/>
        </w:r>
      </w:ins>
      <w:r w:rsidRPr="00C33E18">
        <w:t>.</w:t>
      </w:r>
      <w:r w:rsidRPr="00C33E18">
        <w:rPr>
          <w:sz w:val="16"/>
        </w:rPr>
        <w:t>     (WRC</w:t>
      </w:r>
      <w:r w:rsidRPr="00C33E18">
        <w:rPr>
          <w:sz w:val="16"/>
        </w:rPr>
        <w:noBreakHyphen/>
      </w:r>
      <w:del w:id="21" w:author="CEPT Coordinator" w:date="2019-05-30T19:26:00Z">
        <w:r w:rsidRPr="00C33E18" w:rsidDel="000B052E">
          <w:rPr>
            <w:sz w:val="16"/>
          </w:rPr>
          <w:delText>03</w:delText>
        </w:r>
      </w:del>
      <w:ins w:id="22" w:author="CEPT Coordinator" w:date="2019-05-30T19:26:00Z">
        <w:r w:rsidRPr="00C33E18">
          <w:rPr>
            <w:sz w:val="16"/>
          </w:rPr>
          <w:t>19</w:t>
        </w:r>
      </w:ins>
      <w:r w:rsidRPr="00C33E18">
        <w:rPr>
          <w:sz w:val="16"/>
        </w:rPr>
        <w:t>)</w:t>
      </w:r>
    </w:p>
    <w:p w:rsidR="003812A2" w:rsidRDefault="00C33E18">
      <w:pPr>
        <w:pStyle w:val="Reasons"/>
      </w:pPr>
      <w:r>
        <w:rPr>
          <w:b/>
        </w:rPr>
        <w:t>Reasons:</w:t>
      </w:r>
      <w:r>
        <w:tab/>
      </w:r>
      <w:r w:rsidRPr="006C173E">
        <w:t>Introduction of an obligation to the Bureau to send a reminder at least 30 days before the deadline for the request for extension of the period of operation of the frequency assignment in the Regions 1 and 3 List would benefit all concerned administrations</w:t>
      </w:r>
      <w:r>
        <w:t xml:space="preserve"> to apply the provisions of § </w:t>
      </w:r>
      <w:r w:rsidRPr="006C173E">
        <w:t xml:space="preserve">4.1.24 of RR Appendices </w:t>
      </w:r>
      <w:r w:rsidRPr="006C173E">
        <w:rPr>
          <w:b/>
        </w:rPr>
        <w:t>30</w:t>
      </w:r>
      <w:r w:rsidRPr="006C173E">
        <w:t xml:space="preserve"> and </w:t>
      </w:r>
      <w:r w:rsidRPr="006C173E">
        <w:rPr>
          <w:b/>
        </w:rPr>
        <w:t>30A</w:t>
      </w:r>
      <w:r>
        <w:t xml:space="preserve"> in due time.</w:t>
      </w:r>
    </w:p>
    <w:p w:rsidR="00C33E18" w:rsidRDefault="00C33E18" w:rsidP="00C33E18"/>
    <w:p w:rsidR="00C33E18" w:rsidRDefault="00C33E18" w:rsidP="00C33E18">
      <w:pPr>
        <w:jc w:val="center"/>
      </w:pPr>
      <w:r>
        <w:t>_______________</w:t>
      </w:r>
    </w:p>
    <w:sectPr w:rsidR="00C33E18">
      <w:headerReference w:type="default" r:id="rId13"/>
      <w:footerReference w:type="even" r:id="rId14"/>
      <w:footerReference w:type="default" r:id="rId15"/>
      <w:footerReference w:type="first" r:id="rId16"/>
      <w:footnotePr>
        <w:numFmt w:val="lowerLetter"/>
      </w:footnotePr>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14B" w:rsidRDefault="00AE514B">
      <w:r>
        <w:separator/>
      </w:r>
    </w:p>
  </w:endnote>
  <w:endnote w:type="continuationSeparator" w:id="0">
    <w:p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B1C2D">
      <w:rPr>
        <w:noProof/>
        <w:lang w:val="en-US"/>
      </w:rPr>
      <w:t>P:\ITU-R\CONF-R\CMR19\000\016ADD22ADD07E.docx</w:t>
    </w:r>
    <w:r>
      <w:fldChar w:fldCharType="end"/>
    </w:r>
    <w:r w:rsidRPr="0041348E">
      <w:rPr>
        <w:lang w:val="en-US"/>
      </w:rPr>
      <w:tab/>
    </w:r>
    <w:r>
      <w:fldChar w:fldCharType="begin"/>
    </w:r>
    <w:r>
      <w:instrText xml:space="preserve"> SAVEDATE \@ DD.MM.YY </w:instrText>
    </w:r>
    <w:r>
      <w:fldChar w:fldCharType="separate"/>
    </w:r>
    <w:r w:rsidR="005B1C2D">
      <w:rPr>
        <w:noProof/>
      </w:rPr>
      <w:t>16.10.19</w:t>
    </w:r>
    <w:r>
      <w:fldChar w:fldCharType="end"/>
    </w:r>
    <w:r w:rsidRPr="0041348E">
      <w:rPr>
        <w:lang w:val="en-US"/>
      </w:rPr>
      <w:tab/>
    </w:r>
    <w:r>
      <w:fldChar w:fldCharType="begin"/>
    </w:r>
    <w:r>
      <w:instrText xml:space="preserve"> PRINTDATE \@ DD.MM.YY </w:instrText>
    </w:r>
    <w:r>
      <w:fldChar w:fldCharType="separate"/>
    </w:r>
    <w:r w:rsidR="005B1C2D">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E45D05" w:rsidP="009B1EA1">
    <w:pPr>
      <w:pStyle w:val="Footer"/>
    </w:pPr>
    <w:r>
      <w:fldChar w:fldCharType="begin"/>
    </w:r>
    <w:r w:rsidRPr="0041348E">
      <w:rPr>
        <w:lang w:val="en-US"/>
      </w:rPr>
      <w:instrText xml:space="preserve"> FILENAME \p  \* MERGEFORMAT </w:instrText>
    </w:r>
    <w:r>
      <w:fldChar w:fldCharType="separate"/>
    </w:r>
    <w:r w:rsidR="005B1C2D">
      <w:rPr>
        <w:lang w:val="en-US"/>
      </w:rPr>
      <w:t>P:\ITU-R\CONF-R\CMR19\000\016ADD22ADD07E.docx</w:t>
    </w:r>
    <w:r>
      <w:fldChar w:fldCharType="end"/>
    </w:r>
    <w:r w:rsidR="002C181C">
      <w:t xml:space="preserve"> </w:t>
    </w:r>
    <w:r w:rsidR="002C181C">
      <w:t>(461976)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5B1C2D">
      <w:rPr>
        <w:lang w:val="en-US"/>
      </w:rPr>
      <w:t>P:\ITU-R\CONF-R\CMR19\000\016ADD22ADD07E.docx</w:t>
    </w:r>
    <w:r>
      <w:fldChar w:fldCharType="end"/>
    </w:r>
    <w:r w:rsidR="002C181C">
      <w:t xml:space="preserve"> (461976)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14B" w:rsidRDefault="00AE514B">
      <w:r>
        <w:rPr>
          <w:b/>
        </w:rPr>
        <w:t>_______________</w:t>
      </w:r>
    </w:p>
  </w:footnote>
  <w:footnote w:type="continuationSeparator" w:id="0">
    <w:p w:rsidR="00AE514B" w:rsidRDefault="00AE514B">
      <w:r>
        <w:continuationSeparator/>
      </w:r>
    </w:p>
  </w:footnote>
  <w:footnote w:id="1">
    <w:p w:rsidR="006C1544" w:rsidRPr="006C1544" w:rsidRDefault="00C33E18">
      <w:pPr>
        <w:pStyle w:val="FootnoteText"/>
        <w:rPr>
          <w:lang w:val="en-US"/>
        </w:rPr>
      </w:pPr>
      <w:r>
        <w:rPr>
          <w:rStyle w:val="FootnoteReference"/>
        </w:rPr>
        <w:t>*</w:t>
      </w:r>
      <w:r>
        <w:t xml:space="preserve"> </w:t>
      </w:r>
      <w:r>
        <w:rPr>
          <w:lang w:val="en-US"/>
        </w:rPr>
        <w:tab/>
      </w:r>
      <w:r w:rsidRPr="00C22E98">
        <w:t>This agenda item is strictly limited to the Report of the Director on any difficulties or inconsistencies encountered in the application of the Radio Regulations and the comments from administrations</w:t>
      </w:r>
      <w:r>
        <w:t>.</w:t>
      </w:r>
    </w:p>
  </w:footnote>
  <w:footnote w:id="2">
    <w:p w:rsidR="00915A96" w:rsidRPr="001B614A" w:rsidRDefault="00C33E18" w:rsidP="001F0862">
      <w:pPr>
        <w:pStyle w:val="FootnoteText"/>
        <w:rPr>
          <w:rFonts w:eastAsiaTheme="minorHAnsi"/>
        </w:rPr>
      </w:pPr>
      <w:r w:rsidRPr="0050254A">
        <w:rPr>
          <w:rStyle w:val="FootnoteReference"/>
          <w:rFonts w:eastAsiaTheme="minorHAnsi"/>
        </w:rPr>
        <w:t>*</w:t>
      </w:r>
      <w:r w:rsidRPr="001B614A">
        <w:rPr>
          <w:rStyle w:val="FootnoteTextChar"/>
          <w:rFonts w:eastAsiaTheme="minorHAnsi"/>
        </w:rPr>
        <w:tab/>
        <w:t>The expression “frequency assignment to a space station”, wherever it appears in this Appendix, shall be understood to refer to a frequency assignment associated with a given orbital position. See also Annex 7 for the orbital limitations</w:t>
      </w:r>
      <w:r>
        <w:rPr>
          <w:rStyle w:val="FootnoteTextChar"/>
          <w:rFonts w:eastAsiaTheme="minorHAnsi"/>
        </w:rPr>
        <w:t>.</w:t>
      </w:r>
      <w:r w:rsidRPr="00672737">
        <w:rPr>
          <w:rStyle w:val="FootnoteTextChar"/>
          <w:rFonts w:eastAsiaTheme="minorHAnsi"/>
          <w:sz w:val="16"/>
        </w:rPr>
        <w:t>    </w:t>
      </w:r>
      <w:r w:rsidRPr="00C53CE6">
        <w:rPr>
          <w:rStyle w:val="FootnoteTextChar"/>
          <w:rFonts w:eastAsiaTheme="minorHAnsi"/>
          <w:sz w:val="16"/>
          <w:szCs w:val="16"/>
        </w:rPr>
        <w:t> (</w:t>
      </w:r>
      <w:r w:rsidRPr="00C53CE6">
        <w:rPr>
          <w:rFonts w:eastAsiaTheme="minorHAnsi"/>
          <w:sz w:val="16"/>
          <w:szCs w:val="16"/>
        </w:rPr>
        <w:t>WRC</w:t>
      </w:r>
      <w:r w:rsidRPr="00C53CE6">
        <w:rPr>
          <w:rFonts w:eastAsiaTheme="minorHAnsi"/>
          <w:sz w:val="16"/>
          <w:szCs w:val="16"/>
        </w:rPr>
        <w:noBreakHyphen/>
        <w:t>2000)</w:t>
      </w:r>
    </w:p>
  </w:footnote>
  <w:footnote w:id="3">
    <w:p w:rsidR="00915A96" w:rsidRPr="001B614A" w:rsidRDefault="00C33E18" w:rsidP="001F0862">
      <w:pPr>
        <w:pStyle w:val="FootnoteText"/>
        <w:rPr>
          <w:rStyle w:val="FootnoteTextChar"/>
          <w:rFonts w:eastAsiaTheme="minorHAnsi"/>
        </w:rPr>
      </w:pPr>
      <w:r w:rsidRPr="0050254A">
        <w:rPr>
          <w:rStyle w:val="FootnoteReference"/>
          <w:rFonts w:eastAsiaTheme="minorHAnsi"/>
        </w:rPr>
        <w:t>1</w:t>
      </w:r>
      <w:r w:rsidRPr="001B614A">
        <w:rPr>
          <w:rStyle w:val="FootnoteTextChar"/>
          <w:rFonts w:eastAsiaTheme="minorHAnsi"/>
        </w:rPr>
        <w:tab/>
        <w:t>The Regions 1 and 3 List of additional uses is annexed to the Master Intern</w:t>
      </w:r>
      <w:r>
        <w:rPr>
          <w:rStyle w:val="FootnoteTextChar"/>
          <w:rFonts w:eastAsiaTheme="minorHAnsi"/>
        </w:rPr>
        <w:t>ational Frequency Register (see </w:t>
      </w:r>
      <w:r w:rsidRPr="001B614A">
        <w:rPr>
          <w:rStyle w:val="FootnoteTextChar"/>
          <w:rFonts w:eastAsiaTheme="minorHAnsi"/>
        </w:rPr>
        <w:t>Resolution </w:t>
      </w:r>
      <w:r w:rsidRPr="00BD661A">
        <w:rPr>
          <w:rStyle w:val="FootnoteTextChar"/>
          <w:rFonts w:eastAsiaTheme="minorHAnsi"/>
          <w:b/>
          <w:bCs/>
        </w:rPr>
        <w:t>542 (</w:t>
      </w:r>
      <w:r>
        <w:rPr>
          <w:rStyle w:val="FootnoteTextChar"/>
          <w:rFonts w:eastAsiaTheme="minorHAnsi"/>
          <w:b/>
          <w:bCs/>
        </w:rPr>
        <w:t>WRC</w:t>
      </w:r>
      <w:r>
        <w:rPr>
          <w:rStyle w:val="FootnoteTextChar"/>
          <w:rFonts w:eastAsiaTheme="minorHAnsi"/>
          <w:b/>
          <w:bCs/>
        </w:rPr>
        <w:noBreakHyphen/>
      </w:r>
      <w:r w:rsidRPr="00BD661A">
        <w:rPr>
          <w:rStyle w:val="FootnoteTextChar"/>
          <w:rFonts w:eastAsiaTheme="minorHAnsi"/>
          <w:b/>
          <w:bCs/>
        </w:rPr>
        <w:t>2000)</w:t>
      </w:r>
      <w:r w:rsidRPr="00787F7E">
        <w:rPr>
          <w:rStyle w:val="FootnoteReference"/>
          <w:rFonts w:eastAsiaTheme="minorHAnsi"/>
        </w:rPr>
        <w:t>**</w:t>
      </w:r>
      <w:r w:rsidRPr="001B614A">
        <w:rPr>
          <w:rStyle w:val="FootnoteTextChar"/>
          <w:rFonts w:eastAsiaTheme="minorHAnsi"/>
        </w:rPr>
        <w:t>).</w:t>
      </w:r>
      <w:r w:rsidRPr="00672737">
        <w:rPr>
          <w:rFonts w:eastAsiaTheme="minorHAnsi"/>
          <w:sz w:val="16"/>
        </w:rPr>
        <w:t>     (</w:t>
      </w:r>
      <w:r w:rsidRPr="00C53CE6">
        <w:rPr>
          <w:rFonts w:eastAsiaTheme="minorHAnsi"/>
          <w:sz w:val="16"/>
          <w:szCs w:val="16"/>
        </w:rPr>
        <w:t>WRC</w:t>
      </w:r>
      <w:r w:rsidRPr="00C53CE6">
        <w:rPr>
          <w:rFonts w:eastAsiaTheme="minorHAnsi"/>
          <w:sz w:val="16"/>
          <w:szCs w:val="16"/>
        </w:rPr>
        <w:noBreakHyphen/>
        <w:t>03)</w:t>
      </w:r>
    </w:p>
    <w:p w:rsidR="00915A96" w:rsidRPr="005B42BE" w:rsidRDefault="00C33E18" w:rsidP="00656F1C">
      <w:pPr>
        <w:pStyle w:val="FootnoteText"/>
        <w:tabs>
          <w:tab w:val="left" w:pos="567"/>
        </w:tabs>
      </w:pPr>
      <w:r>
        <w:tab/>
      </w:r>
      <w:r w:rsidRPr="0050254A">
        <w:rPr>
          <w:rStyle w:val="FootnoteReference"/>
        </w:rPr>
        <w:t>**</w:t>
      </w:r>
      <w:r w:rsidRPr="00023556">
        <w:rPr>
          <w:rStyle w:val="FootnoteTextChar"/>
        </w:rPr>
        <w:tab/>
      </w:r>
      <w:r w:rsidRPr="00023556">
        <w:rPr>
          <w:rStyle w:val="FootnoteTextChar"/>
          <w:i/>
          <w:iCs/>
        </w:rPr>
        <w:t>Note by the Secretariat</w:t>
      </w:r>
      <w:r w:rsidRPr="00EE4DDE">
        <w:rPr>
          <w:rStyle w:val="FootnoteTextChar"/>
          <w:iCs/>
        </w:rPr>
        <w:t>:</w:t>
      </w:r>
      <w:r w:rsidRPr="00023556">
        <w:rPr>
          <w:rStyle w:val="FootnoteTextChar"/>
        </w:rPr>
        <w:t xml:space="preserve"> This Resolution was abrogated by </w:t>
      </w:r>
      <w:r>
        <w:rPr>
          <w:rStyle w:val="FootnoteTextChar"/>
        </w:rPr>
        <w:t>WRC</w:t>
      </w:r>
      <w:r>
        <w:rPr>
          <w:rStyle w:val="FootnoteTextChar"/>
        </w:rPr>
        <w:noBreakHyphen/>
      </w:r>
      <w:r w:rsidRPr="00023556">
        <w:rPr>
          <w:rStyle w:val="FootnoteTextChar"/>
        </w:rPr>
        <w:t>03.</w:t>
      </w:r>
    </w:p>
    <w:p w:rsidR="00915A96" w:rsidRPr="00023556" w:rsidRDefault="00C33E18" w:rsidP="001F0862">
      <w:pPr>
        <w:pStyle w:val="FootnoteText"/>
        <w:rPr>
          <w:i/>
          <w:iCs/>
        </w:rPr>
      </w:pPr>
      <w:r w:rsidRPr="00023556">
        <w:rPr>
          <w:i/>
          <w:iCs/>
        </w:rPr>
        <w:t>Note by the Secretariat</w:t>
      </w:r>
      <w:r w:rsidRPr="00444190">
        <w:rPr>
          <w:iCs/>
        </w:rPr>
        <w:t>: Reference to an Article with the number in roman is referring to an Article in this Appendix.</w:t>
      </w:r>
    </w:p>
  </w:footnote>
  <w:footnote w:id="4">
    <w:p w:rsidR="00915A96" w:rsidRDefault="00C33E18" w:rsidP="00227121">
      <w:pPr>
        <w:pStyle w:val="FootnoteText"/>
        <w:rPr>
          <w:color w:val="000000"/>
        </w:rPr>
      </w:pPr>
      <w:r w:rsidRPr="00FB3B1A">
        <w:rPr>
          <w:rStyle w:val="FootnoteReference"/>
        </w:rPr>
        <w:t xml:space="preserve">3 </w:t>
      </w:r>
      <w:r w:rsidRPr="00FB3B1A">
        <w:rPr>
          <w:rStyle w:val="FootnoteTextChar"/>
        </w:rPr>
        <w:tab/>
      </w:r>
      <w:r w:rsidRPr="009F6AF2">
        <w:rPr>
          <w:rStyle w:val="FootnoteTextChar"/>
        </w:rPr>
        <w:t>The provisions of Resolution </w:t>
      </w:r>
      <w:r w:rsidRPr="009F6AF2">
        <w:rPr>
          <w:rStyle w:val="FootnoteTextChar"/>
          <w:b/>
        </w:rPr>
        <w:t>49 (Rev.WRC</w:t>
      </w:r>
      <w:r w:rsidRPr="009F6AF2">
        <w:rPr>
          <w:rStyle w:val="FootnoteTextChar"/>
          <w:b/>
        </w:rPr>
        <w:noBreakHyphen/>
        <w:t>15)</w:t>
      </w:r>
      <w:r w:rsidRPr="009F6AF2">
        <w:rPr>
          <w:rStyle w:val="FootnoteTextChar"/>
        </w:rPr>
        <w:t xml:space="preserve"> apply.</w:t>
      </w:r>
      <w:r w:rsidRPr="009F6AF2">
        <w:rPr>
          <w:rStyle w:val="FootnoteTextChar"/>
          <w:sz w:val="16"/>
        </w:rPr>
        <w:t>     (</w:t>
      </w:r>
      <w:r w:rsidRPr="009F6AF2">
        <w:rPr>
          <w:rStyle w:val="FootnoteTextChar"/>
          <w:sz w:val="16"/>
          <w:szCs w:val="16"/>
        </w:rPr>
        <w:t>WRC</w:t>
      </w:r>
      <w:r w:rsidRPr="009F6AF2">
        <w:rPr>
          <w:rStyle w:val="FootnoteTextChar"/>
          <w:sz w:val="16"/>
          <w:szCs w:val="16"/>
        </w:rPr>
        <w:noBreakHyphen/>
      </w:r>
      <w:r>
        <w:rPr>
          <w:rStyle w:val="FootnoteTextChar"/>
          <w:sz w:val="16"/>
          <w:szCs w:val="16"/>
        </w:rPr>
        <w:t>15</w:t>
      </w:r>
      <w:r w:rsidRPr="009F6AF2">
        <w:rPr>
          <w:rStyle w:val="FootnoteTextChar"/>
          <w:sz w:val="16"/>
          <w:szCs w:val="16"/>
        </w:rPr>
        <w:t>)</w:t>
      </w:r>
    </w:p>
  </w:footnote>
  <w:footnote w:id="5">
    <w:p w:rsidR="00C33E18" w:rsidRPr="00D52B1A" w:rsidRDefault="00C33E18" w:rsidP="00C33E18">
      <w:pPr>
        <w:pStyle w:val="FootnoteText"/>
        <w:rPr>
          <w:lang w:val="en-US"/>
        </w:rPr>
      </w:pPr>
      <w:ins w:id="12" w:author="CEPT Coordinator" w:date="2019-05-30T19:26:00Z">
        <w:r>
          <w:rPr>
            <w:rStyle w:val="FootnoteReference"/>
          </w:rPr>
          <w:footnoteRef/>
        </w:r>
        <w:r>
          <w:t xml:space="preserve"> </w:t>
        </w:r>
        <w:r>
          <w:rPr>
            <w:lang w:val="en-US"/>
          </w:rPr>
          <w:t>Unless the request has been received by the Bureau, it shall, no later than 30 days before the deadline of such a request, send a reminder to the notifying administration.</w:t>
        </w:r>
      </w:ins>
      <w:ins w:id="13" w:author="CEPT Coordinator" w:date="2019-07-24T14:48:00Z">
        <w:r w:rsidRPr="00672737">
          <w:rPr>
            <w:sz w:val="16"/>
          </w:rPr>
          <w:t>     (</w:t>
        </w:r>
        <w:r>
          <w:rPr>
            <w:sz w:val="16"/>
          </w:rPr>
          <w:t>WRC</w:t>
        </w:r>
        <w:r>
          <w:rPr>
            <w:sz w:val="16"/>
          </w:rPr>
          <w:noBreakHyphen/>
          <w:t>19)</w:t>
        </w:r>
      </w:ins>
    </w:p>
  </w:footnote>
  <w:footnote w:id="6">
    <w:p w:rsidR="00915A96" w:rsidRPr="003705ED" w:rsidRDefault="00C33E18" w:rsidP="001F0862">
      <w:pPr>
        <w:pStyle w:val="FootnoteText"/>
      </w:pPr>
      <w:r>
        <w:rPr>
          <w:rStyle w:val="FootnoteReference"/>
          <w:color w:val="000000"/>
        </w:rPr>
        <w:t>*</w:t>
      </w:r>
      <w:r>
        <w:rPr>
          <w:color w:val="000000"/>
        </w:rPr>
        <w:tab/>
      </w:r>
      <w:r w:rsidRPr="003705ED">
        <w:t>The expression “frequency assignment to a space station”, wherever it appears in this Appendix, shall be understood to refer to a frequency assignment associated with a given orbital position</w:t>
      </w:r>
      <w:r>
        <w:t>.</w:t>
      </w:r>
      <w:r w:rsidRPr="00672737">
        <w:rPr>
          <w:sz w:val="16"/>
        </w:rPr>
        <w:t>     (</w:t>
      </w:r>
      <w:r>
        <w:rPr>
          <w:sz w:val="16"/>
        </w:rPr>
        <w:t>WRC</w:t>
      </w:r>
      <w:r>
        <w:rPr>
          <w:sz w:val="16"/>
        </w:rPr>
        <w:noBreakHyphen/>
      </w:r>
      <w:r w:rsidRPr="003705ED">
        <w:rPr>
          <w:sz w:val="16"/>
        </w:rPr>
        <w:t>03)</w:t>
      </w:r>
    </w:p>
  </w:footnote>
  <w:footnote w:id="7">
    <w:p w:rsidR="00915A96" w:rsidRDefault="00C33E18" w:rsidP="001F0862">
      <w:pPr>
        <w:pStyle w:val="FootnoteText"/>
        <w:rPr>
          <w:rStyle w:val="FootnoteTextChar"/>
          <w:sz w:val="16"/>
          <w:szCs w:val="16"/>
          <w:lang w:val="en-US"/>
        </w:rPr>
      </w:pPr>
      <w:r w:rsidRPr="00B330EE">
        <w:rPr>
          <w:rStyle w:val="FootnoteReference"/>
          <w:color w:val="000000"/>
          <w:lang w:val="en-US"/>
        </w:rPr>
        <w:t>1</w:t>
      </w:r>
      <w:r w:rsidRPr="003705ED">
        <w:rPr>
          <w:rStyle w:val="FootnoteTextChar"/>
          <w:lang w:val="en-US"/>
        </w:rPr>
        <w:tab/>
        <w:t xml:space="preserve">The </w:t>
      </w:r>
      <w:r>
        <w:rPr>
          <w:rStyle w:val="FootnoteTextChar"/>
          <w:lang w:val="en-US"/>
        </w:rPr>
        <w:t>Regions </w:t>
      </w:r>
      <w:r w:rsidRPr="003705ED">
        <w:rPr>
          <w:rStyle w:val="FootnoteTextChar"/>
          <w:lang w:val="en-US"/>
        </w:rPr>
        <w:t>1 and 3 feeder-link List of additional uses is annexed to the Master Intern</w:t>
      </w:r>
      <w:r>
        <w:rPr>
          <w:rStyle w:val="FootnoteTextChar"/>
          <w:lang w:val="en-US"/>
        </w:rPr>
        <w:t>ational Frequency Register (see </w:t>
      </w:r>
      <w:r w:rsidRPr="003705ED">
        <w:rPr>
          <w:rStyle w:val="FootnoteTextChar"/>
          <w:lang w:val="en-US"/>
        </w:rPr>
        <w:t xml:space="preserve">Resolution </w:t>
      </w:r>
      <w:r w:rsidRPr="00B330EE">
        <w:rPr>
          <w:b/>
          <w:bCs/>
        </w:rPr>
        <w:t>542</w:t>
      </w:r>
      <w:r w:rsidRPr="003705ED">
        <w:rPr>
          <w:rStyle w:val="FootnoteTextChar"/>
          <w:b/>
          <w:bCs/>
          <w:lang w:val="en-US"/>
        </w:rPr>
        <w:t xml:space="preserve"> (</w:t>
      </w:r>
      <w:r>
        <w:rPr>
          <w:rStyle w:val="FootnoteTextChar"/>
          <w:b/>
          <w:bCs/>
          <w:lang w:val="en-US"/>
        </w:rPr>
        <w:t>WRC</w:t>
      </w:r>
      <w:r>
        <w:rPr>
          <w:rStyle w:val="FootnoteTextChar"/>
          <w:b/>
          <w:bCs/>
          <w:lang w:val="en-US"/>
        </w:rPr>
        <w:noBreakHyphen/>
      </w:r>
      <w:r w:rsidRPr="003705ED">
        <w:rPr>
          <w:rStyle w:val="FootnoteTextChar"/>
          <w:b/>
          <w:bCs/>
          <w:lang w:val="en-US"/>
        </w:rPr>
        <w:t>2000</w:t>
      </w:r>
      <w:r w:rsidRPr="003705ED">
        <w:rPr>
          <w:rStyle w:val="FootnoteTextChar"/>
          <w:lang w:val="en-US"/>
        </w:rPr>
        <w:t>)</w:t>
      </w:r>
      <w:r w:rsidRPr="00B330EE">
        <w:rPr>
          <w:rStyle w:val="FootnoteReference"/>
          <w:lang w:val="en-US"/>
        </w:rPr>
        <w:t>**</w:t>
      </w:r>
      <w:r w:rsidRPr="003705ED">
        <w:rPr>
          <w:rStyle w:val="FootnoteTextChar"/>
          <w:lang w:val="en-US"/>
        </w:rPr>
        <w:t>)</w:t>
      </w:r>
      <w:r>
        <w:rPr>
          <w:rStyle w:val="FootnoteTextChar"/>
          <w:lang w:val="en-US"/>
        </w:rPr>
        <w:t>.</w:t>
      </w:r>
      <w:r w:rsidRPr="00672737">
        <w:rPr>
          <w:rStyle w:val="FootnoteTextChar"/>
          <w:sz w:val="16"/>
          <w:lang w:val="en-US"/>
        </w:rPr>
        <w:t>     (</w:t>
      </w:r>
      <w:r>
        <w:rPr>
          <w:rStyle w:val="FootnoteTextChar"/>
          <w:sz w:val="16"/>
          <w:szCs w:val="16"/>
          <w:lang w:val="en-US"/>
        </w:rPr>
        <w:t>WRC</w:t>
      </w:r>
      <w:r>
        <w:rPr>
          <w:rStyle w:val="FootnoteTextChar"/>
          <w:sz w:val="16"/>
          <w:szCs w:val="16"/>
          <w:lang w:val="en-US"/>
        </w:rPr>
        <w:noBreakHyphen/>
      </w:r>
      <w:r w:rsidRPr="003705ED">
        <w:rPr>
          <w:rStyle w:val="FootnoteTextChar"/>
          <w:sz w:val="16"/>
          <w:szCs w:val="16"/>
          <w:lang w:val="en-US"/>
        </w:rPr>
        <w:t>03)</w:t>
      </w:r>
    </w:p>
    <w:p w:rsidR="00915A96" w:rsidRPr="00D731B5" w:rsidRDefault="00C33E18" w:rsidP="006A21CC">
      <w:pPr>
        <w:pStyle w:val="FootnoteText"/>
        <w:tabs>
          <w:tab w:val="left" w:pos="567"/>
        </w:tabs>
        <w:rPr>
          <w:rStyle w:val="FootnoteTextChar"/>
        </w:rPr>
      </w:pPr>
      <w:r>
        <w:rPr>
          <w:sz w:val="16"/>
        </w:rPr>
        <w:tab/>
        <w:t>**</w:t>
      </w:r>
      <w:r w:rsidRPr="00D731B5">
        <w:rPr>
          <w:rStyle w:val="FootnoteTextChar"/>
        </w:rPr>
        <w:tab/>
      </w:r>
      <w:r>
        <w:rPr>
          <w:i/>
          <w:iCs/>
        </w:rPr>
        <w:t>Note by the Secretariat</w:t>
      </w:r>
      <w:r>
        <w:t>: This Resolution was abrogated by WRC</w:t>
      </w:r>
      <w:r>
        <w:noBreakHyphen/>
        <w:t>03.</w:t>
      </w:r>
    </w:p>
  </w:footnote>
  <w:footnote w:id="8">
    <w:p w:rsidR="00915A96" w:rsidRDefault="00C33E18" w:rsidP="001F0862">
      <w:pPr>
        <w:pStyle w:val="FootnoteText"/>
        <w:rPr>
          <w:color w:val="000000"/>
        </w:rPr>
      </w:pPr>
      <w:r>
        <w:rPr>
          <w:rStyle w:val="FootnoteReference"/>
          <w:color w:val="000000"/>
        </w:rPr>
        <w:t>2</w:t>
      </w:r>
      <w:r w:rsidRPr="00D731B5">
        <w:rPr>
          <w:rStyle w:val="FootnoteTextChar"/>
        </w:rPr>
        <w:tab/>
        <w:t>This use of the band 14.5-14.8</w:t>
      </w:r>
      <w:r>
        <w:rPr>
          <w:rStyle w:val="FootnoteTextChar"/>
        </w:rPr>
        <w:t> GHz</w:t>
      </w:r>
      <w:r w:rsidRPr="00D731B5">
        <w:rPr>
          <w:rStyle w:val="FootnoteTextChar"/>
        </w:rPr>
        <w:t xml:space="preserve"> is reserved for countries outside Europe</w:t>
      </w:r>
      <w:r w:rsidRPr="003705ED">
        <w:rPr>
          <w:rStyle w:val="FootnoteTextChar"/>
          <w:lang w:val="en-US"/>
        </w:rPr>
        <w:t>.</w:t>
      </w:r>
    </w:p>
    <w:p w:rsidR="00915A96" w:rsidRPr="00D122DC" w:rsidRDefault="00C33E18" w:rsidP="001F0862">
      <w:pPr>
        <w:pStyle w:val="FootnoteText"/>
        <w:rPr>
          <w:i/>
          <w:iCs/>
        </w:rPr>
      </w:pPr>
      <w:r w:rsidRPr="00D122DC">
        <w:rPr>
          <w:i/>
          <w:iCs/>
        </w:rPr>
        <w:t>Note by the Secretariat</w:t>
      </w:r>
      <w:r w:rsidRPr="009B00FB">
        <w:rPr>
          <w:iCs/>
        </w:rPr>
        <w:t>: Reference to an Article with the number in roman is referring to an Article in this Appendix.</w:t>
      </w:r>
    </w:p>
  </w:footnote>
  <w:footnote w:id="9">
    <w:p w:rsidR="00C33E18" w:rsidRPr="00D52B1A" w:rsidRDefault="00C33E18" w:rsidP="00C33E18">
      <w:pPr>
        <w:pStyle w:val="FootnoteText"/>
      </w:pPr>
      <w:ins w:id="19" w:author="CEPT Coordinator" w:date="2019-05-30T19:28:00Z">
        <w:r>
          <w:rPr>
            <w:rStyle w:val="FootnoteReference"/>
          </w:rPr>
          <w:footnoteRef/>
        </w:r>
        <w:r>
          <w:t xml:space="preserve"> </w:t>
        </w:r>
        <w:r w:rsidRPr="000B052E">
          <w:rPr>
            <w:lang w:val="en-US"/>
          </w:rPr>
          <w:t>Unless the request has been received by the Bureau, it shall, no later than 30 days before the deadline of such a request, send a reminder to the notifying administration.</w:t>
        </w:r>
      </w:ins>
      <w:ins w:id="20" w:author="CEPT Coordinator" w:date="2019-07-24T14:48:00Z">
        <w:r w:rsidRPr="00672737">
          <w:rPr>
            <w:sz w:val="16"/>
          </w:rPr>
          <w:t>     (</w:t>
        </w:r>
        <w:r>
          <w:rPr>
            <w:sz w:val="16"/>
          </w:rPr>
          <w:t>WRC</w:t>
        </w:r>
        <w:r>
          <w:rPr>
            <w:sz w:val="16"/>
          </w:rPr>
          <w:noBreakHyphen/>
          <w:t>19)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D05" w:rsidRDefault="00A066F1" w:rsidP="00187BD9">
    <w:pPr>
      <w:pStyle w:val="Header"/>
    </w:pPr>
    <w:r>
      <w:fldChar w:fldCharType="begin"/>
    </w:r>
    <w:r>
      <w:instrText xml:space="preserve"> PAGE  \* MERGEFORMAT </w:instrText>
    </w:r>
    <w:r>
      <w:fldChar w:fldCharType="separate"/>
    </w:r>
    <w:r w:rsidR="005B1C2D">
      <w:rPr>
        <w:noProof/>
      </w:rPr>
      <w:t>3</w:t>
    </w:r>
    <w:r>
      <w:fldChar w:fldCharType="end"/>
    </w:r>
  </w:p>
  <w:p w:rsidR="00A066F1" w:rsidRPr="00A066F1" w:rsidRDefault="00187BD9" w:rsidP="00241FA2">
    <w:pPr>
      <w:pStyle w:val="Header"/>
    </w:pPr>
    <w:r>
      <w:t>CMR1</w:t>
    </w:r>
    <w:r w:rsidR="00202756">
      <w:t>9</w:t>
    </w:r>
    <w:r w:rsidR="00A066F1">
      <w:t>/</w:t>
    </w:r>
    <w:bookmarkStart w:id="23" w:name="OLE_LINK1"/>
    <w:bookmarkStart w:id="24" w:name="OLE_LINK2"/>
    <w:bookmarkStart w:id="25" w:name="OLE_LINK3"/>
    <w:r w:rsidR="00EB55C6">
      <w:t>16(Add.22)(Add.7)</w:t>
    </w:r>
    <w:bookmarkEnd w:id="23"/>
    <w:bookmarkEnd w:id="24"/>
    <w:bookmarkEnd w:id="2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25B"/>
    <w:rsid w:val="000355FD"/>
    <w:rsid w:val="00051E39"/>
    <w:rsid w:val="000705F2"/>
    <w:rsid w:val="00077239"/>
    <w:rsid w:val="0007795D"/>
    <w:rsid w:val="00086491"/>
    <w:rsid w:val="00091346"/>
    <w:rsid w:val="0009706C"/>
    <w:rsid w:val="000C005E"/>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C181C"/>
    <w:rsid w:val="002D58BE"/>
    <w:rsid w:val="002D76A2"/>
    <w:rsid w:val="002F4747"/>
    <w:rsid w:val="00302605"/>
    <w:rsid w:val="00361B37"/>
    <w:rsid w:val="00377BD3"/>
    <w:rsid w:val="003812A2"/>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B1C2D"/>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CCB"/>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561A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33E1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4D59BE"/>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character" w:customStyle="1" w:styleId="ArtrefBold">
    <w:name w:val="Art_ref + Bold"/>
    <w:basedOn w:val="Artref"/>
    <w:rsid w:val="00F9677B"/>
    <w:rPr>
      <w:b/>
      <w:bCs/>
      <w:color w:val="auto"/>
    </w:rPr>
  </w:style>
  <w:style w:type="paragraph" w:customStyle="1" w:styleId="toc0">
    <w:name w:val="toc 0"/>
    <w:basedOn w:val="Normal"/>
    <w:next w:val="TOC1"/>
    <w:rsid w:val="002B1880"/>
    <w:pPr>
      <w:tabs>
        <w:tab w:val="clear" w:pos="1134"/>
        <w:tab w:val="clear" w:pos="1871"/>
        <w:tab w:val="clear" w:pos="2268"/>
        <w:tab w:val="right" w:pos="9781"/>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R16-WRC19-C-0016!A22-A7!MSW-E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59701-2F78-492B-879A-9C96191EB57D}">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3625B-B829-4A2E-B5DB-66E9FC1CFED8}">
  <ds:schemaRefs>
    <ds:schemaRef ds:uri="996b2e75-67fd-4955-a3b0-5ab9934cb50b"/>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purl.org/dc/dcmitype/"/>
    <ds:schemaRef ds:uri="32a1a8c5-2265-4ebc-b7a0-2071e2c5c9bb"/>
    <ds:schemaRef ds:uri="http://purl.org/dc/terms/"/>
    <ds:schemaRef ds:uri="http://schemas.openxmlformats.org/package/2006/metadata/core-properties"/>
  </ds:schemaRefs>
</ds:datastoreItem>
</file>

<file path=customXml/itemProps5.xml><?xml version="1.0" encoding="utf-8"?>
<ds:datastoreItem xmlns:ds="http://schemas.openxmlformats.org/officeDocument/2006/customXml" ds:itemID="{2DE2699E-E866-4D26-B346-0CCC61DCF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866</Words>
  <Characters>4339</Characters>
  <Application>Microsoft Office Word</Application>
  <DocSecurity>0</DocSecurity>
  <Lines>93</Lines>
  <Paragraphs>35</Paragraphs>
  <ScaleCrop>false</ScaleCrop>
  <HeadingPairs>
    <vt:vector size="2" baseType="variant">
      <vt:variant>
        <vt:lpstr>Title</vt:lpstr>
      </vt:variant>
      <vt:variant>
        <vt:i4>1</vt:i4>
      </vt:variant>
    </vt:vector>
  </HeadingPairs>
  <TitlesOfParts>
    <vt:vector size="1" baseType="lpstr">
      <vt:lpstr>R16-WRC19-C-0016!A22-A7!MSW-E</vt:lpstr>
    </vt:vector>
  </TitlesOfParts>
  <Manager>General Secretariat - Pool</Manager>
  <Company>International Telecommunication Union (ITU)</Company>
  <LinksUpToDate>false</LinksUpToDate>
  <CharactersWithSpaces>5206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R16-WRC19-C-0016!A22-A7!MSW-E</dc:title>
  <dc:subject>World Radiocommunication Conference - 2019</dc:subject>
  <dc:creator>Documents Proposals Manager (DPM)</dc:creator>
  <cp:keywords>DPM_v2019.10.3.1_prod</cp:keywords>
  <dc:description>Uploaded on 2015.07.06</dc:description>
  <cp:lastModifiedBy>Ferrer, Jacqueline</cp:lastModifiedBy>
  <cp:revision>6</cp:revision>
  <cp:lastPrinted>2019-10-16T17:50:00Z</cp:lastPrinted>
  <dcterms:created xsi:type="dcterms:W3CDTF">2019-10-16T17:49:00Z</dcterms:created>
  <dcterms:modified xsi:type="dcterms:W3CDTF">2019-10-16T17:51:00Z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