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521"/>
        <w:gridCol w:w="3510"/>
      </w:tblGrid>
      <w:tr w:rsidR="005651C9" w:rsidRPr="000A0EF3" w14:paraId="7F16ECBC" w14:textId="77777777" w:rsidTr="002200CA">
        <w:trPr>
          <w:cantSplit/>
        </w:trPr>
        <w:tc>
          <w:tcPr>
            <w:tcW w:w="6521" w:type="dxa"/>
          </w:tcPr>
          <w:p w14:paraId="49B156BB" w14:textId="77777777" w:rsidR="005651C9" w:rsidRPr="00FD51E3" w:rsidRDefault="00E65919" w:rsidP="009D3D63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692C06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(ВКР-1</w:t>
            </w:r>
            <w:r w:rsidR="00F65316" w:rsidRPr="00F65316">
              <w:rPr>
                <w:rFonts w:ascii="Verdana" w:hAnsi="Verdana"/>
                <w:b/>
                <w:bCs/>
                <w:szCs w:val="22"/>
              </w:rPr>
              <w:t>9</w:t>
            </w:r>
            <w:r w:rsidRPr="00692C06">
              <w:rPr>
                <w:rFonts w:ascii="Verdana" w:hAnsi="Verdana"/>
                <w:b/>
                <w:bCs/>
                <w:szCs w:val="22"/>
              </w:rPr>
              <w:t>)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br/>
            </w:r>
            <w:r w:rsidR="009D3D63"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Шарм-эль-Шейх, Египет</w:t>
            </w:r>
            <w:r w:rsidRPr="009D3D6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,</w:t>
            </w:r>
            <w:r w:rsidRPr="00692C06">
              <w:rPr>
                <w:rFonts w:ascii="Verdana" w:hAnsi="Verdana"/>
                <w:b/>
                <w:bCs/>
                <w:sz w:val="18"/>
                <w:szCs w:val="18"/>
              </w:rPr>
              <w:t xml:space="preserve"> 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8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октября – </w:t>
            </w:r>
            <w:r w:rsidR="00F65316" w:rsidRPr="00F65316">
              <w:rPr>
                <w:rFonts w:ascii="Verdana" w:hAnsi="Verdana" w:cs="Times New Roman Bold"/>
                <w:b/>
                <w:bCs/>
                <w:sz w:val="18"/>
                <w:szCs w:val="18"/>
              </w:rPr>
              <w:t>22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ноября 201</w:t>
            </w:r>
            <w:r w:rsidR="00F65316" w:rsidRPr="00BD0D2F">
              <w:rPr>
                <w:rFonts w:ascii="Verdana" w:hAnsi="Verdana" w:cs="Times New Roman Bold"/>
                <w:b/>
                <w:bCs/>
                <w:sz w:val="18"/>
                <w:szCs w:val="18"/>
              </w:rPr>
              <w:t>9</w:t>
            </w:r>
            <w:r w:rsidR="00F65316" w:rsidRPr="00D05113">
              <w:rPr>
                <w:rFonts w:ascii="Verdana" w:hAnsi="Verdana" w:cs="Times New Roman Bold"/>
                <w:b/>
                <w:bCs/>
                <w:sz w:val="18"/>
                <w:szCs w:val="18"/>
              </w:rPr>
              <w:t xml:space="preserve"> года</w:t>
            </w:r>
          </w:p>
        </w:tc>
        <w:tc>
          <w:tcPr>
            <w:tcW w:w="3510" w:type="dxa"/>
          </w:tcPr>
          <w:p w14:paraId="33592CC2" w14:textId="77777777" w:rsidR="005651C9" w:rsidRPr="000A0EF3" w:rsidRDefault="00966C93" w:rsidP="00597005">
            <w:pPr>
              <w:spacing w:before="0" w:line="240" w:lineRule="atLeast"/>
              <w:jc w:val="right"/>
              <w:rPr>
                <w:lang w:val="en-US"/>
              </w:rPr>
            </w:pPr>
            <w:bookmarkStart w:id="0" w:name="ditulogo"/>
            <w:bookmarkEnd w:id="0"/>
            <w:r>
              <w:rPr>
                <w:noProof/>
                <w:szCs w:val="22"/>
                <w:lang w:val="en-US" w:eastAsia="zh-CN"/>
              </w:rPr>
              <w:drawing>
                <wp:inline distT="0" distB="0" distL="0" distR="0" wp14:anchorId="1CCE940E" wp14:editId="3C12A385">
                  <wp:extent cx="1314450" cy="695325"/>
                  <wp:effectExtent l="0" t="0" r="0" b="9525"/>
                  <wp:docPr id="1" name="Picture 1" descr="logo_R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R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0A0EF3" w14:paraId="407B6904" w14:textId="77777777" w:rsidTr="002200CA">
        <w:trPr>
          <w:cantSplit/>
        </w:trPr>
        <w:tc>
          <w:tcPr>
            <w:tcW w:w="6521" w:type="dxa"/>
            <w:tcBorders>
              <w:bottom w:val="single" w:sz="12" w:space="0" w:color="auto"/>
            </w:tcBorders>
          </w:tcPr>
          <w:p w14:paraId="2D84D578" w14:textId="77777777" w:rsidR="005651C9" w:rsidRPr="000A0EF3" w:rsidRDefault="005651C9">
            <w:pPr>
              <w:spacing w:after="48" w:line="240" w:lineRule="atLeast"/>
              <w:rPr>
                <w:b/>
                <w:smallCaps/>
                <w:szCs w:val="22"/>
                <w:lang w:val="en-US"/>
              </w:rPr>
            </w:pPr>
            <w:bookmarkStart w:id="1" w:name="dhead"/>
          </w:p>
        </w:tc>
        <w:tc>
          <w:tcPr>
            <w:tcW w:w="3510" w:type="dxa"/>
            <w:tcBorders>
              <w:bottom w:val="single" w:sz="12" w:space="0" w:color="auto"/>
            </w:tcBorders>
          </w:tcPr>
          <w:p w14:paraId="5BFE2918" w14:textId="77777777" w:rsidR="005651C9" w:rsidRPr="000A0EF3" w:rsidRDefault="005651C9">
            <w:pPr>
              <w:spacing w:line="240" w:lineRule="atLeast"/>
              <w:rPr>
                <w:rFonts w:ascii="Verdana" w:hAnsi="Verdana"/>
                <w:szCs w:val="22"/>
                <w:lang w:val="en-US"/>
              </w:rPr>
            </w:pPr>
          </w:p>
        </w:tc>
      </w:tr>
      <w:tr w:rsidR="005651C9" w:rsidRPr="000A0EF3" w14:paraId="544FA8A3" w14:textId="77777777" w:rsidTr="002200CA">
        <w:trPr>
          <w:cantSplit/>
        </w:trPr>
        <w:tc>
          <w:tcPr>
            <w:tcW w:w="6521" w:type="dxa"/>
            <w:tcBorders>
              <w:top w:val="single" w:sz="12" w:space="0" w:color="auto"/>
            </w:tcBorders>
          </w:tcPr>
          <w:p w14:paraId="59789C7D" w14:textId="77777777" w:rsidR="005651C9" w:rsidRPr="000A0EF3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bookmarkStart w:id="2" w:name="dspace"/>
          </w:p>
        </w:tc>
        <w:tc>
          <w:tcPr>
            <w:tcW w:w="3510" w:type="dxa"/>
            <w:tcBorders>
              <w:top w:val="single" w:sz="12" w:space="0" w:color="auto"/>
            </w:tcBorders>
          </w:tcPr>
          <w:p w14:paraId="03183FAE" w14:textId="77777777" w:rsidR="005651C9" w:rsidRPr="000A0EF3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  <w:lang w:val="en-US"/>
              </w:rPr>
            </w:pPr>
          </w:p>
        </w:tc>
      </w:tr>
      <w:bookmarkEnd w:id="1"/>
      <w:bookmarkEnd w:id="2"/>
      <w:tr w:rsidR="005651C9" w:rsidRPr="000A0EF3" w14:paraId="29A3217F" w14:textId="77777777" w:rsidTr="002200CA">
        <w:trPr>
          <w:cantSplit/>
        </w:trPr>
        <w:tc>
          <w:tcPr>
            <w:tcW w:w="6521" w:type="dxa"/>
          </w:tcPr>
          <w:p w14:paraId="0F05586D" w14:textId="77777777" w:rsidR="005651C9" w:rsidRPr="00597005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  <w:r w:rsidRPr="00597005"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  <w:t>ПЛЕНАРНОЕ ЗАСЕДАНИЕ</w:t>
            </w:r>
          </w:p>
        </w:tc>
        <w:tc>
          <w:tcPr>
            <w:tcW w:w="3510" w:type="dxa"/>
          </w:tcPr>
          <w:p w14:paraId="5B1E0498" w14:textId="77777777" w:rsidR="005651C9" w:rsidRPr="002200CA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200CA">
              <w:rPr>
                <w:rFonts w:ascii="Verdana" w:hAnsi="Verdana"/>
                <w:b/>
                <w:bCs/>
                <w:sz w:val="18"/>
                <w:szCs w:val="18"/>
              </w:rPr>
              <w:t>Дополнительный документ 10</w:t>
            </w:r>
            <w:r w:rsidRPr="002200CA">
              <w:rPr>
                <w:rFonts w:ascii="Verdana" w:hAnsi="Verdana"/>
                <w:b/>
                <w:bCs/>
                <w:sz w:val="18"/>
                <w:szCs w:val="18"/>
              </w:rPr>
              <w:br/>
              <w:t>к Документу 16(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Add</w:t>
            </w:r>
            <w:r w:rsidRPr="002200CA">
              <w:rPr>
                <w:rFonts w:ascii="Verdana" w:hAnsi="Verdana"/>
                <w:b/>
                <w:bCs/>
                <w:sz w:val="18"/>
                <w:szCs w:val="18"/>
              </w:rPr>
              <w:t>.22)</w:t>
            </w:r>
            <w:r w:rsidR="005651C9" w:rsidRPr="002200CA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R</w:t>
            </w:r>
          </w:p>
        </w:tc>
      </w:tr>
      <w:tr w:rsidR="000F33D8" w:rsidRPr="000A0EF3" w14:paraId="41A95EA1" w14:textId="77777777" w:rsidTr="002200CA">
        <w:trPr>
          <w:cantSplit/>
        </w:trPr>
        <w:tc>
          <w:tcPr>
            <w:tcW w:w="6521" w:type="dxa"/>
          </w:tcPr>
          <w:p w14:paraId="7248DCA6" w14:textId="77777777" w:rsidR="000F33D8" w:rsidRPr="002200CA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510" w:type="dxa"/>
          </w:tcPr>
          <w:p w14:paraId="7045D280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>7 октября 2019</w:t>
            </w:r>
            <w:r>
              <w:rPr>
                <w:rFonts w:ascii="Verdana" w:hAnsi="Verdana"/>
                <w:b/>
                <w:bCs/>
                <w:sz w:val="18"/>
                <w:szCs w:val="18"/>
                <w:lang w:val="en-US"/>
              </w:rPr>
              <w:t xml:space="preserve"> </w:t>
            </w:r>
            <w:r w:rsidRPr="00B832EA">
              <w:rPr>
                <w:rFonts w:ascii="Verdana" w:hAnsi="Verdana"/>
                <w:b/>
                <w:bCs/>
                <w:sz w:val="18"/>
                <w:szCs w:val="18"/>
              </w:rPr>
              <w:t>года</w:t>
            </w:r>
          </w:p>
        </w:tc>
      </w:tr>
      <w:tr w:rsidR="000F33D8" w:rsidRPr="000A0EF3" w14:paraId="63AE9A71" w14:textId="77777777" w:rsidTr="002200CA">
        <w:trPr>
          <w:cantSplit/>
        </w:trPr>
        <w:tc>
          <w:tcPr>
            <w:tcW w:w="6521" w:type="dxa"/>
          </w:tcPr>
          <w:p w14:paraId="19A01025" w14:textId="77777777" w:rsidR="000F33D8" w:rsidRPr="000A0EF3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  <w:lang w:val="en-US"/>
              </w:rPr>
            </w:pPr>
          </w:p>
        </w:tc>
        <w:tc>
          <w:tcPr>
            <w:tcW w:w="3510" w:type="dxa"/>
          </w:tcPr>
          <w:p w14:paraId="2C982420" w14:textId="77777777" w:rsidR="000F33D8" w:rsidRPr="005651C9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  <w:lang w:val="en-US"/>
              </w:rPr>
            </w:pPr>
            <w:r w:rsidRPr="005A295E"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  <w:t>Оригинал: английский</w:t>
            </w:r>
          </w:p>
        </w:tc>
      </w:tr>
      <w:tr w:rsidR="000F33D8" w:rsidRPr="000A0EF3" w14:paraId="75DAC792" w14:textId="77777777" w:rsidTr="009546EA">
        <w:trPr>
          <w:cantSplit/>
        </w:trPr>
        <w:tc>
          <w:tcPr>
            <w:tcW w:w="10031" w:type="dxa"/>
            <w:gridSpan w:val="2"/>
          </w:tcPr>
          <w:p w14:paraId="3C67D172" w14:textId="77777777" w:rsidR="000F33D8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  <w:lang w:val="en-US"/>
              </w:rPr>
            </w:pPr>
          </w:p>
        </w:tc>
      </w:tr>
      <w:tr w:rsidR="000F33D8" w:rsidRPr="000A0EF3" w14:paraId="28DC4F3D" w14:textId="77777777">
        <w:trPr>
          <w:cantSplit/>
        </w:trPr>
        <w:tc>
          <w:tcPr>
            <w:tcW w:w="10031" w:type="dxa"/>
            <w:gridSpan w:val="2"/>
          </w:tcPr>
          <w:p w14:paraId="65271EFA" w14:textId="77777777" w:rsidR="000F33D8" w:rsidRPr="005651C9" w:rsidRDefault="000F33D8" w:rsidP="000F33D8">
            <w:pPr>
              <w:pStyle w:val="Source"/>
              <w:rPr>
                <w:szCs w:val="26"/>
                <w:lang w:val="en-US"/>
              </w:rPr>
            </w:pPr>
            <w:bookmarkStart w:id="3" w:name="dsource" w:colFirst="0" w:colLast="0"/>
            <w:r w:rsidRPr="005A295E">
              <w:rPr>
                <w:szCs w:val="26"/>
                <w:lang w:val="en-US"/>
              </w:rPr>
              <w:t>Общие предложения европейских стран</w:t>
            </w:r>
          </w:p>
        </w:tc>
      </w:tr>
      <w:tr w:rsidR="000F33D8" w:rsidRPr="002200CA" w14:paraId="5E64E8B4" w14:textId="77777777">
        <w:trPr>
          <w:cantSplit/>
        </w:trPr>
        <w:tc>
          <w:tcPr>
            <w:tcW w:w="10031" w:type="dxa"/>
            <w:gridSpan w:val="2"/>
          </w:tcPr>
          <w:p w14:paraId="26D898A6" w14:textId="2F26D9EF" w:rsidR="000F33D8" w:rsidRPr="005B335D" w:rsidRDefault="005B335D" w:rsidP="00616C62">
            <w:pPr>
              <w:pStyle w:val="Title1"/>
              <w:rPr>
                <w:b/>
                <w:lang w:val="en-US"/>
              </w:rPr>
            </w:pPr>
            <w:bookmarkStart w:id="4" w:name="dtitle1" w:colFirst="0" w:colLast="0"/>
            <w:bookmarkEnd w:id="3"/>
            <w:r w:rsidRPr="005B335D">
              <w:rPr>
                <w:lang w:val="en-US"/>
              </w:rPr>
              <w:t>Предложения для работы конференции</w:t>
            </w:r>
          </w:p>
        </w:tc>
      </w:tr>
      <w:tr w:rsidR="000F33D8" w:rsidRPr="002200CA" w14:paraId="15CEDEB4" w14:textId="77777777">
        <w:trPr>
          <w:cantSplit/>
        </w:trPr>
        <w:tc>
          <w:tcPr>
            <w:tcW w:w="10031" w:type="dxa"/>
            <w:gridSpan w:val="2"/>
          </w:tcPr>
          <w:p w14:paraId="60401768" w14:textId="77777777" w:rsidR="000F33D8" w:rsidRPr="005B335D" w:rsidRDefault="000F33D8" w:rsidP="000F33D8">
            <w:pPr>
              <w:pStyle w:val="Title2"/>
              <w:rPr>
                <w:bCs/>
                <w:sz w:val="32"/>
                <w:szCs w:val="32"/>
                <w:lang w:val="en-US"/>
              </w:rPr>
            </w:pPr>
            <w:bookmarkStart w:id="5" w:name="dtitle2" w:colFirst="0" w:colLast="0"/>
            <w:bookmarkEnd w:id="4"/>
          </w:p>
        </w:tc>
      </w:tr>
      <w:tr w:rsidR="000F33D8" w:rsidRPr="00344EB8" w14:paraId="5A20E169" w14:textId="77777777">
        <w:trPr>
          <w:cantSplit/>
        </w:trPr>
        <w:tc>
          <w:tcPr>
            <w:tcW w:w="10031" w:type="dxa"/>
            <w:gridSpan w:val="2"/>
          </w:tcPr>
          <w:p w14:paraId="3C4264C6" w14:textId="77777777" w:rsidR="000F33D8" w:rsidRPr="005651C9" w:rsidRDefault="000F33D8" w:rsidP="000F33D8">
            <w:pPr>
              <w:pStyle w:val="Agendaitem"/>
            </w:pPr>
            <w:bookmarkStart w:id="6" w:name="dtitle3" w:colFirst="0" w:colLast="0"/>
            <w:bookmarkEnd w:id="5"/>
            <w:r w:rsidRPr="005A295E">
              <w:t>Пункт 9.2 повестки дня</w:t>
            </w:r>
          </w:p>
        </w:tc>
      </w:tr>
    </w:tbl>
    <w:bookmarkEnd w:id="6"/>
    <w:p w14:paraId="3A745F0C" w14:textId="77777777" w:rsidR="00D51940" w:rsidRPr="00822B4E" w:rsidRDefault="005E78F5" w:rsidP="005E78F5">
      <w:pPr>
        <w:pStyle w:val="Normalaftertitle"/>
        <w:rPr>
          <w:szCs w:val="22"/>
        </w:rPr>
      </w:pPr>
      <w:r w:rsidRPr="00205246">
        <w:t>9</w:t>
      </w:r>
      <w:r w:rsidRPr="00205246">
        <w:tab/>
        <w:t>рассмотреть и утвердить Отчет Директора Бюро радиосвязи в соответствии со Статьей 7 Конвенции:</w:t>
      </w:r>
    </w:p>
    <w:p w14:paraId="1D6F2A66" w14:textId="77777777" w:rsidR="00D51940" w:rsidRPr="00822B4E" w:rsidRDefault="005E78F5" w:rsidP="00822B4E">
      <w:pPr>
        <w:rPr>
          <w:szCs w:val="22"/>
        </w:rPr>
      </w:pPr>
      <w:r w:rsidRPr="00205246">
        <w:t>9.2</w:t>
      </w:r>
      <w:r w:rsidRPr="00205246">
        <w:tab/>
        <w:t>о наличии любых трудностей или противоречий, встречающихся при применении Регламента радиосвязи</w:t>
      </w:r>
      <w:r w:rsidRPr="00205246">
        <w:rPr>
          <w:rStyle w:val="FootnoteReference"/>
        </w:rPr>
        <w:footnoteReference w:customMarkFollows="1" w:id="1"/>
        <w:t>*</w:t>
      </w:r>
      <w:r w:rsidRPr="00205246">
        <w:t>; и</w:t>
      </w:r>
    </w:p>
    <w:p w14:paraId="7B283D6A" w14:textId="3FF5F58E" w:rsidR="002200CA" w:rsidRPr="005B335D" w:rsidRDefault="005B335D" w:rsidP="00616C62">
      <w:pPr>
        <w:pStyle w:val="Title4"/>
      </w:pPr>
      <w:r>
        <w:t>Часть</w:t>
      </w:r>
      <w:r w:rsidR="002200CA" w:rsidRPr="005B335D">
        <w:t xml:space="preserve"> 10 – </w:t>
      </w:r>
      <w:r>
        <w:t>Раздел</w:t>
      </w:r>
      <w:r w:rsidR="002200CA" w:rsidRPr="005B335D">
        <w:t xml:space="preserve"> 3.2.4.10 </w:t>
      </w:r>
      <w:r w:rsidRPr="005B335D">
        <w:t>Отчета Директора БР</w:t>
      </w:r>
    </w:p>
    <w:p w14:paraId="51C8F4EE" w14:textId="5EB3E79B" w:rsidR="002200CA" w:rsidRPr="005B335D" w:rsidRDefault="005B335D" w:rsidP="005B335D">
      <w:pPr>
        <w:pStyle w:val="Headingb"/>
        <w:rPr>
          <w:lang w:val="ru-RU"/>
        </w:rPr>
      </w:pPr>
      <w:r w:rsidRPr="005B335D">
        <w:rPr>
          <w:lang w:val="ru-RU"/>
        </w:rPr>
        <w:t>Введение</w:t>
      </w:r>
    </w:p>
    <w:p w14:paraId="25693E2E" w14:textId="5B08C965" w:rsidR="002200CA" w:rsidRPr="0021052B" w:rsidRDefault="00871BF2" w:rsidP="002200CA">
      <w:r w:rsidRPr="0002284B">
        <w:t xml:space="preserve">Настоящий дополнительный документ представляет собой общее предложение европейских стран в отношении раздела </w:t>
      </w:r>
      <w:r w:rsidR="002200CA" w:rsidRPr="0002284B">
        <w:t xml:space="preserve">3.2.4.10 </w:t>
      </w:r>
      <w:r w:rsidRPr="0002284B">
        <w:t>Отчета Директора Бюро радиосвязи в соответствии с пунктом 9.2 повестки дня ВКР-19</w:t>
      </w:r>
      <w:r w:rsidR="002200CA" w:rsidRPr="0002284B">
        <w:t xml:space="preserve">. </w:t>
      </w:r>
      <w:r w:rsidRPr="0002284B">
        <w:t>Раздел</w:t>
      </w:r>
      <w:r w:rsidR="002200CA" w:rsidRPr="0002284B">
        <w:t xml:space="preserve"> 3.2.4.10 </w:t>
      </w:r>
      <w:r w:rsidRPr="0002284B">
        <w:t>касается</w:t>
      </w:r>
      <w:r w:rsidR="002200CA" w:rsidRPr="0002284B">
        <w:t xml:space="preserve"> </w:t>
      </w:r>
      <w:r w:rsidRPr="0002284B">
        <w:rPr>
          <w:rFonts w:hint="eastAsia"/>
        </w:rPr>
        <w:t>неприменимости</w:t>
      </w:r>
      <w:r w:rsidRPr="0002284B">
        <w:t xml:space="preserve"> Резолюции </w:t>
      </w:r>
      <w:r w:rsidR="002200CA" w:rsidRPr="0002284B">
        <w:rPr>
          <w:b/>
          <w:bCs/>
        </w:rPr>
        <w:t>49</w:t>
      </w:r>
      <w:r w:rsidR="002200CA" w:rsidRPr="0002284B">
        <w:t xml:space="preserve"> (</w:t>
      </w:r>
      <w:r w:rsidR="002200CA" w:rsidRPr="0002284B">
        <w:rPr>
          <w:b/>
          <w:bCs/>
        </w:rPr>
        <w:t>Пересм.</w:t>
      </w:r>
      <w:r w:rsidR="002200CA" w:rsidRPr="00871BF2">
        <w:rPr>
          <w:b/>
          <w:bCs/>
          <w:lang w:val="en-GB"/>
        </w:rPr>
        <w:t> </w:t>
      </w:r>
      <w:r w:rsidR="002200CA" w:rsidRPr="0021052B">
        <w:rPr>
          <w:b/>
          <w:bCs/>
        </w:rPr>
        <w:t>ВКР-15</w:t>
      </w:r>
      <w:r w:rsidR="002200CA" w:rsidRPr="0021052B">
        <w:t xml:space="preserve">) </w:t>
      </w:r>
      <w:r w:rsidRPr="0021052B">
        <w:t>для представлений согласно Статье</w:t>
      </w:r>
      <w:r w:rsidR="002200CA" w:rsidRPr="0021052B">
        <w:t xml:space="preserve"> 2</w:t>
      </w:r>
      <w:r w:rsidR="002200CA" w:rsidRPr="002200CA">
        <w:rPr>
          <w:lang w:val="en-GB"/>
        </w:rPr>
        <w:t>A</w:t>
      </w:r>
      <w:r w:rsidR="002200CA" w:rsidRPr="0021052B">
        <w:t xml:space="preserve"> </w:t>
      </w:r>
      <w:r w:rsidRPr="0021052B">
        <w:t xml:space="preserve">Приложений </w:t>
      </w:r>
      <w:r w:rsidRPr="0021052B">
        <w:rPr>
          <w:b/>
          <w:bCs/>
        </w:rPr>
        <w:t>3</w:t>
      </w:r>
      <w:r w:rsidR="002200CA" w:rsidRPr="0021052B">
        <w:rPr>
          <w:b/>
          <w:bCs/>
        </w:rPr>
        <w:t>0</w:t>
      </w:r>
      <w:r w:rsidR="002200CA" w:rsidRPr="0021052B">
        <w:t xml:space="preserve"> </w:t>
      </w:r>
      <w:r w:rsidRPr="0021052B">
        <w:t>и</w:t>
      </w:r>
      <w:r w:rsidR="002200CA" w:rsidRPr="0021052B">
        <w:t xml:space="preserve"> </w:t>
      </w:r>
      <w:r w:rsidR="002200CA" w:rsidRPr="0021052B">
        <w:rPr>
          <w:b/>
          <w:bCs/>
        </w:rPr>
        <w:t>30</w:t>
      </w:r>
      <w:r w:rsidR="002200CA" w:rsidRPr="00871BF2">
        <w:rPr>
          <w:b/>
          <w:bCs/>
          <w:lang w:val="en-GB"/>
        </w:rPr>
        <w:t>A</w:t>
      </w:r>
      <w:r w:rsidRPr="0021052B">
        <w:t xml:space="preserve"> к РР, охватывающи</w:t>
      </w:r>
      <w:r w:rsidR="0021052B">
        <w:t>х</w:t>
      </w:r>
      <w:r w:rsidRPr="0021052B">
        <w:t xml:space="preserve"> вопросы использования защитных полос РСС для обеспечения функций космической эксплуатации</w:t>
      </w:r>
      <w:r w:rsidR="002200CA" w:rsidRPr="0021052B">
        <w:t>.</w:t>
      </w:r>
    </w:p>
    <w:p w14:paraId="51833DE1" w14:textId="011B99C3" w:rsidR="002200CA" w:rsidRPr="00D26143" w:rsidRDefault="00653E22" w:rsidP="002200CA">
      <w:r w:rsidRPr="0021052B">
        <w:rPr>
          <w:rFonts w:hint="eastAsia"/>
        </w:rPr>
        <w:t>В</w:t>
      </w:r>
      <w:r w:rsidR="00871BF2" w:rsidRPr="0021052B">
        <w:t xml:space="preserve"> пункте 1 раздела решает Резолюции</w:t>
      </w:r>
      <w:r w:rsidR="00871BF2">
        <w:rPr>
          <w:rFonts w:ascii="inherit" w:hAnsi="inherit"/>
          <w:color w:val="000000"/>
          <w:shd w:val="clear" w:color="auto" w:fill="F0F0F0"/>
        </w:rPr>
        <w:t xml:space="preserve"> </w:t>
      </w:r>
      <w:r w:rsidR="002200CA" w:rsidRPr="00871BF2">
        <w:rPr>
          <w:b/>
        </w:rPr>
        <w:t>49 (Пересм.</w:t>
      </w:r>
      <w:r w:rsidR="002200CA">
        <w:rPr>
          <w:b/>
          <w:lang w:val="en-GB"/>
        </w:rPr>
        <w:t> </w:t>
      </w:r>
      <w:r w:rsidR="002200CA" w:rsidRPr="0021052B">
        <w:rPr>
          <w:b/>
        </w:rPr>
        <w:t>ВКР-15)</w:t>
      </w:r>
      <w:r w:rsidR="002200CA" w:rsidRPr="0021052B">
        <w:t xml:space="preserve"> </w:t>
      </w:r>
      <w:r w:rsidR="0021052B">
        <w:t>четко</w:t>
      </w:r>
      <w:r w:rsidR="0021052B" w:rsidRPr="0021052B">
        <w:t xml:space="preserve"> </w:t>
      </w:r>
      <w:r w:rsidRPr="0021052B">
        <w:t xml:space="preserve">указано, в отношении какой спутниковой сети или спутниковой системы должна применяться административная процедура надлежащего исполнения, содержащаяся в Дополнении 1 к этой Резолюции. </w:t>
      </w:r>
      <w:r w:rsidR="0021052B">
        <w:t>В</w:t>
      </w:r>
      <w:r w:rsidR="0021052B" w:rsidRPr="0021052B">
        <w:t xml:space="preserve"> </w:t>
      </w:r>
      <w:r w:rsidR="0021052B">
        <w:t>пункте</w:t>
      </w:r>
      <w:r w:rsidR="0021052B" w:rsidRPr="0021052B">
        <w:t xml:space="preserve"> 2 </w:t>
      </w:r>
      <w:r w:rsidR="0021052B">
        <w:t>Дополнения</w:t>
      </w:r>
      <w:r w:rsidR="002200CA" w:rsidRPr="0021052B">
        <w:t xml:space="preserve"> 1</w:t>
      </w:r>
      <w:r w:rsidR="0021052B" w:rsidRPr="0021052B">
        <w:t xml:space="preserve"> </w:t>
      </w:r>
      <w:r w:rsidR="0021052B">
        <w:t>к</w:t>
      </w:r>
      <w:r w:rsidR="0021052B" w:rsidRPr="0021052B">
        <w:t xml:space="preserve"> </w:t>
      </w:r>
      <w:r w:rsidR="0021052B">
        <w:t>этой</w:t>
      </w:r>
      <w:r w:rsidR="0021052B" w:rsidRPr="0021052B">
        <w:t xml:space="preserve"> </w:t>
      </w:r>
      <w:r w:rsidR="0021052B">
        <w:t>Резолюции</w:t>
      </w:r>
      <w:r w:rsidR="0021052B" w:rsidRPr="0021052B">
        <w:t xml:space="preserve"> </w:t>
      </w:r>
      <w:r w:rsidR="0021052B">
        <w:t>указывается</w:t>
      </w:r>
      <w:r w:rsidR="0021052B" w:rsidRPr="0021052B">
        <w:t xml:space="preserve">, </w:t>
      </w:r>
      <w:r w:rsidR="0002284B">
        <w:t xml:space="preserve">что </w:t>
      </w:r>
      <w:r w:rsidR="0021052B" w:rsidRPr="0021052B">
        <w:rPr>
          <w:rFonts w:hint="eastAsia"/>
        </w:rPr>
        <w:t>данные</w:t>
      </w:r>
      <w:r w:rsidR="0021052B" w:rsidRPr="0021052B">
        <w:t xml:space="preserve"> процедуры применимы к </w:t>
      </w:r>
      <w:r w:rsidR="0021052B">
        <w:t>любому</w:t>
      </w:r>
      <w:r w:rsidR="0021052B" w:rsidRPr="0021052B">
        <w:t xml:space="preserve"> запросу на внесение изменений в План для Района 2 согласно соответствующим положениям Статьи 4 Приложений </w:t>
      </w:r>
      <w:r w:rsidR="0021052B" w:rsidRPr="0021052B">
        <w:rPr>
          <w:b/>
          <w:bCs/>
        </w:rPr>
        <w:t>30</w:t>
      </w:r>
      <w:r w:rsidR="0021052B" w:rsidRPr="0021052B">
        <w:t xml:space="preserve"> и </w:t>
      </w:r>
      <w:r w:rsidR="0021052B" w:rsidRPr="00D26143">
        <w:rPr>
          <w:b/>
          <w:bCs/>
        </w:rPr>
        <w:t>30A</w:t>
      </w:r>
      <w:r w:rsidR="0021052B" w:rsidRPr="0021052B">
        <w:t xml:space="preserve">, которые связаны с включением новых частот или орбитальных позиций, или к запросу на внесение изменений в План для Района 2 согласно соответствующим положениям Статьи 4 Приложений </w:t>
      </w:r>
      <w:r w:rsidR="0021052B" w:rsidRPr="0021052B">
        <w:rPr>
          <w:b/>
          <w:bCs/>
        </w:rPr>
        <w:t>30</w:t>
      </w:r>
      <w:r w:rsidR="0021052B" w:rsidRPr="0021052B">
        <w:t xml:space="preserve"> и </w:t>
      </w:r>
      <w:r w:rsidR="0021052B" w:rsidRPr="0021052B">
        <w:rPr>
          <w:b/>
          <w:bCs/>
        </w:rPr>
        <w:t>30A</w:t>
      </w:r>
      <w:r w:rsidR="0021052B" w:rsidRPr="0021052B">
        <w:t>, которые связаны с расширением зоны обслуживания на территорию другой страны или стран в дополнение к существующей зоне обслуживания, или к запросу на дополнительные виды использования в Районах 1 и 3 согласно соответствующим положениям Статьи</w:t>
      </w:r>
      <w:r w:rsidR="0002284B">
        <w:t> </w:t>
      </w:r>
      <w:r w:rsidR="0021052B" w:rsidRPr="0021052B">
        <w:t>4 Приложений 30 и 30A.</w:t>
      </w:r>
      <w:r w:rsidR="002200CA" w:rsidRPr="0021052B">
        <w:t xml:space="preserve"> </w:t>
      </w:r>
      <w:r w:rsidR="0021052B">
        <w:t>Помимо</w:t>
      </w:r>
      <w:r w:rsidR="0021052B" w:rsidRPr="00D26143">
        <w:t xml:space="preserve"> </w:t>
      </w:r>
      <w:r w:rsidR="0021052B">
        <w:t>этого</w:t>
      </w:r>
      <w:r w:rsidR="00D26143">
        <w:t>,</w:t>
      </w:r>
      <w:r w:rsidR="0021052B" w:rsidRPr="00D26143">
        <w:t xml:space="preserve"> </w:t>
      </w:r>
      <w:r w:rsidR="0021052B">
        <w:t>неприменимость</w:t>
      </w:r>
      <w:r w:rsidR="0021052B" w:rsidRPr="00D26143">
        <w:t xml:space="preserve"> </w:t>
      </w:r>
      <w:r w:rsidR="0021052B">
        <w:rPr>
          <w:rFonts w:ascii="inherit" w:hAnsi="inherit"/>
          <w:color w:val="000000"/>
          <w:shd w:val="clear" w:color="auto" w:fill="FFFFFF"/>
        </w:rPr>
        <w:t>административн</w:t>
      </w:r>
      <w:r w:rsidR="00D26143">
        <w:rPr>
          <w:rFonts w:ascii="inherit" w:hAnsi="inherit"/>
          <w:color w:val="000000"/>
          <w:shd w:val="clear" w:color="auto" w:fill="FFFFFF"/>
        </w:rPr>
        <w:t>ой</w:t>
      </w:r>
      <w:r w:rsidR="0021052B" w:rsidRPr="00D26143">
        <w:rPr>
          <w:rFonts w:ascii="inherit" w:hAnsi="inherit"/>
          <w:color w:val="000000"/>
          <w:shd w:val="clear" w:color="auto" w:fill="FFFFFF"/>
        </w:rPr>
        <w:t xml:space="preserve"> </w:t>
      </w:r>
      <w:r w:rsidR="0021052B">
        <w:rPr>
          <w:rFonts w:ascii="inherit" w:hAnsi="inherit"/>
          <w:color w:val="000000"/>
          <w:shd w:val="clear" w:color="auto" w:fill="FFFFFF"/>
        </w:rPr>
        <w:t>процедур</w:t>
      </w:r>
      <w:r w:rsidR="00D26143">
        <w:rPr>
          <w:rFonts w:ascii="inherit" w:hAnsi="inherit"/>
          <w:color w:val="000000"/>
          <w:shd w:val="clear" w:color="auto" w:fill="FFFFFF"/>
        </w:rPr>
        <w:t>ы</w:t>
      </w:r>
      <w:r w:rsidR="0021052B" w:rsidRPr="00D26143">
        <w:rPr>
          <w:rFonts w:ascii="inherit" w:hAnsi="inherit"/>
          <w:color w:val="000000"/>
          <w:shd w:val="clear" w:color="auto" w:fill="FFFFFF"/>
        </w:rPr>
        <w:t xml:space="preserve"> </w:t>
      </w:r>
      <w:r w:rsidR="0021052B">
        <w:rPr>
          <w:rFonts w:ascii="inherit" w:hAnsi="inherit"/>
          <w:color w:val="000000"/>
          <w:shd w:val="clear" w:color="auto" w:fill="FFFFFF"/>
        </w:rPr>
        <w:t>надлежащего</w:t>
      </w:r>
      <w:r w:rsidR="0021052B" w:rsidRPr="00D26143">
        <w:rPr>
          <w:rFonts w:ascii="inherit" w:hAnsi="inherit"/>
          <w:color w:val="000000"/>
          <w:shd w:val="clear" w:color="auto" w:fill="FFFFFF"/>
        </w:rPr>
        <w:t xml:space="preserve"> </w:t>
      </w:r>
      <w:r w:rsidR="0021052B">
        <w:rPr>
          <w:rFonts w:ascii="inherit" w:hAnsi="inherit"/>
          <w:color w:val="000000"/>
          <w:shd w:val="clear" w:color="auto" w:fill="FFFFFF"/>
        </w:rPr>
        <w:t>исполнения</w:t>
      </w:r>
      <w:r w:rsidR="002200CA" w:rsidRPr="00D26143">
        <w:t xml:space="preserve"> </w:t>
      </w:r>
      <w:r w:rsidR="00D26143">
        <w:t>в</w:t>
      </w:r>
      <w:r w:rsidR="00D26143" w:rsidRPr="00D26143">
        <w:t xml:space="preserve"> </w:t>
      </w:r>
      <w:r w:rsidR="00D26143">
        <w:t>отношении</w:t>
      </w:r>
      <w:r w:rsidR="00D26143" w:rsidRPr="00D26143">
        <w:t xml:space="preserve"> </w:t>
      </w:r>
      <w:r w:rsidR="00D26143">
        <w:t>представлений</w:t>
      </w:r>
      <w:r w:rsidR="00D26143" w:rsidRPr="00D26143">
        <w:t xml:space="preserve"> </w:t>
      </w:r>
      <w:r w:rsidR="000C43BA">
        <w:t>по</w:t>
      </w:r>
      <w:r w:rsidR="00D26143" w:rsidRPr="00D26143">
        <w:t xml:space="preserve"> </w:t>
      </w:r>
      <w:r w:rsidR="00D26143">
        <w:t>Статье</w:t>
      </w:r>
      <w:r w:rsidR="002200CA" w:rsidRPr="00D26143">
        <w:t xml:space="preserve"> 2</w:t>
      </w:r>
      <w:r w:rsidR="002200CA" w:rsidRPr="0021052B">
        <w:rPr>
          <w:lang w:val="en-US"/>
        </w:rPr>
        <w:t>A</w:t>
      </w:r>
      <w:r w:rsidR="002200CA" w:rsidRPr="00D26143">
        <w:t xml:space="preserve"> </w:t>
      </w:r>
      <w:r w:rsidR="00D26143">
        <w:t>Приложений</w:t>
      </w:r>
      <w:r w:rsidR="002200CA" w:rsidRPr="00D26143">
        <w:t xml:space="preserve"> </w:t>
      </w:r>
      <w:r w:rsidR="002200CA" w:rsidRPr="00D26143">
        <w:rPr>
          <w:b/>
        </w:rPr>
        <w:t>30</w:t>
      </w:r>
      <w:r w:rsidR="00D26143" w:rsidRPr="00616C62">
        <w:rPr>
          <w:bCs/>
        </w:rPr>
        <w:t xml:space="preserve"> и</w:t>
      </w:r>
      <w:r w:rsidR="002200CA" w:rsidRPr="00D26143">
        <w:t xml:space="preserve"> </w:t>
      </w:r>
      <w:r w:rsidR="002200CA" w:rsidRPr="00D26143">
        <w:rPr>
          <w:b/>
        </w:rPr>
        <w:t>30</w:t>
      </w:r>
      <w:r w:rsidR="002200CA" w:rsidRPr="00C554AB">
        <w:rPr>
          <w:b/>
          <w:lang w:val="en-US"/>
        </w:rPr>
        <w:t>A</w:t>
      </w:r>
      <w:r w:rsidR="002200CA" w:rsidRPr="00D26143">
        <w:t xml:space="preserve"> </w:t>
      </w:r>
      <w:r w:rsidR="00D26143">
        <w:t xml:space="preserve">была четко подтверждена на </w:t>
      </w:r>
      <w:r w:rsidR="002200CA" w:rsidRPr="0021052B">
        <w:t>ВКР</w:t>
      </w:r>
      <w:r w:rsidR="002200CA" w:rsidRPr="00D26143">
        <w:t xml:space="preserve">-03 </w:t>
      </w:r>
      <w:r w:rsidR="00D26143">
        <w:t xml:space="preserve">при </w:t>
      </w:r>
      <w:r w:rsidR="0002284B">
        <w:t>принятии</w:t>
      </w:r>
      <w:r w:rsidR="00D26143">
        <w:t xml:space="preserve"> положений, содержащихся в Статье</w:t>
      </w:r>
      <w:r w:rsidR="002200CA" w:rsidRPr="00D26143">
        <w:t xml:space="preserve"> 2</w:t>
      </w:r>
      <w:r w:rsidR="002200CA">
        <w:rPr>
          <w:lang w:val="en-US"/>
        </w:rPr>
        <w:t>A</w:t>
      </w:r>
      <w:r w:rsidR="002200CA" w:rsidRPr="00D26143">
        <w:t xml:space="preserve"> </w:t>
      </w:r>
      <w:r w:rsidR="00D26143">
        <w:t>Приложений</w:t>
      </w:r>
      <w:r w:rsidR="002200CA" w:rsidRPr="00D26143">
        <w:t xml:space="preserve"> </w:t>
      </w:r>
      <w:r w:rsidR="002200CA" w:rsidRPr="00D26143">
        <w:rPr>
          <w:b/>
        </w:rPr>
        <w:t>30</w:t>
      </w:r>
      <w:r w:rsidR="00D26143" w:rsidRPr="00616C62">
        <w:rPr>
          <w:bCs/>
        </w:rPr>
        <w:t xml:space="preserve"> и</w:t>
      </w:r>
      <w:r w:rsidR="002200CA" w:rsidRPr="00D26143">
        <w:t xml:space="preserve"> </w:t>
      </w:r>
      <w:r w:rsidR="002200CA" w:rsidRPr="00D26143">
        <w:rPr>
          <w:b/>
        </w:rPr>
        <w:t>30</w:t>
      </w:r>
      <w:r w:rsidR="002200CA" w:rsidRPr="00C554AB">
        <w:rPr>
          <w:b/>
          <w:lang w:val="en-US"/>
        </w:rPr>
        <w:t>A</w:t>
      </w:r>
      <w:r w:rsidR="00D26143" w:rsidRPr="00616C62">
        <w:rPr>
          <w:bCs/>
        </w:rPr>
        <w:t xml:space="preserve"> </w:t>
      </w:r>
      <w:r w:rsidR="00D26143" w:rsidRPr="00D26143">
        <w:rPr>
          <w:bCs/>
        </w:rPr>
        <w:t>к РР</w:t>
      </w:r>
      <w:r w:rsidR="002200CA" w:rsidRPr="00D26143">
        <w:t>.</w:t>
      </w:r>
    </w:p>
    <w:p w14:paraId="32E9D268" w14:textId="16FEDD7B" w:rsidR="002200CA" w:rsidRPr="0002284B" w:rsidRDefault="00D26143" w:rsidP="002200CA">
      <w:r w:rsidRPr="0002284B">
        <w:rPr>
          <w:rFonts w:hint="eastAsia"/>
        </w:rPr>
        <w:lastRenderedPageBreak/>
        <w:t>Несмотря</w:t>
      </w:r>
      <w:r w:rsidRPr="0002284B">
        <w:t xml:space="preserve"> н</w:t>
      </w:r>
      <w:r w:rsidR="0002284B">
        <w:t>а</w:t>
      </w:r>
      <w:r w:rsidRPr="0002284B">
        <w:t xml:space="preserve"> то, что представления </w:t>
      </w:r>
      <w:r w:rsidR="000C43BA" w:rsidRPr="0002284B">
        <w:t>по</w:t>
      </w:r>
      <w:r w:rsidRPr="0002284B">
        <w:t xml:space="preserve"> Статье</w:t>
      </w:r>
      <w:r w:rsidR="002200CA" w:rsidRPr="0002284B">
        <w:t xml:space="preserve"> 2</w:t>
      </w:r>
      <w:r w:rsidR="002200CA">
        <w:rPr>
          <w:lang w:val="en-US"/>
        </w:rPr>
        <w:t>A</w:t>
      </w:r>
      <w:r w:rsidR="002200CA" w:rsidRPr="0002284B">
        <w:t xml:space="preserve"> </w:t>
      </w:r>
      <w:r w:rsidRPr="0002284B">
        <w:t>Приложений</w:t>
      </w:r>
      <w:r w:rsidR="002200CA" w:rsidRPr="0002284B">
        <w:t xml:space="preserve"> </w:t>
      </w:r>
      <w:r w:rsidR="002200CA" w:rsidRPr="0002284B">
        <w:rPr>
          <w:b/>
          <w:bCs/>
        </w:rPr>
        <w:t>30</w:t>
      </w:r>
      <w:r w:rsidRPr="0002284B">
        <w:t xml:space="preserve"> и</w:t>
      </w:r>
      <w:r w:rsidR="002200CA" w:rsidRPr="0002284B">
        <w:t xml:space="preserve"> </w:t>
      </w:r>
      <w:r w:rsidR="002200CA" w:rsidRPr="0002284B">
        <w:rPr>
          <w:b/>
          <w:bCs/>
        </w:rPr>
        <w:t>30</w:t>
      </w:r>
      <w:r w:rsidR="002200CA" w:rsidRPr="000C43BA">
        <w:rPr>
          <w:b/>
          <w:bCs/>
          <w:lang w:val="en-US"/>
        </w:rPr>
        <w:t>A</w:t>
      </w:r>
      <w:r w:rsidRPr="0002284B">
        <w:t xml:space="preserve"> к РР конкретно не указаны в Резолюции</w:t>
      </w:r>
      <w:r w:rsidR="002200CA" w:rsidRPr="0002284B">
        <w:t xml:space="preserve"> 49 (</w:t>
      </w:r>
      <w:r w:rsidR="002200CA" w:rsidRPr="0002284B">
        <w:rPr>
          <w:b/>
          <w:bCs/>
        </w:rPr>
        <w:t>Пересм.</w:t>
      </w:r>
      <w:r w:rsidR="002200CA" w:rsidRPr="000C43BA">
        <w:rPr>
          <w:b/>
          <w:bCs/>
          <w:lang w:val="en-US"/>
        </w:rPr>
        <w:t> </w:t>
      </w:r>
      <w:r w:rsidR="002200CA" w:rsidRPr="0002284B">
        <w:rPr>
          <w:b/>
          <w:bCs/>
        </w:rPr>
        <w:t>ВКР-15</w:t>
      </w:r>
      <w:r w:rsidR="002200CA" w:rsidRPr="0002284B">
        <w:t xml:space="preserve">), </w:t>
      </w:r>
      <w:r w:rsidR="000C43BA" w:rsidRPr="0002284B">
        <w:t>некоторые администрации представляют Бюро информацию</w:t>
      </w:r>
      <w:r w:rsidR="002200CA" w:rsidRPr="0002284B">
        <w:t xml:space="preserve"> </w:t>
      </w:r>
      <w:r w:rsidR="000C43BA" w:rsidRPr="0002284B">
        <w:t>по процедуре надлежащего исполнения в соответствии с этой Резолюцией</w:t>
      </w:r>
      <w:r w:rsidR="002200CA" w:rsidRPr="0002284B">
        <w:t xml:space="preserve"> </w:t>
      </w:r>
      <w:r w:rsidR="000C43BA" w:rsidRPr="0002284B">
        <w:t>в отношении их представлений по Статье</w:t>
      </w:r>
      <w:r w:rsidR="002200CA" w:rsidRPr="0002284B">
        <w:t xml:space="preserve"> 2</w:t>
      </w:r>
      <w:r w:rsidR="002200CA" w:rsidRPr="00C554AB">
        <w:rPr>
          <w:lang w:val="en-US"/>
        </w:rPr>
        <w:t>A</w:t>
      </w:r>
      <w:r w:rsidR="002200CA" w:rsidRPr="0002284B">
        <w:t xml:space="preserve"> </w:t>
      </w:r>
      <w:r w:rsidR="000C43BA" w:rsidRPr="0002284B">
        <w:t xml:space="preserve">Приложений </w:t>
      </w:r>
      <w:r w:rsidR="002200CA" w:rsidRPr="0002284B">
        <w:rPr>
          <w:b/>
          <w:bCs/>
        </w:rPr>
        <w:t>30</w:t>
      </w:r>
      <w:r w:rsidR="002200CA" w:rsidRPr="0002284B">
        <w:t xml:space="preserve"> </w:t>
      </w:r>
      <w:r w:rsidR="000C43BA" w:rsidRPr="0002284B">
        <w:t>и</w:t>
      </w:r>
      <w:r w:rsidR="002200CA" w:rsidRPr="0002284B">
        <w:t xml:space="preserve"> </w:t>
      </w:r>
      <w:r w:rsidR="002200CA" w:rsidRPr="0002284B">
        <w:rPr>
          <w:b/>
          <w:bCs/>
        </w:rPr>
        <w:t>30</w:t>
      </w:r>
      <w:r w:rsidR="002200CA" w:rsidRPr="000C43BA">
        <w:rPr>
          <w:b/>
          <w:bCs/>
          <w:lang w:val="en-US"/>
        </w:rPr>
        <w:t>A</w:t>
      </w:r>
      <w:r w:rsidR="002200CA" w:rsidRPr="0002284B">
        <w:t>.</w:t>
      </w:r>
    </w:p>
    <w:p w14:paraId="4F39A850" w14:textId="10190B1F" w:rsidR="002200CA" w:rsidRPr="000C43BA" w:rsidRDefault="000C43BA" w:rsidP="002200CA">
      <w:r>
        <w:t>В</w:t>
      </w:r>
      <w:r w:rsidRPr="000C43BA">
        <w:t xml:space="preserve"> </w:t>
      </w:r>
      <w:r>
        <w:t>целях</w:t>
      </w:r>
      <w:r w:rsidRPr="000C43BA">
        <w:t xml:space="preserve"> </w:t>
      </w:r>
      <w:r>
        <w:t>уточнения</w:t>
      </w:r>
      <w:r w:rsidRPr="000C43BA">
        <w:t xml:space="preserve"> </w:t>
      </w:r>
      <w:r>
        <w:t>ситуации</w:t>
      </w:r>
      <w:r w:rsidRPr="000C43BA">
        <w:t xml:space="preserve">, </w:t>
      </w:r>
      <w:r>
        <w:t>касающейся</w:t>
      </w:r>
      <w:r w:rsidRPr="000C43BA">
        <w:t xml:space="preserve"> </w:t>
      </w:r>
      <w:r>
        <w:t>применимости</w:t>
      </w:r>
      <w:r w:rsidR="002200CA" w:rsidRPr="000C43BA">
        <w:t xml:space="preserve"> </w:t>
      </w:r>
      <w:r>
        <w:rPr>
          <w:rFonts w:ascii="inherit" w:hAnsi="inherit"/>
          <w:color w:val="000000"/>
          <w:shd w:val="clear" w:color="auto" w:fill="FFFFFF"/>
        </w:rPr>
        <w:t>административной</w:t>
      </w:r>
      <w:r w:rsidRPr="000C43BA">
        <w:rPr>
          <w:rFonts w:ascii="inherit" w:hAnsi="inherit"/>
          <w:color w:val="000000"/>
          <w:shd w:val="clear" w:color="auto" w:fill="FFFFFF"/>
        </w:rPr>
        <w:t xml:space="preserve"> </w:t>
      </w:r>
      <w:r>
        <w:rPr>
          <w:rFonts w:ascii="inherit" w:hAnsi="inherit"/>
          <w:color w:val="000000"/>
          <w:shd w:val="clear" w:color="auto" w:fill="FFFFFF"/>
        </w:rPr>
        <w:t>процедуры</w:t>
      </w:r>
      <w:r w:rsidRPr="000C43BA">
        <w:rPr>
          <w:rFonts w:ascii="inherit" w:hAnsi="inherit"/>
          <w:color w:val="000000"/>
          <w:shd w:val="clear" w:color="auto" w:fill="FFFFFF"/>
        </w:rPr>
        <w:t xml:space="preserve"> </w:t>
      </w:r>
      <w:r>
        <w:rPr>
          <w:rFonts w:ascii="inherit" w:hAnsi="inherit"/>
          <w:color w:val="000000"/>
          <w:shd w:val="clear" w:color="auto" w:fill="FFFFFF"/>
        </w:rPr>
        <w:t>надлежащего</w:t>
      </w:r>
      <w:r w:rsidRPr="000C43BA">
        <w:rPr>
          <w:rFonts w:ascii="inherit" w:hAnsi="inherit"/>
          <w:color w:val="000000"/>
          <w:shd w:val="clear" w:color="auto" w:fill="FFFFFF"/>
        </w:rPr>
        <w:t xml:space="preserve"> </w:t>
      </w:r>
      <w:r>
        <w:rPr>
          <w:rFonts w:ascii="inherit" w:hAnsi="inherit"/>
          <w:color w:val="000000"/>
          <w:shd w:val="clear" w:color="auto" w:fill="FFFFFF"/>
        </w:rPr>
        <w:t>исполнения</w:t>
      </w:r>
      <w:r w:rsidRPr="000C43BA">
        <w:t xml:space="preserve"> </w:t>
      </w:r>
      <w:r>
        <w:t>в</w:t>
      </w:r>
      <w:r w:rsidRPr="000C43BA">
        <w:t xml:space="preserve"> </w:t>
      </w:r>
      <w:r>
        <w:t>отношении</w:t>
      </w:r>
      <w:r w:rsidRPr="000C43BA">
        <w:t xml:space="preserve"> </w:t>
      </w:r>
      <w:r>
        <w:t>таких</w:t>
      </w:r>
      <w:r w:rsidRPr="000C43BA">
        <w:t xml:space="preserve"> </w:t>
      </w:r>
      <w:r>
        <w:t>представлений,</w:t>
      </w:r>
      <w:r w:rsidRPr="000C43BA">
        <w:t xml:space="preserve"> </w:t>
      </w:r>
      <w:r>
        <w:t>в</w:t>
      </w:r>
      <w:r w:rsidRPr="000C43BA">
        <w:t xml:space="preserve"> </w:t>
      </w:r>
      <w:r>
        <w:t>Статье</w:t>
      </w:r>
      <w:r w:rsidRPr="000C43BA">
        <w:t xml:space="preserve"> </w:t>
      </w:r>
      <w:r w:rsidR="002200CA" w:rsidRPr="000C43BA">
        <w:t>2</w:t>
      </w:r>
      <w:r w:rsidR="002200CA">
        <w:rPr>
          <w:lang w:val="en-US"/>
        </w:rPr>
        <w:t>A</w:t>
      </w:r>
      <w:r>
        <w:t xml:space="preserve"> Приложений</w:t>
      </w:r>
      <w:r w:rsidR="002200CA" w:rsidRPr="000C43BA">
        <w:t xml:space="preserve"> </w:t>
      </w:r>
      <w:r w:rsidR="002200CA" w:rsidRPr="000C43BA">
        <w:rPr>
          <w:b/>
        </w:rPr>
        <w:t>30</w:t>
      </w:r>
      <w:r w:rsidR="002200CA" w:rsidRPr="000C43BA">
        <w:t xml:space="preserve"> </w:t>
      </w:r>
      <w:r>
        <w:t>и</w:t>
      </w:r>
      <w:r w:rsidR="002200CA" w:rsidRPr="000C43BA">
        <w:t xml:space="preserve"> </w:t>
      </w:r>
      <w:r w:rsidR="002200CA" w:rsidRPr="000C43BA">
        <w:rPr>
          <w:b/>
        </w:rPr>
        <w:t>30</w:t>
      </w:r>
      <w:r w:rsidR="002200CA" w:rsidRPr="00C554AB">
        <w:rPr>
          <w:b/>
          <w:lang w:val="en-US"/>
        </w:rPr>
        <w:t>A</w:t>
      </w:r>
      <w:r w:rsidR="002200CA" w:rsidRPr="000C43BA">
        <w:t xml:space="preserve"> </w:t>
      </w:r>
      <w:r>
        <w:t>к РР необходимо четко указать, что эта процедура не применима к таким представлениям</w:t>
      </w:r>
      <w:r w:rsidR="002200CA" w:rsidRPr="000C43BA">
        <w:t>.</w:t>
      </w:r>
    </w:p>
    <w:p w14:paraId="4CBA5921" w14:textId="5B87E871" w:rsidR="0003535B" w:rsidRPr="005B335D" w:rsidRDefault="005B335D" w:rsidP="005B335D">
      <w:pPr>
        <w:pStyle w:val="Headingb"/>
        <w:rPr>
          <w:lang w:val="ru-RU"/>
        </w:rPr>
      </w:pPr>
      <w:r w:rsidRPr="005B335D">
        <w:rPr>
          <w:rFonts w:hint="eastAsia"/>
          <w:lang w:val="ru-RU"/>
        </w:rPr>
        <w:t>Предложения</w:t>
      </w:r>
    </w:p>
    <w:p w14:paraId="23FA2B2B" w14:textId="77777777" w:rsidR="009B5CC2" w:rsidRPr="002200CA" w:rsidRDefault="009B5CC2" w:rsidP="002200CA">
      <w:r w:rsidRPr="002200CA">
        <w:br w:type="page"/>
      </w:r>
    </w:p>
    <w:p w14:paraId="4F56E4D7" w14:textId="1B60783B" w:rsidR="00E30ECE" w:rsidRPr="009B12F3" w:rsidRDefault="005E78F5" w:rsidP="00AE21F6">
      <w:pPr>
        <w:pStyle w:val="AppendixNo"/>
        <w:spacing w:before="0"/>
      </w:pPr>
      <w:bookmarkStart w:id="7" w:name="_Toc459987194"/>
      <w:bookmarkStart w:id="8" w:name="_Toc459987874"/>
      <w:r w:rsidRPr="009B12F3">
        <w:lastRenderedPageBreak/>
        <w:t xml:space="preserve">ПРИЛОЖЕНИЕ </w:t>
      </w:r>
      <w:r w:rsidRPr="009B12F3">
        <w:rPr>
          <w:rStyle w:val="href"/>
        </w:rPr>
        <w:t>30</w:t>
      </w:r>
      <w:r w:rsidRPr="009B12F3">
        <w:t xml:space="preserve">  (Пересм. ВКР-15)</w:t>
      </w:r>
      <w:bookmarkEnd w:id="7"/>
      <w:bookmarkEnd w:id="8"/>
      <w:r w:rsidRPr="005E78F5">
        <w:rPr>
          <w:vertAlign w:val="superscript"/>
        </w:rPr>
        <w:t>*</w:t>
      </w:r>
    </w:p>
    <w:p w14:paraId="5395EC3D" w14:textId="6405F41E" w:rsidR="00E30ECE" w:rsidRPr="009B12F3" w:rsidRDefault="005E78F5" w:rsidP="000658FC">
      <w:pPr>
        <w:pStyle w:val="Appendixtitle"/>
        <w:rPr>
          <w:rFonts w:asciiTheme="majorBidi" w:hAnsiTheme="majorBidi" w:cstheme="majorBidi"/>
          <w:b w:val="0"/>
          <w:bCs/>
          <w:sz w:val="16"/>
          <w:szCs w:val="16"/>
        </w:rPr>
      </w:pPr>
      <w:bookmarkStart w:id="9" w:name="_Toc459987195"/>
      <w:bookmarkStart w:id="10" w:name="_Toc459987875"/>
      <w:r w:rsidRPr="009B12F3">
        <w:t>Положения для всех служб и связанные с ними Планы и Список</w:t>
      </w:r>
      <w:r w:rsidRPr="005E78F5">
        <w:rPr>
          <w:rFonts w:ascii="Times New Roman" w:hAnsi="Times New Roman"/>
          <w:b w:val="0"/>
          <w:bCs/>
          <w:vertAlign w:val="superscript"/>
        </w:rPr>
        <w:t>1</w:t>
      </w:r>
      <w:r w:rsidRPr="009B12F3">
        <w:br/>
        <w:t xml:space="preserve">для радиовещательной спутниковой службы в полосах частот </w:t>
      </w:r>
      <w:r w:rsidRPr="009B12F3">
        <w:br/>
        <w:t xml:space="preserve">11,7–12,2 ГГц (в Районе 3), 11,7–12,5 ГГц (в Районе 1) </w:t>
      </w:r>
      <w:r w:rsidRPr="009B12F3">
        <w:br/>
        <w:t>и 12,2–12,7 ГГц (в Районе 2</w:t>
      </w:r>
      <w:r w:rsidRPr="009B12F3">
        <w:rPr>
          <w:rFonts w:asciiTheme="majorBidi" w:hAnsiTheme="majorBidi" w:cstheme="majorBidi"/>
          <w:b w:val="0"/>
          <w:bCs/>
        </w:rPr>
        <w:t>)</w:t>
      </w:r>
      <w:r w:rsidRPr="009B12F3">
        <w:rPr>
          <w:rFonts w:asciiTheme="majorBidi" w:hAnsiTheme="majorBidi" w:cstheme="majorBidi"/>
          <w:b w:val="0"/>
          <w:bCs/>
          <w:sz w:val="16"/>
          <w:szCs w:val="16"/>
        </w:rPr>
        <w:t>     (ВКР</w:t>
      </w:r>
      <w:r w:rsidRPr="009B12F3">
        <w:rPr>
          <w:rFonts w:asciiTheme="majorBidi" w:hAnsiTheme="majorBidi" w:cstheme="majorBidi"/>
          <w:b w:val="0"/>
          <w:bCs/>
          <w:sz w:val="16"/>
          <w:szCs w:val="16"/>
        </w:rPr>
        <w:noBreakHyphen/>
        <w:t>03)</w:t>
      </w:r>
      <w:bookmarkEnd w:id="9"/>
      <w:bookmarkEnd w:id="10"/>
    </w:p>
    <w:p w14:paraId="3994BBB9" w14:textId="77777777" w:rsidR="00B01FBA" w:rsidRPr="00616C62" w:rsidRDefault="005E78F5">
      <w:pPr>
        <w:pStyle w:val="Proposal"/>
      </w:pPr>
      <w:r w:rsidRPr="002200CA">
        <w:rPr>
          <w:lang w:val="en-GB"/>
        </w:rPr>
        <w:t>MOD</w:t>
      </w:r>
      <w:r w:rsidRPr="00616C62">
        <w:tab/>
      </w:r>
      <w:r w:rsidRPr="002200CA">
        <w:rPr>
          <w:lang w:val="en-GB"/>
        </w:rPr>
        <w:t>EUR</w:t>
      </w:r>
      <w:r w:rsidRPr="00616C62">
        <w:t>/16</w:t>
      </w:r>
      <w:r w:rsidRPr="002200CA">
        <w:rPr>
          <w:lang w:val="en-GB"/>
        </w:rPr>
        <w:t>A</w:t>
      </w:r>
      <w:r w:rsidRPr="00616C62">
        <w:t>22</w:t>
      </w:r>
      <w:r w:rsidRPr="002200CA">
        <w:rPr>
          <w:lang w:val="en-GB"/>
        </w:rPr>
        <w:t>A</w:t>
      </w:r>
      <w:r w:rsidRPr="00616C62">
        <w:t>10/1</w:t>
      </w:r>
    </w:p>
    <w:p w14:paraId="19F280B3" w14:textId="4004EFD9" w:rsidR="00E30ECE" w:rsidRPr="00616C62" w:rsidRDefault="005E78F5" w:rsidP="000658FC">
      <w:pPr>
        <w:pStyle w:val="AppArtNo"/>
        <w:rPr>
          <w:rPrChange w:id="11" w:author="Russian" w:date="2019-10-17T16:10:00Z">
            <w:rPr/>
          </w:rPrChange>
        </w:rPr>
      </w:pPr>
      <w:r w:rsidRPr="009B12F3">
        <w:t>СТАТЬЯ</w:t>
      </w:r>
      <w:r w:rsidRPr="00616C62">
        <w:t xml:space="preserve">  2</w:t>
      </w:r>
      <w:r w:rsidRPr="002200CA">
        <w:rPr>
          <w:lang w:val="en-GB"/>
        </w:rPr>
        <w:t>A</w:t>
      </w:r>
      <w:r w:rsidRPr="002200CA">
        <w:rPr>
          <w:sz w:val="16"/>
          <w:szCs w:val="16"/>
          <w:lang w:val="en-GB"/>
        </w:rPr>
        <w:t>     </w:t>
      </w:r>
      <w:r w:rsidRPr="00616C62">
        <w:rPr>
          <w:sz w:val="16"/>
          <w:szCs w:val="16"/>
        </w:rPr>
        <w:t>(</w:t>
      </w:r>
      <w:r w:rsidRPr="009B12F3">
        <w:rPr>
          <w:caps w:val="0"/>
          <w:sz w:val="16"/>
          <w:szCs w:val="16"/>
        </w:rPr>
        <w:t>ПЕРЕСМ</w:t>
      </w:r>
      <w:r w:rsidRPr="00616C62">
        <w:rPr>
          <w:caps w:val="0"/>
          <w:sz w:val="16"/>
          <w:szCs w:val="16"/>
        </w:rPr>
        <w:t>.</w:t>
      </w:r>
      <w:r w:rsidRPr="00616C62">
        <w:rPr>
          <w:sz w:val="16"/>
          <w:szCs w:val="16"/>
        </w:rPr>
        <w:t xml:space="preserve"> </w:t>
      </w:r>
      <w:r w:rsidRPr="009B12F3">
        <w:rPr>
          <w:sz w:val="16"/>
          <w:szCs w:val="16"/>
        </w:rPr>
        <w:t>ВКР</w:t>
      </w:r>
      <w:r w:rsidRPr="00616C62">
        <w:rPr>
          <w:sz w:val="16"/>
          <w:szCs w:val="16"/>
          <w:rPrChange w:id="12" w:author="Russian" w:date="2019-10-17T16:10:00Z">
            <w:rPr>
              <w:sz w:val="16"/>
              <w:szCs w:val="16"/>
            </w:rPr>
          </w:rPrChange>
        </w:rPr>
        <w:t>-</w:t>
      </w:r>
      <w:del w:id="13" w:author="Russian" w:date="2019-10-17T16:05:00Z">
        <w:r w:rsidRPr="00616C62" w:rsidDel="002200CA">
          <w:rPr>
            <w:sz w:val="16"/>
            <w:szCs w:val="16"/>
            <w:rPrChange w:id="14" w:author="Russian" w:date="2019-10-17T16:10:00Z">
              <w:rPr>
                <w:sz w:val="16"/>
                <w:szCs w:val="16"/>
              </w:rPr>
            </w:rPrChange>
          </w:rPr>
          <w:delText>15</w:delText>
        </w:r>
      </w:del>
      <w:ins w:id="15" w:author="Russian" w:date="2019-10-17T16:05:00Z">
        <w:r w:rsidR="002200CA" w:rsidRPr="00616C62">
          <w:rPr>
            <w:sz w:val="16"/>
            <w:szCs w:val="16"/>
          </w:rPr>
          <w:t>19</w:t>
        </w:r>
      </w:ins>
      <w:r w:rsidRPr="00616C62">
        <w:rPr>
          <w:sz w:val="16"/>
          <w:szCs w:val="16"/>
          <w:rPrChange w:id="16" w:author="Russian" w:date="2019-10-17T16:10:00Z">
            <w:rPr>
              <w:sz w:val="16"/>
              <w:szCs w:val="16"/>
            </w:rPr>
          </w:rPrChange>
        </w:rPr>
        <w:t>)</w:t>
      </w:r>
    </w:p>
    <w:p w14:paraId="07401A5D" w14:textId="05842779" w:rsidR="00E30ECE" w:rsidRPr="0002284B" w:rsidRDefault="005E78F5" w:rsidP="000658FC">
      <w:pPr>
        <w:pStyle w:val="AppArttitle"/>
      </w:pPr>
      <w:r w:rsidRPr="009B12F3">
        <w:t>Использование</w:t>
      </w:r>
      <w:r w:rsidRPr="0002284B">
        <w:t xml:space="preserve"> </w:t>
      </w:r>
      <w:r w:rsidRPr="009B12F3">
        <w:t>защитных</w:t>
      </w:r>
      <w:r w:rsidRPr="0002284B">
        <w:t xml:space="preserve"> </w:t>
      </w:r>
      <w:r w:rsidRPr="009B12F3">
        <w:t>полос</w:t>
      </w:r>
      <w:ins w:id="17" w:author="Russian" w:date="2019-10-17T16:07:00Z">
        <w:r w:rsidR="002200CA" w:rsidRPr="002200CA">
          <w:rPr>
            <w:rStyle w:val="FootnoteReference"/>
            <w:lang w:val="en-GB"/>
            <w:rPrChange w:id="18" w:author="Russian" w:date="2019-10-17T16:10:00Z">
              <w:rPr>
                <w:rStyle w:val="FootnoteReference"/>
              </w:rPr>
            </w:rPrChange>
          </w:rPr>
          <w:footnoteReference w:customMarkFollows="1" w:id="2"/>
          <w:t>a</w:t>
        </w:r>
      </w:ins>
    </w:p>
    <w:p w14:paraId="41401244" w14:textId="57F9BEC0" w:rsidR="00B01FBA" w:rsidRPr="000F7DDF" w:rsidRDefault="005E78F5">
      <w:pPr>
        <w:pStyle w:val="Reasons"/>
      </w:pPr>
      <w:r>
        <w:rPr>
          <w:b/>
        </w:rPr>
        <w:t>Основания</w:t>
      </w:r>
      <w:r w:rsidRPr="009417A7">
        <w:rPr>
          <w:bCs/>
          <w:rPrChange w:id="33" w:author="Russian" w:date="2019-10-17T16:10:00Z">
            <w:rPr>
              <w:b/>
            </w:rPr>
          </w:rPrChange>
        </w:rPr>
        <w:t>:</w:t>
      </w:r>
      <w:r w:rsidR="00616C62" w:rsidRPr="00616C62">
        <w:t xml:space="preserve"> </w:t>
      </w:r>
      <w:r w:rsidR="009417A7">
        <w:t>Поскольку</w:t>
      </w:r>
      <w:r w:rsidR="009417A7" w:rsidRPr="009417A7">
        <w:t xml:space="preserve"> некоторые администрации представляют Бюро информацию по процедуре надлежащего исполнения в отношении их представлений по Статье 2</w:t>
      </w:r>
      <w:r w:rsidR="009417A7" w:rsidRPr="00C554AB">
        <w:rPr>
          <w:lang w:val="en-US"/>
        </w:rPr>
        <w:t>A</w:t>
      </w:r>
      <w:r w:rsidR="009417A7" w:rsidRPr="009417A7">
        <w:t xml:space="preserve"> Приложений </w:t>
      </w:r>
      <w:r w:rsidR="009417A7" w:rsidRPr="009417A7">
        <w:rPr>
          <w:b/>
          <w:bCs/>
        </w:rPr>
        <w:t>30</w:t>
      </w:r>
      <w:r w:rsidR="009417A7" w:rsidRPr="009417A7">
        <w:t xml:space="preserve"> и </w:t>
      </w:r>
      <w:r w:rsidR="009417A7" w:rsidRPr="009417A7">
        <w:rPr>
          <w:b/>
          <w:bCs/>
        </w:rPr>
        <w:t>30</w:t>
      </w:r>
      <w:r w:rsidR="009417A7" w:rsidRPr="000C43BA">
        <w:rPr>
          <w:b/>
          <w:bCs/>
          <w:lang w:val="en-US"/>
        </w:rPr>
        <w:t>A</w:t>
      </w:r>
      <w:r w:rsidR="009417A7">
        <w:rPr>
          <w:b/>
          <w:bCs/>
        </w:rPr>
        <w:t xml:space="preserve"> </w:t>
      </w:r>
      <w:r w:rsidR="009417A7" w:rsidRPr="009417A7">
        <w:t>к РР</w:t>
      </w:r>
      <w:r w:rsidR="002200CA" w:rsidRPr="009417A7">
        <w:t xml:space="preserve">, </w:t>
      </w:r>
      <w:r w:rsidR="009417A7">
        <w:t xml:space="preserve">необходимо уточнить вопрос о неприменимости </w:t>
      </w:r>
      <w:r w:rsidR="0002284B">
        <w:t xml:space="preserve">административной </w:t>
      </w:r>
      <w:r w:rsidR="009417A7" w:rsidRPr="009417A7">
        <w:t>процедур</w:t>
      </w:r>
      <w:r w:rsidR="009417A7">
        <w:t>ы</w:t>
      </w:r>
      <w:r w:rsidR="009417A7" w:rsidRPr="009417A7">
        <w:t xml:space="preserve"> надлежащего исполнения в отношении </w:t>
      </w:r>
      <w:r w:rsidR="009417A7">
        <w:t>таких</w:t>
      </w:r>
      <w:r w:rsidR="009417A7" w:rsidRPr="009417A7">
        <w:t xml:space="preserve"> представлений</w:t>
      </w:r>
      <w:r w:rsidR="002200CA" w:rsidRPr="009417A7">
        <w:t xml:space="preserve">. </w:t>
      </w:r>
      <w:r w:rsidR="009417A7">
        <w:t>Поэтому</w:t>
      </w:r>
      <w:r w:rsidR="002200CA" w:rsidRPr="009417A7">
        <w:t xml:space="preserve"> </w:t>
      </w:r>
      <w:r w:rsidR="009417A7">
        <w:t>в</w:t>
      </w:r>
      <w:r w:rsidR="009417A7" w:rsidRPr="000C43BA">
        <w:t xml:space="preserve"> </w:t>
      </w:r>
      <w:r w:rsidR="009417A7">
        <w:t>Статье</w:t>
      </w:r>
      <w:r w:rsidR="009417A7" w:rsidRPr="000C43BA">
        <w:t xml:space="preserve"> 2</w:t>
      </w:r>
      <w:r w:rsidR="009417A7">
        <w:rPr>
          <w:lang w:val="en-US"/>
        </w:rPr>
        <w:t>A</w:t>
      </w:r>
      <w:r w:rsidR="009417A7">
        <w:t xml:space="preserve"> Приложений</w:t>
      </w:r>
      <w:r w:rsidR="009417A7" w:rsidRPr="000C43BA">
        <w:t xml:space="preserve"> </w:t>
      </w:r>
      <w:r w:rsidR="009417A7" w:rsidRPr="000C43BA">
        <w:rPr>
          <w:b/>
        </w:rPr>
        <w:t>30</w:t>
      </w:r>
      <w:r w:rsidR="009417A7" w:rsidRPr="000C43BA">
        <w:t xml:space="preserve"> </w:t>
      </w:r>
      <w:r w:rsidR="009417A7">
        <w:t>и</w:t>
      </w:r>
      <w:r w:rsidR="009417A7" w:rsidRPr="000C43BA">
        <w:t xml:space="preserve"> </w:t>
      </w:r>
      <w:r w:rsidR="009417A7" w:rsidRPr="000C43BA">
        <w:rPr>
          <w:b/>
        </w:rPr>
        <w:t>30</w:t>
      </w:r>
      <w:r w:rsidR="009417A7" w:rsidRPr="00C554AB">
        <w:rPr>
          <w:b/>
          <w:lang w:val="en-US"/>
        </w:rPr>
        <w:t>A</w:t>
      </w:r>
      <w:r w:rsidR="009417A7" w:rsidRPr="000C43BA">
        <w:t xml:space="preserve"> </w:t>
      </w:r>
      <w:r w:rsidR="009417A7">
        <w:t xml:space="preserve">к РР необходимо четко указать, что положения Резолюции </w:t>
      </w:r>
      <w:r w:rsidR="000F7DDF" w:rsidRPr="009417A7">
        <w:rPr>
          <w:b/>
        </w:rPr>
        <w:t>49 (</w:t>
      </w:r>
      <w:r w:rsidR="000F7DDF">
        <w:rPr>
          <w:b/>
        </w:rPr>
        <w:t>Пересм</w:t>
      </w:r>
      <w:r w:rsidR="000F7DDF" w:rsidRPr="009417A7">
        <w:rPr>
          <w:b/>
        </w:rPr>
        <w:t>.</w:t>
      </w:r>
      <w:r w:rsidR="000F7DDF" w:rsidRPr="002200CA">
        <w:rPr>
          <w:b/>
          <w:lang w:val="en-GB"/>
        </w:rPr>
        <w:t> </w:t>
      </w:r>
      <w:r w:rsidR="000F7DDF">
        <w:rPr>
          <w:b/>
        </w:rPr>
        <w:t>ВКР</w:t>
      </w:r>
      <w:r w:rsidR="000F7DDF" w:rsidRPr="000F7DDF">
        <w:rPr>
          <w:b/>
        </w:rPr>
        <w:t>-15)</w:t>
      </w:r>
      <w:r w:rsidR="000F7DDF" w:rsidRPr="000F7DDF">
        <w:t xml:space="preserve"> </w:t>
      </w:r>
      <w:r w:rsidR="009417A7">
        <w:t>не</w:t>
      </w:r>
      <w:r w:rsidR="009417A7" w:rsidRPr="000F7DDF">
        <w:t xml:space="preserve"> </w:t>
      </w:r>
      <w:r w:rsidR="009417A7">
        <w:t>примен</w:t>
      </w:r>
      <w:r w:rsidR="0002284B">
        <w:t>яются</w:t>
      </w:r>
      <w:r w:rsidR="009417A7" w:rsidRPr="000F7DDF">
        <w:t xml:space="preserve"> </w:t>
      </w:r>
      <w:r w:rsidR="009417A7">
        <w:t>к</w:t>
      </w:r>
      <w:r w:rsidR="009417A7" w:rsidRPr="000F7DDF">
        <w:t xml:space="preserve"> </w:t>
      </w:r>
      <w:r w:rsidR="009417A7">
        <w:t>представлениям</w:t>
      </w:r>
      <w:r w:rsidR="009417A7" w:rsidRPr="000F7DDF">
        <w:t xml:space="preserve"> </w:t>
      </w:r>
      <w:r w:rsidR="000F7DDF">
        <w:t>по</w:t>
      </w:r>
      <w:r w:rsidR="000F7DDF" w:rsidRPr="000F7DDF">
        <w:t xml:space="preserve"> </w:t>
      </w:r>
      <w:r w:rsidR="000F7DDF">
        <w:t xml:space="preserve">Статье </w:t>
      </w:r>
      <w:r w:rsidR="002200CA" w:rsidRPr="000F7DDF">
        <w:t>2</w:t>
      </w:r>
      <w:r w:rsidR="002200CA" w:rsidRPr="002200CA">
        <w:rPr>
          <w:lang w:val="en-GB"/>
        </w:rPr>
        <w:t>A</w:t>
      </w:r>
      <w:r w:rsidR="000F7DDF">
        <w:t xml:space="preserve"> Приложений</w:t>
      </w:r>
      <w:r w:rsidR="002200CA" w:rsidRPr="000F7DDF">
        <w:t xml:space="preserve"> </w:t>
      </w:r>
      <w:r w:rsidR="002200CA" w:rsidRPr="000F7DDF">
        <w:rPr>
          <w:b/>
        </w:rPr>
        <w:t>30</w:t>
      </w:r>
      <w:r w:rsidR="000F7DDF">
        <w:rPr>
          <w:b/>
        </w:rPr>
        <w:t xml:space="preserve"> и</w:t>
      </w:r>
      <w:r w:rsidR="002200CA" w:rsidRPr="000F7DDF">
        <w:t xml:space="preserve"> </w:t>
      </w:r>
      <w:r w:rsidR="002200CA" w:rsidRPr="000F7DDF">
        <w:rPr>
          <w:b/>
        </w:rPr>
        <w:t>30</w:t>
      </w:r>
      <w:r w:rsidR="002200CA" w:rsidRPr="002200CA">
        <w:rPr>
          <w:b/>
          <w:lang w:val="en-GB"/>
        </w:rPr>
        <w:t>A</w:t>
      </w:r>
      <w:r w:rsidR="002200CA" w:rsidRPr="000F7DDF">
        <w:t>.</w:t>
      </w:r>
    </w:p>
    <w:p w14:paraId="5209822F" w14:textId="4F086D36" w:rsidR="00E30ECE" w:rsidRPr="009B12F3" w:rsidRDefault="005E78F5" w:rsidP="005E78F5">
      <w:pPr>
        <w:pStyle w:val="AppendixNo"/>
      </w:pPr>
      <w:bookmarkStart w:id="34" w:name="_Toc459987203"/>
      <w:bookmarkStart w:id="35" w:name="_Toc459987890"/>
      <w:r w:rsidRPr="005E78F5">
        <w:t>ПРИЛОЖЕНИЕ</w:t>
      </w:r>
      <w:r w:rsidRPr="009B12F3">
        <w:t xml:space="preserve"> </w:t>
      </w:r>
      <w:r w:rsidRPr="009B12F3">
        <w:rPr>
          <w:rStyle w:val="href"/>
        </w:rPr>
        <w:t>30A</w:t>
      </w:r>
      <w:r w:rsidRPr="009B12F3">
        <w:t xml:space="preserve">  (</w:t>
      </w:r>
      <w:r w:rsidRPr="009B12F3">
        <w:rPr>
          <w:caps w:val="0"/>
        </w:rPr>
        <w:t>ПЕРЕСМ</w:t>
      </w:r>
      <w:r w:rsidRPr="009B12F3">
        <w:t>. ВКР-15)</w:t>
      </w:r>
      <w:bookmarkEnd w:id="34"/>
      <w:bookmarkEnd w:id="35"/>
      <w:r w:rsidRPr="005E78F5">
        <w:rPr>
          <w:vertAlign w:val="superscript"/>
        </w:rPr>
        <w:t>*</w:t>
      </w:r>
    </w:p>
    <w:p w14:paraId="51D429DA" w14:textId="0D4FAF01" w:rsidR="00E30ECE" w:rsidRPr="009B12F3" w:rsidRDefault="005E78F5" w:rsidP="000658FC">
      <w:pPr>
        <w:pStyle w:val="Appendixtitle"/>
        <w:rPr>
          <w:rFonts w:ascii="Times New Roman" w:hAnsi="Times New Roman"/>
        </w:rPr>
      </w:pPr>
      <w:bookmarkStart w:id="36" w:name="_Toc459987204"/>
      <w:bookmarkStart w:id="37" w:name="_Toc459987891"/>
      <w:r w:rsidRPr="009B12F3">
        <w:t>Положения и связанные с ними Планы и Список</w:t>
      </w:r>
      <w:r w:rsidRPr="005E78F5">
        <w:rPr>
          <w:rFonts w:ascii="Times New Roman" w:hAnsi="Times New Roman"/>
          <w:b w:val="0"/>
          <w:bCs/>
          <w:vertAlign w:val="superscript"/>
        </w:rPr>
        <w:t>1</w:t>
      </w:r>
      <w:r w:rsidRPr="009B12F3">
        <w:rPr>
          <w:bCs/>
          <w:szCs w:val="26"/>
        </w:rPr>
        <w:t xml:space="preserve"> </w:t>
      </w:r>
      <w:r w:rsidRPr="009B12F3">
        <w:t xml:space="preserve">для фидерных линий </w:t>
      </w:r>
      <w:r w:rsidRPr="009B12F3">
        <w:br/>
        <w:t xml:space="preserve">радиовещательной спутниковой службы (11,7–12,5 ГГц в Районе 1, </w:t>
      </w:r>
      <w:r w:rsidRPr="009B12F3">
        <w:br/>
        <w:t>12,2–12,7 Г</w:t>
      </w:r>
      <w:bookmarkStart w:id="38" w:name="_GoBack"/>
      <w:bookmarkEnd w:id="38"/>
      <w:r w:rsidRPr="009B12F3">
        <w:t xml:space="preserve">Гц в Районе 2 и 11,7–12,2 ГГц в Районе 3) </w:t>
      </w:r>
      <w:r w:rsidRPr="009B12F3">
        <w:br/>
        <w:t>в полосах частот 14,5–14,8 ГГц</w:t>
      </w:r>
      <w:r w:rsidRPr="005E78F5">
        <w:rPr>
          <w:rFonts w:ascii="Times New Roman" w:hAnsi="Times New Roman"/>
          <w:b w:val="0"/>
          <w:bCs/>
          <w:vertAlign w:val="superscript"/>
        </w:rPr>
        <w:t>2</w:t>
      </w:r>
      <w:r w:rsidRPr="009B12F3">
        <w:t xml:space="preserve"> и 17,3–18,1 ГГц в Районах 1 и 3</w:t>
      </w:r>
      <w:r w:rsidRPr="009B12F3">
        <w:br/>
        <w:t>и 17,3–17,8 ГГц в Районе 2</w:t>
      </w:r>
      <w:r w:rsidRPr="009B12F3">
        <w:rPr>
          <w:sz w:val="16"/>
          <w:szCs w:val="16"/>
        </w:rPr>
        <w:t>     </w:t>
      </w:r>
      <w:r w:rsidRPr="009B12F3">
        <w:rPr>
          <w:rFonts w:ascii="Times New Roman" w:hAnsi="Times New Roman"/>
          <w:b w:val="0"/>
          <w:bCs/>
          <w:sz w:val="16"/>
          <w:szCs w:val="16"/>
        </w:rPr>
        <w:t>(ВКР</w:t>
      </w:r>
      <w:r w:rsidRPr="009B12F3">
        <w:rPr>
          <w:rFonts w:ascii="Times New Roman" w:hAnsi="Times New Roman"/>
          <w:b w:val="0"/>
          <w:bCs/>
          <w:sz w:val="16"/>
        </w:rPr>
        <w:t>-03)</w:t>
      </w:r>
      <w:bookmarkEnd w:id="36"/>
      <w:bookmarkEnd w:id="37"/>
    </w:p>
    <w:p w14:paraId="535675CC" w14:textId="77777777" w:rsidR="00B01FBA" w:rsidRPr="00616C62" w:rsidRDefault="005E78F5">
      <w:pPr>
        <w:pStyle w:val="Proposal"/>
      </w:pPr>
      <w:r w:rsidRPr="002200CA">
        <w:rPr>
          <w:lang w:val="en-GB"/>
        </w:rPr>
        <w:t>MOD</w:t>
      </w:r>
      <w:r w:rsidRPr="00616C62">
        <w:tab/>
      </w:r>
      <w:r w:rsidRPr="002200CA">
        <w:rPr>
          <w:lang w:val="en-GB"/>
        </w:rPr>
        <w:t>EUR</w:t>
      </w:r>
      <w:r w:rsidRPr="00616C62">
        <w:t>/16</w:t>
      </w:r>
      <w:r w:rsidRPr="002200CA">
        <w:rPr>
          <w:lang w:val="en-GB"/>
        </w:rPr>
        <w:t>A</w:t>
      </w:r>
      <w:r w:rsidRPr="00616C62">
        <w:t>22</w:t>
      </w:r>
      <w:r w:rsidRPr="002200CA">
        <w:rPr>
          <w:lang w:val="en-GB"/>
        </w:rPr>
        <w:t>A</w:t>
      </w:r>
      <w:r w:rsidRPr="00616C62">
        <w:t>10/2</w:t>
      </w:r>
    </w:p>
    <w:p w14:paraId="36F1F8A3" w14:textId="6B393F5E" w:rsidR="00E30ECE" w:rsidRPr="00616C62" w:rsidRDefault="005E78F5" w:rsidP="000658FC">
      <w:pPr>
        <w:pStyle w:val="AppArtNo"/>
      </w:pPr>
      <w:r w:rsidRPr="009B12F3">
        <w:t>СТАТЬЯ</w:t>
      </w:r>
      <w:r w:rsidRPr="00616C62">
        <w:t xml:space="preserve">  2</w:t>
      </w:r>
      <w:r w:rsidRPr="002200CA">
        <w:rPr>
          <w:lang w:val="en-GB"/>
        </w:rPr>
        <w:t>A</w:t>
      </w:r>
      <w:r w:rsidRPr="002200CA">
        <w:rPr>
          <w:sz w:val="16"/>
          <w:szCs w:val="16"/>
          <w:lang w:val="en-GB"/>
        </w:rPr>
        <w:t>     </w:t>
      </w:r>
      <w:r w:rsidRPr="00616C62">
        <w:rPr>
          <w:sz w:val="16"/>
          <w:szCs w:val="16"/>
        </w:rPr>
        <w:t>(</w:t>
      </w:r>
      <w:r w:rsidRPr="009B12F3">
        <w:rPr>
          <w:sz w:val="16"/>
          <w:szCs w:val="16"/>
        </w:rPr>
        <w:t>Пересм</w:t>
      </w:r>
      <w:r w:rsidRPr="00616C62">
        <w:rPr>
          <w:sz w:val="16"/>
          <w:szCs w:val="16"/>
        </w:rPr>
        <w:t xml:space="preserve">. </w:t>
      </w:r>
      <w:r w:rsidRPr="009B12F3">
        <w:rPr>
          <w:sz w:val="16"/>
          <w:szCs w:val="16"/>
        </w:rPr>
        <w:t>ВКР</w:t>
      </w:r>
      <w:r w:rsidRPr="00616C62">
        <w:rPr>
          <w:sz w:val="16"/>
          <w:szCs w:val="16"/>
        </w:rPr>
        <w:t>-</w:t>
      </w:r>
      <w:del w:id="39" w:author="Russian" w:date="2019-10-17T16:11:00Z">
        <w:r w:rsidRPr="00616C62" w:rsidDel="002200CA">
          <w:rPr>
            <w:sz w:val="16"/>
            <w:szCs w:val="16"/>
          </w:rPr>
          <w:delText>15</w:delText>
        </w:r>
      </w:del>
      <w:ins w:id="40" w:author="Russian" w:date="2019-10-17T16:11:00Z">
        <w:r w:rsidR="002200CA" w:rsidRPr="00616C62">
          <w:rPr>
            <w:sz w:val="16"/>
            <w:szCs w:val="16"/>
          </w:rPr>
          <w:t>19</w:t>
        </w:r>
      </w:ins>
      <w:r w:rsidRPr="00616C62">
        <w:rPr>
          <w:sz w:val="16"/>
          <w:szCs w:val="16"/>
        </w:rPr>
        <w:t>)</w:t>
      </w:r>
    </w:p>
    <w:p w14:paraId="7BDC63C5" w14:textId="341CB630" w:rsidR="00E30ECE" w:rsidRPr="0002284B" w:rsidRDefault="005E78F5" w:rsidP="000658FC">
      <w:pPr>
        <w:pStyle w:val="AppArttitle"/>
      </w:pPr>
      <w:r w:rsidRPr="009B12F3">
        <w:t>Использование</w:t>
      </w:r>
      <w:r w:rsidRPr="0002284B">
        <w:t xml:space="preserve"> </w:t>
      </w:r>
      <w:r w:rsidRPr="009B12F3">
        <w:t>защитных</w:t>
      </w:r>
      <w:r w:rsidRPr="0002284B">
        <w:t xml:space="preserve"> </w:t>
      </w:r>
      <w:r w:rsidRPr="009B12F3">
        <w:t>полос</w:t>
      </w:r>
      <w:ins w:id="41" w:author="Russian" w:date="2019-10-17T16:07:00Z">
        <w:r w:rsidR="002200CA" w:rsidRPr="00593821">
          <w:rPr>
            <w:rStyle w:val="FootnoteReference"/>
            <w:lang w:val="en-GB"/>
          </w:rPr>
          <w:footnoteReference w:customMarkFollows="1" w:id="3"/>
          <w:t>b</w:t>
        </w:r>
      </w:ins>
    </w:p>
    <w:p w14:paraId="0D0E0F2E" w14:textId="5CC84892" w:rsidR="00593821" w:rsidRPr="000F7DDF" w:rsidRDefault="005E78F5" w:rsidP="00411C49">
      <w:pPr>
        <w:pStyle w:val="Reasons"/>
      </w:pPr>
      <w:r>
        <w:rPr>
          <w:b/>
        </w:rPr>
        <w:t>Основания</w:t>
      </w:r>
      <w:r w:rsidRPr="000F7DDF">
        <w:rPr>
          <w:bCs/>
        </w:rPr>
        <w:t>:</w:t>
      </w:r>
      <w:r w:rsidR="00616C62" w:rsidRPr="00616C62">
        <w:t xml:space="preserve"> </w:t>
      </w:r>
      <w:r w:rsidR="000F7DDF">
        <w:t>Поскольку</w:t>
      </w:r>
      <w:r w:rsidR="000F7DDF" w:rsidRPr="009417A7">
        <w:t xml:space="preserve"> некоторые администрации представляют Бюро информацию по процедуре надлежащего исполнения в отношении их представлений по Статье 2</w:t>
      </w:r>
      <w:r w:rsidR="000F7DDF" w:rsidRPr="00C554AB">
        <w:rPr>
          <w:lang w:val="en-US"/>
        </w:rPr>
        <w:t>A</w:t>
      </w:r>
      <w:r w:rsidR="000F7DDF" w:rsidRPr="009417A7">
        <w:t xml:space="preserve"> Приложений </w:t>
      </w:r>
      <w:r w:rsidR="000F7DDF" w:rsidRPr="009417A7">
        <w:rPr>
          <w:b/>
          <w:bCs/>
        </w:rPr>
        <w:t>30</w:t>
      </w:r>
      <w:r w:rsidR="000F7DDF" w:rsidRPr="009417A7">
        <w:t xml:space="preserve"> и </w:t>
      </w:r>
      <w:r w:rsidR="000F7DDF" w:rsidRPr="009417A7">
        <w:rPr>
          <w:b/>
          <w:bCs/>
        </w:rPr>
        <w:t>30</w:t>
      </w:r>
      <w:r w:rsidR="000F7DDF" w:rsidRPr="000C43BA">
        <w:rPr>
          <w:b/>
          <w:bCs/>
          <w:lang w:val="en-US"/>
        </w:rPr>
        <w:t>A</w:t>
      </w:r>
      <w:r w:rsidR="000F7DDF" w:rsidRPr="00616C62">
        <w:t xml:space="preserve"> </w:t>
      </w:r>
      <w:r w:rsidR="000F7DDF" w:rsidRPr="009417A7">
        <w:t xml:space="preserve">к РР, </w:t>
      </w:r>
      <w:r w:rsidR="000F7DDF">
        <w:t xml:space="preserve">необходимо уточнить вопрос о неприменимости </w:t>
      </w:r>
      <w:r w:rsidR="0002284B">
        <w:t xml:space="preserve">административной </w:t>
      </w:r>
      <w:r w:rsidR="000F7DDF" w:rsidRPr="009417A7">
        <w:t>процедур</w:t>
      </w:r>
      <w:r w:rsidR="000F7DDF">
        <w:t>ы</w:t>
      </w:r>
      <w:r w:rsidR="000F7DDF" w:rsidRPr="009417A7">
        <w:t xml:space="preserve"> надлежащего исполнения в отношении </w:t>
      </w:r>
      <w:r w:rsidR="000F7DDF">
        <w:t>таких</w:t>
      </w:r>
      <w:r w:rsidR="000F7DDF" w:rsidRPr="009417A7">
        <w:t xml:space="preserve"> представлений. </w:t>
      </w:r>
      <w:r w:rsidR="000F7DDF">
        <w:t>Поэтому</w:t>
      </w:r>
      <w:r w:rsidR="000F7DDF" w:rsidRPr="009417A7">
        <w:t xml:space="preserve"> </w:t>
      </w:r>
      <w:r w:rsidR="000F7DDF">
        <w:t>в</w:t>
      </w:r>
      <w:r w:rsidR="000F7DDF" w:rsidRPr="000C43BA">
        <w:t xml:space="preserve"> </w:t>
      </w:r>
      <w:r w:rsidR="000F7DDF">
        <w:t>Статье</w:t>
      </w:r>
      <w:r w:rsidR="000F7DDF" w:rsidRPr="000C43BA">
        <w:t xml:space="preserve"> 2</w:t>
      </w:r>
      <w:r w:rsidR="000F7DDF">
        <w:rPr>
          <w:lang w:val="en-US"/>
        </w:rPr>
        <w:t>A</w:t>
      </w:r>
      <w:r w:rsidR="000F7DDF">
        <w:t xml:space="preserve"> Приложений</w:t>
      </w:r>
      <w:r w:rsidR="000F7DDF" w:rsidRPr="000C43BA">
        <w:t xml:space="preserve"> </w:t>
      </w:r>
      <w:r w:rsidR="000F7DDF" w:rsidRPr="000C43BA">
        <w:rPr>
          <w:b/>
        </w:rPr>
        <w:t>30</w:t>
      </w:r>
      <w:r w:rsidR="000F7DDF" w:rsidRPr="000C43BA">
        <w:t xml:space="preserve"> </w:t>
      </w:r>
      <w:r w:rsidR="000F7DDF">
        <w:t>и</w:t>
      </w:r>
      <w:r w:rsidR="000F7DDF" w:rsidRPr="000C43BA">
        <w:t xml:space="preserve"> </w:t>
      </w:r>
      <w:r w:rsidR="000F7DDF" w:rsidRPr="000C43BA">
        <w:rPr>
          <w:b/>
        </w:rPr>
        <w:t>30</w:t>
      </w:r>
      <w:r w:rsidR="000F7DDF" w:rsidRPr="00C554AB">
        <w:rPr>
          <w:b/>
          <w:lang w:val="en-US"/>
        </w:rPr>
        <w:t>A</w:t>
      </w:r>
      <w:r w:rsidR="000F7DDF" w:rsidRPr="000C43BA">
        <w:t xml:space="preserve"> </w:t>
      </w:r>
      <w:r w:rsidR="000F7DDF">
        <w:t xml:space="preserve">к РР необходимо четко указать, что положения Резолюции </w:t>
      </w:r>
      <w:r w:rsidR="000F7DDF" w:rsidRPr="009417A7">
        <w:rPr>
          <w:b/>
        </w:rPr>
        <w:t>49 (</w:t>
      </w:r>
      <w:r w:rsidR="000F7DDF">
        <w:rPr>
          <w:b/>
        </w:rPr>
        <w:t>Пересм</w:t>
      </w:r>
      <w:r w:rsidR="000F7DDF" w:rsidRPr="009417A7">
        <w:rPr>
          <w:b/>
        </w:rPr>
        <w:t>.</w:t>
      </w:r>
      <w:r w:rsidR="000F7DDF" w:rsidRPr="002200CA">
        <w:rPr>
          <w:b/>
          <w:lang w:val="en-GB"/>
        </w:rPr>
        <w:t> </w:t>
      </w:r>
      <w:r w:rsidR="000F7DDF">
        <w:rPr>
          <w:b/>
        </w:rPr>
        <w:t>ВКР</w:t>
      </w:r>
      <w:r w:rsidR="000F7DDF" w:rsidRPr="000F7DDF">
        <w:rPr>
          <w:b/>
        </w:rPr>
        <w:t>-15)</w:t>
      </w:r>
      <w:r w:rsidR="000F7DDF" w:rsidRPr="000F7DDF">
        <w:t xml:space="preserve"> </w:t>
      </w:r>
      <w:r w:rsidR="000F7DDF">
        <w:t>не</w:t>
      </w:r>
      <w:r w:rsidR="000F7DDF" w:rsidRPr="000F7DDF">
        <w:t xml:space="preserve"> </w:t>
      </w:r>
      <w:r w:rsidR="000F7DDF">
        <w:t>примен</w:t>
      </w:r>
      <w:r w:rsidR="0002284B">
        <w:t>яются</w:t>
      </w:r>
      <w:r w:rsidR="000F7DDF" w:rsidRPr="000F7DDF">
        <w:t xml:space="preserve"> </w:t>
      </w:r>
      <w:r w:rsidR="000F7DDF">
        <w:t>к</w:t>
      </w:r>
      <w:r w:rsidR="000F7DDF" w:rsidRPr="000F7DDF">
        <w:t xml:space="preserve"> </w:t>
      </w:r>
      <w:r w:rsidR="000F7DDF">
        <w:t>представлениям</w:t>
      </w:r>
      <w:r w:rsidR="000F7DDF" w:rsidRPr="000F7DDF">
        <w:t xml:space="preserve"> </w:t>
      </w:r>
      <w:r w:rsidR="000F7DDF">
        <w:t>по</w:t>
      </w:r>
      <w:r w:rsidR="000F7DDF" w:rsidRPr="000F7DDF">
        <w:t xml:space="preserve"> </w:t>
      </w:r>
      <w:r w:rsidR="000F7DDF">
        <w:t xml:space="preserve">Статье </w:t>
      </w:r>
      <w:r w:rsidR="000F7DDF" w:rsidRPr="000F7DDF">
        <w:t>2</w:t>
      </w:r>
      <w:r w:rsidR="000F7DDF" w:rsidRPr="002200CA">
        <w:rPr>
          <w:lang w:val="en-GB"/>
        </w:rPr>
        <w:t>A</w:t>
      </w:r>
      <w:r w:rsidR="000F7DDF">
        <w:t xml:space="preserve"> Приложений</w:t>
      </w:r>
      <w:r w:rsidR="000F7DDF" w:rsidRPr="000F7DDF">
        <w:t xml:space="preserve"> </w:t>
      </w:r>
      <w:r w:rsidR="000F7DDF" w:rsidRPr="000F7DDF">
        <w:rPr>
          <w:b/>
        </w:rPr>
        <w:t>30</w:t>
      </w:r>
      <w:r w:rsidR="000F7DDF">
        <w:rPr>
          <w:b/>
        </w:rPr>
        <w:t xml:space="preserve"> и</w:t>
      </w:r>
      <w:r w:rsidR="000F7DDF" w:rsidRPr="000F7DDF">
        <w:t xml:space="preserve"> </w:t>
      </w:r>
      <w:r w:rsidR="000F7DDF" w:rsidRPr="000F7DDF">
        <w:rPr>
          <w:b/>
        </w:rPr>
        <w:t>30</w:t>
      </w:r>
      <w:r w:rsidR="000F7DDF" w:rsidRPr="002200CA">
        <w:rPr>
          <w:b/>
          <w:lang w:val="en-GB"/>
        </w:rPr>
        <w:t>A</w:t>
      </w:r>
      <w:r w:rsidR="000F7DDF" w:rsidRPr="000F7DDF">
        <w:t>.</w:t>
      </w:r>
    </w:p>
    <w:p w14:paraId="50EC859C" w14:textId="2B3569BE" w:rsidR="00B01FBA" w:rsidRPr="00593821" w:rsidRDefault="00593821" w:rsidP="00593821">
      <w:pPr>
        <w:spacing w:before="720"/>
        <w:jc w:val="center"/>
      </w:pPr>
      <w:r>
        <w:t>______________</w:t>
      </w:r>
    </w:p>
    <w:sectPr w:rsidR="00B01FBA" w:rsidRPr="00593821">
      <w:headerReference w:type="default" r:id="rId13"/>
      <w:footerReference w:type="even" r:id="rId14"/>
      <w:footerReference w:type="default" r:id="rId15"/>
      <w:footerReference w:type="first" r:id="rId16"/>
      <w:type w:val="nextColumn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6A0D63" w14:textId="77777777" w:rsidR="00F1578A" w:rsidRDefault="00F1578A">
      <w:r>
        <w:separator/>
      </w:r>
    </w:p>
  </w:endnote>
  <w:endnote w:type="continuationSeparator" w:id="0">
    <w:p w14:paraId="25960995" w14:textId="77777777" w:rsidR="00F1578A" w:rsidRDefault="00F15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78FF9" w14:textId="77777777"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4F0B2E74" w14:textId="3CB0CB73" w:rsidR="00567276" w:rsidRPr="00616C62" w:rsidRDefault="00567276">
    <w:pPr>
      <w:ind w:right="360"/>
      <w:rPr>
        <w:lang w:val="en-GB"/>
      </w:rPr>
    </w:pPr>
    <w:r>
      <w:fldChar w:fldCharType="begin"/>
    </w:r>
    <w:r w:rsidRPr="00616C62">
      <w:rPr>
        <w:lang w:val="en-GB"/>
      </w:rPr>
      <w:instrText xml:space="preserve"> FILENAME \p  \* MERGEFORMAT </w:instrText>
    </w:r>
    <w:r>
      <w:fldChar w:fldCharType="separate"/>
    </w:r>
    <w:r w:rsidR="0022620A" w:rsidRPr="00616C62">
      <w:rPr>
        <w:noProof/>
        <w:lang w:val="en-GB"/>
      </w:rPr>
      <w:t>P:\R\ITU-R\CONF-R\CMR19\000\016ADD22ADD10R.docx</w:t>
    </w:r>
    <w:r>
      <w:fldChar w:fldCharType="end"/>
    </w:r>
    <w:r w:rsidRPr="00616C62">
      <w:rPr>
        <w:lang w:val="en-GB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616C62">
      <w:rPr>
        <w:noProof/>
      </w:rPr>
      <w:t>24.10.19</w:t>
    </w:r>
    <w:r>
      <w:fldChar w:fldCharType="end"/>
    </w:r>
    <w:r w:rsidRPr="00616C62">
      <w:rPr>
        <w:lang w:val="en-GB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22620A">
      <w:rPr>
        <w:noProof/>
      </w:rPr>
      <w:t>23.10.19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E06283" w14:textId="1F8218A2" w:rsidR="00567276" w:rsidRDefault="00567276" w:rsidP="00F33B22">
    <w:pPr>
      <w:pStyle w:val="Footer"/>
    </w:pPr>
    <w:r>
      <w:fldChar w:fldCharType="begin"/>
    </w:r>
    <w:r w:rsidRPr="00616C62">
      <w:instrText xml:space="preserve"> FILENAME \p  \* MERGEFORMAT </w:instrText>
    </w:r>
    <w:r>
      <w:fldChar w:fldCharType="separate"/>
    </w:r>
    <w:r w:rsidR="0022620A" w:rsidRPr="00616C62">
      <w:t>P:\R\ITU-R\CONF-R\CMR19\000\016ADD22ADD10R.docx</w:t>
    </w:r>
    <w:r>
      <w:fldChar w:fldCharType="end"/>
    </w:r>
    <w:r w:rsidR="002200CA">
      <w:t xml:space="preserve"> (461979)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9734FC" w14:textId="26026C5F" w:rsidR="00567276" w:rsidRPr="00616C62" w:rsidRDefault="00567276" w:rsidP="00FB67E5">
    <w:pPr>
      <w:pStyle w:val="Footer"/>
    </w:pPr>
    <w:r>
      <w:fldChar w:fldCharType="begin"/>
    </w:r>
    <w:r w:rsidRPr="00616C62">
      <w:instrText xml:space="preserve"> FILENAME \p  \* MERGEFORMAT </w:instrText>
    </w:r>
    <w:r>
      <w:fldChar w:fldCharType="separate"/>
    </w:r>
    <w:r w:rsidR="0022620A" w:rsidRPr="00616C62">
      <w:t>P:\R\ITU-R\CONF-R\CMR19\000\016ADD22ADD10R.docx</w:t>
    </w:r>
    <w:r>
      <w:fldChar w:fldCharType="end"/>
    </w:r>
    <w:r w:rsidR="002200CA">
      <w:t xml:space="preserve"> (461979)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290446" w14:textId="77777777" w:rsidR="00F1578A" w:rsidRDefault="00F1578A">
      <w:r>
        <w:rPr>
          <w:b/>
        </w:rPr>
        <w:t>_______________</w:t>
      </w:r>
    </w:p>
  </w:footnote>
  <w:footnote w:type="continuationSeparator" w:id="0">
    <w:p w14:paraId="0A9B1C9F" w14:textId="77777777" w:rsidR="00F1578A" w:rsidRDefault="00F1578A">
      <w:r>
        <w:continuationSeparator/>
      </w:r>
    </w:p>
  </w:footnote>
  <w:footnote w:id="1">
    <w:p w14:paraId="482E46A4" w14:textId="77777777" w:rsidR="009A1574" w:rsidRPr="00AC33AD" w:rsidRDefault="005E78F5" w:rsidP="009A1574">
      <w:pPr>
        <w:pStyle w:val="FootnoteText"/>
        <w:rPr>
          <w:lang w:val="ru-RU"/>
        </w:rPr>
      </w:pPr>
      <w:r w:rsidRPr="00AC33AD">
        <w:rPr>
          <w:rStyle w:val="FootnoteReference"/>
          <w:lang w:val="ru-RU"/>
        </w:rPr>
        <w:t>*</w:t>
      </w:r>
      <w:r>
        <w:rPr>
          <w:lang w:val="ru-RU"/>
        </w:rPr>
        <w:tab/>
        <w:t xml:space="preserve">Данный пункт повестки дня строго ограничен Отчетом Директора о </w:t>
      </w:r>
      <w:r w:rsidRPr="00AC33AD">
        <w:rPr>
          <w:color w:val="000000"/>
          <w:lang w:val="ru-RU"/>
        </w:rPr>
        <w:t>наличии любых трудностей или противоречий, встречающихся при применении Регламента радиосвязи</w:t>
      </w:r>
      <w:r>
        <w:rPr>
          <w:color w:val="000000"/>
          <w:lang w:val="ru-RU"/>
        </w:rPr>
        <w:t>, и замечаниями администраций.</w:t>
      </w:r>
    </w:p>
  </w:footnote>
  <w:footnote w:id="2">
    <w:p w14:paraId="39EB0920" w14:textId="098092EE" w:rsidR="002200CA" w:rsidRPr="0002284B" w:rsidRDefault="002200CA">
      <w:pPr>
        <w:pStyle w:val="FootnoteText"/>
        <w:rPr>
          <w:lang w:val="ru-RU"/>
        </w:rPr>
      </w:pPr>
      <w:ins w:id="19" w:author="Russian" w:date="2019-10-17T16:07:00Z">
        <w:r>
          <w:rPr>
            <w:rStyle w:val="FootnoteReference"/>
          </w:rPr>
          <w:t>a</w:t>
        </w:r>
      </w:ins>
      <w:ins w:id="20" w:author="Russian" w:date="2019-10-17T16:08:00Z">
        <w:r w:rsidRPr="005B335D">
          <w:rPr>
            <w:lang w:val="ru-RU"/>
          </w:rPr>
          <w:tab/>
        </w:r>
      </w:ins>
      <w:ins w:id="21" w:author="Pogodin, Andrey" w:date="2019-10-23T11:58:00Z">
        <w:r w:rsidR="005B335D" w:rsidRPr="005B335D">
          <w:rPr>
            <w:rFonts w:ascii="inherit" w:hAnsi="inherit" w:hint="eastAsia"/>
            <w:color w:val="000000"/>
            <w:shd w:val="clear" w:color="auto" w:fill="FFFFFF"/>
            <w:lang w:val="ru-RU"/>
          </w:rPr>
          <w:t>Положения</w:t>
        </w:r>
        <w:r w:rsidR="005B335D" w:rsidRPr="005B335D">
          <w:rPr>
            <w:rFonts w:ascii="inherit" w:hAnsi="inherit"/>
            <w:color w:val="000000"/>
            <w:shd w:val="clear" w:color="auto" w:fill="FFFFFF"/>
            <w:lang w:val="ru-RU"/>
          </w:rPr>
          <w:t xml:space="preserve"> Резолюции</w:t>
        </w:r>
        <w:r w:rsidR="005B335D" w:rsidRPr="005B335D">
          <w:rPr>
            <w:b/>
            <w:lang w:val="ru-RU"/>
          </w:rPr>
          <w:t xml:space="preserve"> </w:t>
        </w:r>
      </w:ins>
      <w:ins w:id="22" w:author="Russian" w:date="2019-10-17T16:07:00Z">
        <w:r w:rsidRPr="005B335D">
          <w:rPr>
            <w:b/>
            <w:lang w:val="ru-RU"/>
          </w:rPr>
          <w:t>49 (</w:t>
        </w:r>
      </w:ins>
      <w:ins w:id="23" w:author="Russian" w:date="2019-10-17T16:08:00Z">
        <w:r>
          <w:rPr>
            <w:b/>
            <w:lang w:val="ru-RU"/>
          </w:rPr>
          <w:t>Пересм</w:t>
        </w:r>
        <w:r w:rsidRPr="005B335D">
          <w:rPr>
            <w:b/>
            <w:lang w:val="ru-RU"/>
          </w:rPr>
          <w:t>.</w:t>
        </w:r>
        <w:r w:rsidRPr="002200CA">
          <w:rPr>
            <w:b/>
            <w:rPrChange w:id="24" w:author="Russian" w:date="2019-10-17T16:08:00Z">
              <w:rPr>
                <w:b/>
                <w:lang w:val="ru-RU"/>
              </w:rPr>
            </w:rPrChange>
          </w:rPr>
          <w:t> </w:t>
        </w:r>
        <w:r>
          <w:rPr>
            <w:b/>
            <w:lang w:val="ru-RU"/>
          </w:rPr>
          <w:t>ВКР</w:t>
        </w:r>
      </w:ins>
      <w:ins w:id="25" w:author="Russian" w:date="2019-10-17T16:07:00Z">
        <w:r w:rsidRPr="005B335D">
          <w:rPr>
            <w:b/>
            <w:lang w:val="ru-RU"/>
          </w:rPr>
          <w:t>-15)</w:t>
        </w:r>
      </w:ins>
      <w:ins w:id="26" w:author="Pogodin, Andrey" w:date="2019-10-23T11:58:00Z">
        <w:r w:rsidR="005B335D" w:rsidRPr="005B335D">
          <w:rPr>
            <w:rFonts w:ascii="inherit" w:hAnsi="inherit"/>
            <w:color w:val="000000"/>
            <w:shd w:val="clear" w:color="auto" w:fill="FFFFFF"/>
            <w:lang w:val="ru-RU"/>
          </w:rPr>
          <w:t xml:space="preserve"> не применяются</w:t>
        </w:r>
      </w:ins>
      <w:ins w:id="27" w:author="Russian" w:date="2019-10-17T16:07:00Z">
        <w:r w:rsidRPr="005B335D">
          <w:rPr>
            <w:lang w:val="ru-RU"/>
          </w:rPr>
          <w:t>.</w:t>
        </w:r>
        <w:r w:rsidRPr="002200CA">
          <w:rPr>
            <w:sz w:val="16"/>
            <w:szCs w:val="16"/>
            <w:rPrChange w:id="28" w:author="Russian" w:date="2019-10-17T16:08:00Z">
              <w:rPr>
                <w:lang w:val="ru-RU"/>
              </w:rPr>
            </w:rPrChange>
          </w:rPr>
          <w:t>     </w:t>
        </w:r>
        <w:r w:rsidRPr="0002284B">
          <w:rPr>
            <w:sz w:val="16"/>
            <w:szCs w:val="16"/>
            <w:lang w:val="ru-RU"/>
            <w:rPrChange w:id="29" w:author="Russian" w:date="2019-10-17T16:08:00Z">
              <w:rPr>
                <w:lang w:val="ru-RU"/>
              </w:rPr>
            </w:rPrChange>
          </w:rPr>
          <w:t>(</w:t>
        </w:r>
      </w:ins>
      <w:ins w:id="30" w:author="Russian" w:date="2019-10-17T16:08:00Z">
        <w:r>
          <w:rPr>
            <w:sz w:val="16"/>
            <w:szCs w:val="16"/>
            <w:lang w:val="ru-RU"/>
          </w:rPr>
          <w:t>ВКР</w:t>
        </w:r>
      </w:ins>
      <w:ins w:id="31" w:author="Russian" w:date="2019-10-17T16:07:00Z">
        <w:r w:rsidRPr="0002284B">
          <w:rPr>
            <w:sz w:val="16"/>
            <w:szCs w:val="16"/>
            <w:lang w:val="ru-RU"/>
            <w:rPrChange w:id="32" w:author="Russian" w:date="2019-10-17T16:08:00Z">
              <w:rPr>
                <w:lang w:val="ru-RU"/>
              </w:rPr>
            </w:rPrChange>
          </w:rPr>
          <w:noBreakHyphen/>
          <w:t>19)</w:t>
        </w:r>
      </w:ins>
    </w:p>
  </w:footnote>
  <w:footnote w:id="3">
    <w:p w14:paraId="4C862BF9" w14:textId="32D0A617" w:rsidR="002200CA" w:rsidRDefault="002200CA">
      <w:pPr>
        <w:pStyle w:val="FootnoteText"/>
      </w:pPr>
      <w:ins w:id="42" w:author="Russian" w:date="2019-10-17T16:07:00Z">
        <w:r>
          <w:rPr>
            <w:rStyle w:val="FootnoteReference"/>
          </w:rPr>
          <w:t>b</w:t>
        </w:r>
      </w:ins>
      <w:ins w:id="43" w:author="Russian" w:date="2019-10-17T16:09:00Z">
        <w:r w:rsidRPr="005B335D">
          <w:rPr>
            <w:lang w:val="ru-RU"/>
          </w:rPr>
          <w:tab/>
        </w:r>
      </w:ins>
      <w:ins w:id="44" w:author="Pogodin, Andrey" w:date="2019-10-23T11:58:00Z">
        <w:r w:rsidR="005B335D" w:rsidRPr="005B335D">
          <w:rPr>
            <w:rFonts w:ascii="inherit" w:hAnsi="inherit" w:hint="eastAsia"/>
            <w:color w:val="000000"/>
            <w:shd w:val="clear" w:color="auto" w:fill="FFFFFF"/>
            <w:lang w:val="ru-RU"/>
          </w:rPr>
          <w:t>Положения</w:t>
        </w:r>
        <w:r w:rsidR="005B335D" w:rsidRPr="005B335D">
          <w:rPr>
            <w:rFonts w:ascii="inherit" w:hAnsi="inherit"/>
            <w:color w:val="000000"/>
            <w:shd w:val="clear" w:color="auto" w:fill="FFFFFF"/>
            <w:lang w:val="ru-RU"/>
          </w:rPr>
          <w:t xml:space="preserve"> Резолюции</w:t>
        </w:r>
        <w:r w:rsidR="005B335D" w:rsidRPr="005B335D">
          <w:rPr>
            <w:b/>
            <w:lang w:val="ru-RU"/>
          </w:rPr>
          <w:t xml:space="preserve"> </w:t>
        </w:r>
      </w:ins>
      <w:ins w:id="45" w:author="Russian" w:date="2019-10-17T16:09:00Z">
        <w:r w:rsidRPr="005B335D">
          <w:rPr>
            <w:b/>
            <w:lang w:val="ru-RU"/>
          </w:rPr>
          <w:t>49 (</w:t>
        </w:r>
        <w:r>
          <w:rPr>
            <w:b/>
            <w:lang w:val="ru-RU"/>
          </w:rPr>
          <w:t>Пересм</w:t>
        </w:r>
        <w:r w:rsidRPr="005B335D">
          <w:rPr>
            <w:b/>
            <w:lang w:val="ru-RU"/>
          </w:rPr>
          <w:t>.</w:t>
        </w:r>
        <w:r w:rsidRPr="004552E5">
          <w:rPr>
            <w:b/>
          </w:rPr>
          <w:t> </w:t>
        </w:r>
        <w:r>
          <w:rPr>
            <w:b/>
            <w:lang w:val="ru-RU"/>
          </w:rPr>
          <w:t>ВКР</w:t>
        </w:r>
        <w:r w:rsidRPr="005B335D">
          <w:rPr>
            <w:b/>
            <w:lang w:val="ru-RU"/>
          </w:rPr>
          <w:t>-15)</w:t>
        </w:r>
      </w:ins>
      <w:ins w:id="46" w:author="Pogodin, Andrey" w:date="2019-10-23T11:57:00Z">
        <w:r w:rsidR="005B335D" w:rsidRPr="005B335D">
          <w:rPr>
            <w:rFonts w:ascii="inherit" w:hAnsi="inherit"/>
            <w:color w:val="000000"/>
            <w:shd w:val="clear" w:color="auto" w:fill="FFFFFF"/>
            <w:lang w:val="ru-RU"/>
          </w:rPr>
          <w:t xml:space="preserve"> не применяются</w:t>
        </w:r>
      </w:ins>
      <w:ins w:id="47" w:author="Russian" w:date="2019-10-17T16:09:00Z">
        <w:r w:rsidRPr="005B335D">
          <w:rPr>
            <w:lang w:val="ru-RU"/>
          </w:rPr>
          <w:t>.</w:t>
        </w:r>
        <w:r w:rsidRPr="004552E5">
          <w:rPr>
            <w:sz w:val="16"/>
            <w:szCs w:val="16"/>
          </w:rPr>
          <w:t>     (</w:t>
        </w:r>
        <w:r>
          <w:rPr>
            <w:sz w:val="16"/>
            <w:szCs w:val="16"/>
            <w:lang w:val="ru-RU"/>
          </w:rPr>
          <w:t>ВКР</w:t>
        </w:r>
        <w:r w:rsidRPr="004552E5">
          <w:rPr>
            <w:sz w:val="16"/>
            <w:szCs w:val="16"/>
          </w:rPr>
          <w:noBreakHyphen/>
          <w:t>19)</w:t>
        </w:r>
      </w:ins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50DCDC" w14:textId="77777777"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F33B22">
      <w:rPr>
        <w:noProof/>
      </w:rPr>
      <w:t>2</w:t>
    </w:r>
    <w:r>
      <w:fldChar w:fldCharType="end"/>
    </w:r>
  </w:p>
  <w:p w14:paraId="1E35B42C" w14:textId="77777777" w:rsidR="00567276" w:rsidRDefault="00567276" w:rsidP="00F65316">
    <w:pPr>
      <w:pStyle w:val="Header"/>
      <w:rPr>
        <w:lang w:val="en-US"/>
      </w:rPr>
    </w:pPr>
    <w:r>
      <w:t>CMR</w:t>
    </w:r>
    <w:r w:rsidR="00434A7C">
      <w:rPr>
        <w:lang w:val="en-US"/>
      </w:rPr>
      <w:t>1</w:t>
    </w:r>
    <w:r w:rsidR="00F65316">
      <w:rPr>
        <w:lang w:val="en-US"/>
      </w:rPr>
      <w:t>9</w:t>
    </w:r>
    <w:r>
      <w:t>/</w:t>
    </w:r>
    <w:r w:rsidR="00F761D2">
      <w:t>16(Add.22)(Add.10)-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ussian">
    <w15:presenceInfo w15:providerId="None" w15:userId="Russian"/>
  </w15:person>
  <w15:person w15:author="Pogodin, Andrey">
    <w15:presenceInfo w15:providerId="AD" w15:userId="S::andrey.pogodin@itu.int::392facf3-91ed-4ee5-addc-fb313accf8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intFractionalCharacterWidth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1C9"/>
    <w:rsid w:val="0002284B"/>
    <w:rsid w:val="000260F1"/>
    <w:rsid w:val="0003535B"/>
    <w:rsid w:val="000A0EF3"/>
    <w:rsid w:val="000C3F55"/>
    <w:rsid w:val="000C43BA"/>
    <w:rsid w:val="000F33D8"/>
    <w:rsid w:val="000F39B4"/>
    <w:rsid w:val="000F7DDF"/>
    <w:rsid w:val="00113D0B"/>
    <w:rsid w:val="001226EC"/>
    <w:rsid w:val="00123B68"/>
    <w:rsid w:val="00124C09"/>
    <w:rsid w:val="00126F2E"/>
    <w:rsid w:val="001521AE"/>
    <w:rsid w:val="001A5585"/>
    <w:rsid w:val="001E5FB4"/>
    <w:rsid w:val="00202CA0"/>
    <w:rsid w:val="0021052B"/>
    <w:rsid w:val="002200CA"/>
    <w:rsid w:val="0022620A"/>
    <w:rsid w:val="00230582"/>
    <w:rsid w:val="002449AA"/>
    <w:rsid w:val="00245A1F"/>
    <w:rsid w:val="00290C74"/>
    <w:rsid w:val="002A2D3F"/>
    <w:rsid w:val="00300F84"/>
    <w:rsid w:val="003258F2"/>
    <w:rsid w:val="00344EB8"/>
    <w:rsid w:val="00346BEC"/>
    <w:rsid w:val="00371E4B"/>
    <w:rsid w:val="003C583C"/>
    <w:rsid w:val="003F0078"/>
    <w:rsid w:val="00434A7C"/>
    <w:rsid w:val="0045143A"/>
    <w:rsid w:val="004A58F4"/>
    <w:rsid w:val="004B716F"/>
    <w:rsid w:val="004C1369"/>
    <w:rsid w:val="004C47ED"/>
    <w:rsid w:val="004F3B0D"/>
    <w:rsid w:val="0051315E"/>
    <w:rsid w:val="005144A9"/>
    <w:rsid w:val="00514E1F"/>
    <w:rsid w:val="00521B1D"/>
    <w:rsid w:val="005305D5"/>
    <w:rsid w:val="00537A2B"/>
    <w:rsid w:val="00540D1E"/>
    <w:rsid w:val="005651C9"/>
    <w:rsid w:val="00567276"/>
    <w:rsid w:val="005755E2"/>
    <w:rsid w:val="00592406"/>
    <w:rsid w:val="00593821"/>
    <w:rsid w:val="00597005"/>
    <w:rsid w:val="005A295E"/>
    <w:rsid w:val="005B335D"/>
    <w:rsid w:val="005D1879"/>
    <w:rsid w:val="005D79A3"/>
    <w:rsid w:val="005E61DD"/>
    <w:rsid w:val="005E78F5"/>
    <w:rsid w:val="006023DF"/>
    <w:rsid w:val="006115BE"/>
    <w:rsid w:val="00614771"/>
    <w:rsid w:val="00616C62"/>
    <w:rsid w:val="00620DD7"/>
    <w:rsid w:val="00653E22"/>
    <w:rsid w:val="00657DE0"/>
    <w:rsid w:val="00692C06"/>
    <w:rsid w:val="006A6E9B"/>
    <w:rsid w:val="00763F4F"/>
    <w:rsid w:val="00775720"/>
    <w:rsid w:val="007917AE"/>
    <w:rsid w:val="007A08B5"/>
    <w:rsid w:val="00811633"/>
    <w:rsid w:val="00812452"/>
    <w:rsid w:val="00815749"/>
    <w:rsid w:val="00871BF2"/>
    <w:rsid w:val="00872FC8"/>
    <w:rsid w:val="008B43F2"/>
    <w:rsid w:val="008C3257"/>
    <w:rsid w:val="008C401C"/>
    <w:rsid w:val="009119CC"/>
    <w:rsid w:val="00917C0A"/>
    <w:rsid w:val="009417A7"/>
    <w:rsid w:val="00941A02"/>
    <w:rsid w:val="00966C93"/>
    <w:rsid w:val="00987FA4"/>
    <w:rsid w:val="009B5CC2"/>
    <w:rsid w:val="009D3D63"/>
    <w:rsid w:val="009E5FC8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01FBA"/>
    <w:rsid w:val="00B245FD"/>
    <w:rsid w:val="00B24E60"/>
    <w:rsid w:val="00B468A6"/>
    <w:rsid w:val="00B75113"/>
    <w:rsid w:val="00BA13A4"/>
    <w:rsid w:val="00BA1AA1"/>
    <w:rsid w:val="00BA35DC"/>
    <w:rsid w:val="00BC5313"/>
    <w:rsid w:val="00BD0D2F"/>
    <w:rsid w:val="00BD1129"/>
    <w:rsid w:val="00C0572C"/>
    <w:rsid w:val="00C20466"/>
    <w:rsid w:val="00C266F4"/>
    <w:rsid w:val="00C324A8"/>
    <w:rsid w:val="00C56E7A"/>
    <w:rsid w:val="00C779CE"/>
    <w:rsid w:val="00C916AF"/>
    <w:rsid w:val="00CC47C6"/>
    <w:rsid w:val="00CC4DE6"/>
    <w:rsid w:val="00CE5E47"/>
    <w:rsid w:val="00CF020F"/>
    <w:rsid w:val="00D26143"/>
    <w:rsid w:val="00D53715"/>
    <w:rsid w:val="00DE2EBA"/>
    <w:rsid w:val="00E018EB"/>
    <w:rsid w:val="00E2253F"/>
    <w:rsid w:val="00E43E99"/>
    <w:rsid w:val="00E5155F"/>
    <w:rsid w:val="00E60984"/>
    <w:rsid w:val="00E65919"/>
    <w:rsid w:val="00E976C1"/>
    <w:rsid w:val="00EA0C0C"/>
    <w:rsid w:val="00EB66F7"/>
    <w:rsid w:val="00F1578A"/>
    <w:rsid w:val="00F21A03"/>
    <w:rsid w:val="00F33B22"/>
    <w:rsid w:val="00F65316"/>
    <w:rsid w:val="00F65C19"/>
    <w:rsid w:val="00F761D2"/>
    <w:rsid w:val="00F97203"/>
    <w:rsid w:val="00FB67E5"/>
    <w:rsid w:val="00FC63FD"/>
    <w:rsid w:val="00FD18DB"/>
    <w:rsid w:val="00FD51E3"/>
    <w:rsid w:val="00FE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7592F1"/>
  <w15:docId w15:val="{74E7A288-02D0-40B1-A8B0-2B34BA1B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C916AF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C916AF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paragraph" w:customStyle="1" w:styleId="Headingsplit">
    <w:name w:val="Heading_split"/>
    <w:basedOn w:val="Headingi"/>
    <w:qFormat/>
    <w:rsid w:val="00EA0C0C"/>
    <w:pPr>
      <w:keepNext w:val="0"/>
    </w:pPr>
    <w:rPr>
      <w:rFonts w:ascii="Times New Roman" w:hAnsi="Times New Roman"/>
      <w:lang w:val="en-US"/>
    </w:rPr>
  </w:style>
  <w:style w:type="paragraph" w:customStyle="1" w:styleId="Normalsplit">
    <w:name w:val="Normal_split"/>
    <w:basedOn w:val="Normal"/>
    <w:qFormat/>
    <w:rsid w:val="00EA0C0C"/>
    <w:rPr>
      <w:sz w:val="24"/>
      <w:lang w:val="en-GB"/>
    </w:rPr>
  </w:style>
  <w:style w:type="character" w:customStyle="1" w:styleId="Provsplit">
    <w:name w:val="Prov_split"/>
    <w:basedOn w:val="DefaultParagraphFont"/>
    <w:qFormat/>
    <w:rsid w:val="00EA0C0C"/>
    <w:rPr>
      <w:rFonts w:ascii="Times New Roman" w:hAnsi="Times New Roman"/>
      <w:b w:val="0"/>
    </w:rPr>
  </w:style>
  <w:style w:type="paragraph" w:customStyle="1" w:styleId="MethodHeadingb">
    <w:name w:val="Method_Headingb"/>
    <w:basedOn w:val="Headingb"/>
    <w:qFormat/>
    <w:rsid w:val="00521B1D"/>
  </w:style>
  <w:style w:type="paragraph" w:customStyle="1" w:styleId="Methodheading1">
    <w:name w:val="Method_heading1"/>
    <w:basedOn w:val="Heading1"/>
    <w:next w:val="Normal"/>
    <w:qFormat/>
    <w:rsid w:val="00BD0D2F"/>
  </w:style>
  <w:style w:type="paragraph" w:customStyle="1" w:styleId="Methodheading2">
    <w:name w:val="Method_heading2"/>
    <w:basedOn w:val="Heading2"/>
    <w:next w:val="Normal"/>
    <w:qFormat/>
    <w:rsid w:val="00BD0D2F"/>
  </w:style>
  <w:style w:type="paragraph" w:customStyle="1" w:styleId="Methodheading3">
    <w:name w:val="Method_heading3"/>
    <w:basedOn w:val="Heading3"/>
    <w:next w:val="Normal"/>
    <w:qFormat/>
    <w:rsid w:val="00BD0D2F"/>
  </w:style>
  <w:style w:type="paragraph" w:customStyle="1" w:styleId="Methodheading4">
    <w:name w:val="Method_heading4"/>
    <w:basedOn w:val="Heading4"/>
    <w:next w:val="Normal"/>
    <w:qFormat/>
    <w:rsid w:val="00BD0D2F"/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R16-WRC19-C-0016!A22-A10!MSW-R</DPM_x0020_File_x0020_name>
    <DPM_x0020_Author xmlns="32a1a8c5-2265-4ebc-b7a0-2071e2c5c9bb" xsi:nil="false">DPM</DPM_x0020_Author>
    <DPM_x0020_Version xmlns="32a1a8c5-2265-4ebc-b7a0-2071e2c5c9bb" xsi:nil="false">DPM_2019.10.01.01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7F972-7ED3-423F-A5B3-50E5BB8C37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4E65EB-2191-40EA-96CD-F0D7B9BD37A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3651550F-DFFA-46DD-95EA-6BFDAAEB5968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purl.org/dc/elements/1.1/"/>
    <ds:schemaRef ds:uri="32a1a8c5-2265-4ebc-b7a0-2071e2c5c9bb"/>
    <ds:schemaRef ds:uri="http://www.w3.org/XML/1998/namespace"/>
    <ds:schemaRef ds:uri="http://schemas.microsoft.com/office/infopath/2007/PartnerControls"/>
    <ds:schemaRef ds:uri="996b2e75-67fd-4955-a3b0-5ab9934cb50b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AD5DEC96-AB5B-4426-823A-C4B82597D9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CA9FF36-F818-47E3-A94C-8BD8AE6CC2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633</Words>
  <Characters>3847</Characters>
  <Application>Microsoft Office Word</Application>
  <DocSecurity>0</DocSecurity>
  <Lines>87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R16-WRC19-C-0016!A22-A10!MSW-R</vt:lpstr>
    </vt:vector>
  </TitlesOfParts>
  <Manager>General Secretariat - Pool</Manager>
  <Company>International Telecommunication Union (ITU)</Company>
  <LinksUpToDate>false</LinksUpToDate>
  <CharactersWithSpaces>4437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R16-WRC19-C-0016!A22-A10!MSW-R</dc:title>
  <dc:subject>World Radiocommunication Conference - 2019</dc:subject>
  <dc:creator>Documents Proposals Manager (DPM)</dc:creator>
  <cp:keywords>DPM_v2019.10.15.2_prod</cp:keywords>
  <dc:description/>
  <cp:lastModifiedBy>Fedosova, Elena</cp:lastModifiedBy>
  <cp:revision>5</cp:revision>
  <cp:lastPrinted>2019-10-23T11:31:00Z</cp:lastPrinted>
  <dcterms:created xsi:type="dcterms:W3CDTF">2019-10-23T11:31:00Z</dcterms:created>
  <dcterms:modified xsi:type="dcterms:W3CDTF">2019-10-24T11:22:00Z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