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8286D" w:rsidRPr="00A079A6" w14:paraId="72F7F08D" w14:textId="77777777" w:rsidTr="0050008E">
        <w:trPr>
          <w:cantSplit/>
        </w:trPr>
        <w:tc>
          <w:tcPr>
            <w:tcW w:w="6911" w:type="dxa"/>
          </w:tcPr>
          <w:p w14:paraId="4949C5A1" w14:textId="77777777" w:rsidR="00C8286D" w:rsidRPr="00A079A6" w:rsidRDefault="00C8286D" w:rsidP="00C8286D">
            <w:pPr>
              <w:spacing w:before="400" w:after="48" w:line="240" w:lineRule="atLeast"/>
              <w:rPr>
                <w:rFonts w:ascii="Verdana" w:hAnsi="Verdana"/>
                <w:position w:val="6"/>
              </w:rPr>
            </w:pPr>
            <w:r w:rsidRPr="00A079A6">
              <w:rPr>
                <w:rFonts w:ascii="Verdana" w:hAnsi="Verdana" w:cs="Times"/>
                <w:b/>
                <w:position w:val="6"/>
                <w:sz w:val="20"/>
              </w:rPr>
              <w:t>Conferencia Mundial de Radiocomunicaciones (</w:t>
            </w:r>
            <w:proofErr w:type="spellStart"/>
            <w:r w:rsidRPr="00A079A6">
              <w:rPr>
                <w:rFonts w:ascii="Verdana" w:hAnsi="Verdana" w:cs="Times"/>
                <w:b/>
                <w:position w:val="6"/>
                <w:sz w:val="20"/>
              </w:rPr>
              <w:t>CMR</w:t>
            </w:r>
            <w:proofErr w:type="spellEnd"/>
            <w:r w:rsidRPr="00A079A6">
              <w:rPr>
                <w:rFonts w:ascii="Verdana" w:hAnsi="Verdana" w:cs="Times"/>
                <w:b/>
                <w:position w:val="6"/>
                <w:sz w:val="20"/>
              </w:rPr>
              <w:t>-19)</w:t>
            </w:r>
            <w:r w:rsidRPr="00A079A6">
              <w:rPr>
                <w:rFonts w:ascii="Verdana" w:hAnsi="Verdana" w:cs="Times"/>
                <w:b/>
                <w:position w:val="6"/>
                <w:sz w:val="20"/>
              </w:rPr>
              <w:br/>
            </w:r>
            <w:r w:rsidRPr="00A079A6">
              <w:rPr>
                <w:rFonts w:ascii="Verdana" w:hAnsi="Verdana"/>
                <w:b/>
                <w:bCs/>
                <w:position w:val="6"/>
                <w:sz w:val="17"/>
                <w:szCs w:val="17"/>
              </w:rPr>
              <w:t>Sharm el-</w:t>
            </w:r>
            <w:proofErr w:type="spellStart"/>
            <w:r w:rsidRPr="00A079A6">
              <w:rPr>
                <w:rFonts w:ascii="Verdana" w:hAnsi="Verdana"/>
                <w:b/>
                <w:bCs/>
                <w:position w:val="6"/>
                <w:sz w:val="17"/>
                <w:szCs w:val="17"/>
              </w:rPr>
              <w:t>Sheikh</w:t>
            </w:r>
            <w:proofErr w:type="spellEnd"/>
            <w:r w:rsidRPr="00A079A6">
              <w:rPr>
                <w:rFonts w:ascii="Verdana" w:hAnsi="Verdana"/>
                <w:b/>
                <w:bCs/>
                <w:position w:val="6"/>
                <w:sz w:val="17"/>
                <w:szCs w:val="17"/>
              </w:rPr>
              <w:t xml:space="preserve"> (Egipto), 28 de octubre </w:t>
            </w:r>
            <w:r w:rsidR="009A599E" w:rsidRPr="00A079A6">
              <w:rPr>
                <w:rFonts w:ascii="Verdana" w:hAnsi="Verdana"/>
                <w:b/>
                <w:bCs/>
                <w:position w:val="6"/>
                <w:sz w:val="17"/>
                <w:szCs w:val="17"/>
              </w:rPr>
              <w:t>–</w:t>
            </w:r>
            <w:r w:rsidRPr="00A079A6">
              <w:rPr>
                <w:rFonts w:ascii="Verdana" w:hAnsi="Verdana"/>
                <w:b/>
                <w:bCs/>
                <w:position w:val="6"/>
                <w:sz w:val="17"/>
                <w:szCs w:val="17"/>
              </w:rPr>
              <w:t xml:space="preserve"> 22 de noviembre de 2019</w:t>
            </w:r>
          </w:p>
        </w:tc>
        <w:tc>
          <w:tcPr>
            <w:tcW w:w="3120" w:type="dxa"/>
          </w:tcPr>
          <w:p w14:paraId="2E2F9871" w14:textId="77777777" w:rsidR="00C8286D" w:rsidRPr="00A079A6" w:rsidRDefault="00C8286D" w:rsidP="00C8286D">
            <w:pPr>
              <w:spacing w:before="0" w:line="240" w:lineRule="atLeast"/>
              <w:jc w:val="right"/>
            </w:pPr>
            <w:bookmarkStart w:id="0" w:name="ditulogo"/>
            <w:bookmarkEnd w:id="0"/>
            <w:r w:rsidRPr="00A079A6">
              <w:rPr>
                <w:rFonts w:ascii="Verdana" w:hAnsi="Verdana"/>
                <w:b/>
                <w:bCs/>
                <w:noProof/>
                <w:szCs w:val="24"/>
                <w:lang w:eastAsia="zh-CN"/>
              </w:rPr>
              <w:drawing>
                <wp:inline distT="0" distB="0" distL="0" distR="0" wp14:anchorId="32B86AE7" wp14:editId="67E9E7E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C8286D" w:rsidRPr="00A079A6" w14:paraId="695B67B9" w14:textId="77777777" w:rsidTr="00A1779F">
        <w:trPr>
          <w:cantSplit/>
        </w:trPr>
        <w:tc>
          <w:tcPr>
            <w:tcW w:w="10031" w:type="dxa"/>
            <w:gridSpan w:val="2"/>
            <w:tcBorders>
              <w:bottom w:val="single" w:sz="12" w:space="0" w:color="auto"/>
            </w:tcBorders>
          </w:tcPr>
          <w:p w14:paraId="2CD458B2" w14:textId="77777777" w:rsidR="00C8286D" w:rsidRPr="00A079A6" w:rsidRDefault="00C8286D" w:rsidP="00C8286D">
            <w:pPr>
              <w:spacing w:before="0" w:after="48" w:line="240" w:lineRule="atLeast"/>
              <w:rPr>
                <w:rFonts w:ascii="Verdana" w:hAnsi="Verdana"/>
                <w:b/>
                <w:smallCaps/>
                <w:sz w:val="20"/>
              </w:rPr>
            </w:pPr>
            <w:bookmarkStart w:id="1" w:name="dhead"/>
          </w:p>
        </w:tc>
      </w:tr>
      <w:tr w:rsidR="00C8286D" w:rsidRPr="00A079A6" w14:paraId="457F3E8E" w14:textId="77777777" w:rsidTr="0050008E">
        <w:trPr>
          <w:cantSplit/>
        </w:trPr>
        <w:tc>
          <w:tcPr>
            <w:tcW w:w="6911" w:type="dxa"/>
            <w:tcBorders>
              <w:top w:val="single" w:sz="12" w:space="0" w:color="auto"/>
            </w:tcBorders>
          </w:tcPr>
          <w:p w14:paraId="72A713D9" w14:textId="77777777" w:rsidR="00C8286D" w:rsidRPr="00A079A6" w:rsidRDefault="00C8286D" w:rsidP="00C8286D">
            <w:pPr>
              <w:spacing w:before="0" w:after="48" w:line="240" w:lineRule="atLeast"/>
              <w:rPr>
                <w:rFonts w:ascii="Verdana" w:hAnsi="Verdana"/>
                <w:b/>
                <w:smallCaps/>
                <w:sz w:val="20"/>
              </w:rPr>
            </w:pPr>
          </w:p>
        </w:tc>
        <w:tc>
          <w:tcPr>
            <w:tcW w:w="3120" w:type="dxa"/>
            <w:tcBorders>
              <w:top w:val="single" w:sz="12" w:space="0" w:color="auto"/>
            </w:tcBorders>
          </w:tcPr>
          <w:p w14:paraId="0EB15E67" w14:textId="77777777" w:rsidR="00C8286D" w:rsidRPr="00A079A6" w:rsidRDefault="00C8286D" w:rsidP="00C8286D">
            <w:pPr>
              <w:spacing w:before="0" w:line="240" w:lineRule="atLeast"/>
              <w:rPr>
                <w:rFonts w:ascii="Verdana" w:hAnsi="Verdana"/>
                <w:sz w:val="20"/>
              </w:rPr>
            </w:pPr>
          </w:p>
        </w:tc>
      </w:tr>
      <w:tr w:rsidR="00C8286D" w:rsidRPr="00A079A6" w14:paraId="2C385418" w14:textId="77777777" w:rsidTr="0050008E">
        <w:trPr>
          <w:cantSplit/>
          <w:trHeight w:val="23"/>
        </w:trPr>
        <w:tc>
          <w:tcPr>
            <w:tcW w:w="6911" w:type="dxa"/>
            <w:vMerge w:val="restart"/>
          </w:tcPr>
          <w:p w14:paraId="3D8F9CB6" w14:textId="77777777" w:rsidR="00C8286D" w:rsidRPr="00A079A6" w:rsidRDefault="00E33013" w:rsidP="00C8286D">
            <w:pPr>
              <w:tabs>
                <w:tab w:val="left" w:pos="851"/>
              </w:tabs>
              <w:spacing w:before="0" w:line="240" w:lineRule="atLeast"/>
              <w:rPr>
                <w:rFonts w:ascii="Verdana" w:hAnsi="Verdana"/>
                <w:b/>
                <w:bCs/>
                <w:sz w:val="20"/>
              </w:rPr>
            </w:pPr>
            <w:bookmarkStart w:id="2" w:name="dnum" w:colFirst="1" w:colLast="1"/>
            <w:bookmarkStart w:id="3" w:name="dmeeting" w:colFirst="0" w:colLast="0"/>
            <w:bookmarkEnd w:id="1"/>
            <w:r w:rsidRPr="00A079A6">
              <w:rPr>
                <w:rFonts w:ascii="Verdana" w:hAnsi="Verdana"/>
                <w:b/>
                <w:bCs/>
                <w:sz w:val="20"/>
              </w:rPr>
              <w:t>SESIÓN PLENARIA</w:t>
            </w:r>
          </w:p>
        </w:tc>
        <w:tc>
          <w:tcPr>
            <w:tcW w:w="3120" w:type="dxa"/>
          </w:tcPr>
          <w:p w14:paraId="497BC4C3" w14:textId="77777777" w:rsidR="00C8286D" w:rsidRPr="00A079A6" w:rsidRDefault="00E33013" w:rsidP="00C8286D">
            <w:pPr>
              <w:tabs>
                <w:tab w:val="left" w:pos="851"/>
              </w:tabs>
              <w:spacing w:before="0" w:line="240" w:lineRule="atLeast"/>
              <w:rPr>
                <w:rFonts w:ascii="Verdana" w:hAnsi="Verdana"/>
                <w:sz w:val="20"/>
              </w:rPr>
            </w:pPr>
            <w:proofErr w:type="spellStart"/>
            <w:r w:rsidRPr="00A079A6">
              <w:rPr>
                <w:rFonts w:ascii="Verdana" w:hAnsi="Verdana"/>
                <w:b/>
                <w:sz w:val="20"/>
              </w:rPr>
              <w:t>Addéndum</w:t>
            </w:r>
            <w:proofErr w:type="spellEnd"/>
            <w:r w:rsidRPr="00A079A6">
              <w:rPr>
                <w:rFonts w:ascii="Verdana" w:hAnsi="Verdana"/>
                <w:b/>
                <w:sz w:val="20"/>
              </w:rPr>
              <w:t xml:space="preserve"> 22 al</w:t>
            </w:r>
            <w:r w:rsidRPr="00A079A6">
              <w:rPr>
                <w:rFonts w:ascii="Verdana" w:hAnsi="Verdana"/>
                <w:b/>
                <w:sz w:val="20"/>
              </w:rPr>
              <w:br/>
            </w:r>
            <w:r w:rsidR="00C8286D" w:rsidRPr="00A079A6">
              <w:rPr>
                <w:rFonts w:ascii="Verdana" w:hAnsi="Verdana"/>
                <w:b/>
                <w:sz w:val="20"/>
              </w:rPr>
              <w:t xml:space="preserve">Documento </w:t>
            </w:r>
            <w:r w:rsidRPr="00A079A6">
              <w:rPr>
                <w:rFonts w:ascii="Verdana" w:hAnsi="Verdana"/>
                <w:b/>
                <w:sz w:val="20"/>
              </w:rPr>
              <w:t>16</w:t>
            </w:r>
            <w:r w:rsidR="00C8286D" w:rsidRPr="00A079A6">
              <w:rPr>
                <w:rFonts w:ascii="Verdana" w:hAnsi="Verdana"/>
                <w:b/>
                <w:sz w:val="20"/>
              </w:rPr>
              <w:t>-S</w:t>
            </w:r>
          </w:p>
        </w:tc>
      </w:tr>
      <w:tr w:rsidR="00C8286D" w:rsidRPr="00A079A6" w14:paraId="6244A14B" w14:textId="77777777" w:rsidTr="0050008E">
        <w:trPr>
          <w:cantSplit/>
          <w:trHeight w:val="23"/>
        </w:trPr>
        <w:tc>
          <w:tcPr>
            <w:tcW w:w="6911" w:type="dxa"/>
            <w:vMerge/>
          </w:tcPr>
          <w:p w14:paraId="07FEDBBD" w14:textId="77777777" w:rsidR="00C8286D" w:rsidRPr="00A079A6" w:rsidRDefault="00C8286D"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tcPr>
          <w:p w14:paraId="57408BEB" w14:textId="77777777" w:rsidR="00C8286D" w:rsidRPr="00A079A6" w:rsidRDefault="00E33013" w:rsidP="00C8286D">
            <w:pPr>
              <w:tabs>
                <w:tab w:val="left" w:pos="993"/>
              </w:tabs>
              <w:spacing w:before="0"/>
              <w:rPr>
                <w:rFonts w:ascii="Verdana" w:hAnsi="Verdana"/>
                <w:sz w:val="20"/>
              </w:rPr>
            </w:pPr>
            <w:r w:rsidRPr="00A079A6">
              <w:rPr>
                <w:rFonts w:ascii="Verdana" w:hAnsi="Verdana"/>
                <w:b/>
                <w:sz w:val="20"/>
              </w:rPr>
              <w:t>8</w:t>
            </w:r>
            <w:r w:rsidR="00C8286D" w:rsidRPr="00A079A6">
              <w:rPr>
                <w:rFonts w:ascii="Verdana" w:hAnsi="Verdana"/>
                <w:b/>
                <w:sz w:val="20"/>
              </w:rPr>
              <w:t xml:space="preserve"> de </w:t>
            </w:r>
            <w:r w:rsidRPr="00A079A6">
              <w:rPr>
                <w:rFonts w:ascii="Verdana" w:hAnsi="Verdana"/>
                <w:b/>
                <w:sz w:val="20"/>
              </w:rPr>
              <w:t>octubre</w:t>
            </w:r>
            <w:r w:rsidR="00C8286D" w:rsidRPr="00A079A6">
              <w:rPr>
                <w:rFonts w:ascii="Verdana" w:hAnsi="Verdana"/>
                <w:b/>
                <w:sz w:val="20"/>
              </w:rPr>
              <w:t xml:space="preserve"> de 201</w:t>
            </w:r>
            <w:r w:rsidRPr="00A079A6">
              <w:rPr>
                <w:rFonts w:ascii="Verdana" w:hAnsi="Verdana"/>
                <w:b/>
                <w:sz w:val="20"/>
              </w:rPr>
              <w:t>9</w:t>
            </w:r>
          </w:p>
        </w:tc>
      </w:tr>
      <w:tr w:rsidR="00C8286D" w:rsidRPr="00A079A6" w14:paraId="26A7AAF6" w14:textId="77777777" w:rsidTr="0050008E">
        <w:trPr>
          <w:cantSplit/>
          <w:trHeight w:val="23"/>
        </w:trPr>
        <w:tc>
          <w:tcPr>
            <w:tcW w:w="6911" w:type="dxa"/>
            <w:vMerge/>
          </w:tcPr>
          <w:p w14:paraId="7DEC9BCD" w14:textId="77777777" w:rsidR="00C8286D" w:rsidRPr="00A079A6" w:rsidRDefault="00C8286D" w:rsidP="0050008E">
            <w:pPr>
              <w:tabs>
                <w:tab w:val="left" w:pos="851"/>
              </w:tabs>
              <w:spacing w:line="240" w:lineRule="atLeast"/>
              <w:rPr>
                <w:rFonts w:ascii="Verdana" w:hAnsi="Verdana"/>
                <w:b/>
                <w:sz w:val="20"/>
              </w:rPr>
            </w:pPr>
            <w:bookmarkStart w:id="5" w:name="dorlang" w:colFirst="1" w:colLast="1"/>
            <w:bookmarkEnd w:id="4"/>
          </w:p>
        </w:tc>
        <w:tc>
          <w:tcPr>
            <w:tcW w:w="3120" w:type="dxa"/>
          </w:tcPr>
          <w:p w14:paraId="7921F457" w14:textId="77777777" w:rsidR="00C8286D" w:rsidRPr="00A079A6" w:rsidRDefault="00C8286D" w:rsidP="00C8286D">
            <w:pPr>
              <w:tabs>
                <w:tab w:val="left" w:pos="993"/>
              </w:tabs>
              <w:spacing w:before="0" w:after="120"/>
              <w:rPr>
                <w:rFonts w:ascii="Verdana" w:hAnsi="Verdana"/>
                <w:sz w:val="20"/>
              </w:rPr>
            </w:pPr>
            <w:r w:rsidRPr="00A079A6">
              <w:rPr>
                <w:rFonts w:ascii="Verdana" w:hAnsi="Verdana"/>
                <w:b/>
                <w:sz w:val="20"/>
              </w:rPr>
              <w:t>Original: inglés</w:t>
            </w:r>
          </w:p>
        </w:tc>
      </w:tr>
      <w:tr w:rsidR="00C8286D" w:rsidRPr="00A079A6" w14:paraId="54CDFF6D" w14:textId="77777777" w:rsidTr="0050008E">
        <w:trPr>
          <w:cantSplit/>
        </w:trPr>
        <w:tc>
          <w:tcPr>
            <w:tcW w:w="10031" w:type="dxa"/>
            <w:gridSpan w:val="2"/>
          </w:tcPr>
          <w:p w14:paraId="095674DD" w14:textId="77777777" w:rsidR="00C8286D" w:rsidRPr="00A079A6" w:rsidRDefault="00E33013" w:rsidP="0050008E">
            <w:pPr>
              <w:pStyle w:val="Source"/>
            </w:pPr>
            <w:bookmarkStart w:id="6" w:name="dsource" w:colFirst="0" w:colLast="0"/>
            <w:bookmarkEnd w:id="5"/>
            <w:r w:rsidRPr="00A079A6">
              <w:t>Propuestas Comunes Europeas</w:t>
            </w:r>
          </w:p>
        </w:tc>
      </w:tr>
      <w:tr w:rsidR="00C8286D" w:rsidRPr="00A079A6" w14:paraId="36F3D5E0" w14:textId="77777777" w:rsidTr="0050008E">
        <w:trPr>
          <w:cantSplit/>
        </w:trPr>
        <w:tc>
          <w:tcPr>
            <w:tcW w:w="10031" w:type="dxa"/>
            <w:gridSpan w:val="2"/>
          </w:tcPr>
          <w:p w14:paraId="7DCCDAD3" w14:textId="77777777" w:rsidR="00C8286D" w:rsidRPr="00A079A6" w:rsidRDefault="00E33013" w:rsidP="0050008E">
            <w:pPr>
              <w:pStyle w:val="Title1"/>
            </w:pPr>
            <w:bookmarkStart w:id="7" w:name="dtitle1" w:colFirst="0" w:colLast="0"/>
            <w:bookmarkEnd w:id="6"/>
            <w:r w:rsidRPr="00A079A6">
              <w:t>PROPUESTAS PARA LOS TRABAJOS DE LA CONFERENCIA</w:t>
            </w:r>
          </w:p>
        </w:tc>
      </w:tr>
      <w:tr w:rsidR="00C8286D" w:rsidRPr="00A079A6" w14:paraId="734DAE3C" w14:textId="77777777" w:rsidTr="0050008E">
        <w:trPr>
          <w:cantSplit/>
        </w:trPr>
        <w:tc>
          <w:tcPr>
            <w:tcW w:w="10031" w:type="dxa"/>
            <w:gridSpan w:val="2"/>
          </w:tcPr>
          <w:p w14:paraId="4360CAB7" w14:textId="77777777" w:rsidR="00C8286D" w:rsidRPr="00A079A6" w:rsidRDefault="00C8286D" w:rsidP="0050008E">
            <w:pPr>
              <w:pStyle w:val="Title2"/>
            </w:pPr>
            <w:bookmarkStart w:id="8" w:name="dtitle2" w:colFirst="0" w:colLast="0"/>
            <w:bookmarkEnd w:id="7"/>
          </w:p>
        </w:tc>
      </w:tr>
      <w:tr w:rsidR="00C8286D" w:rsidRPr="00A079A6" w14:paraId="69FAECB1" w14:textId="77777777" w:rsidTr="0050008E">
        <w:trPr>
          <w:cantSplit/>
        </w:trPr>
        <w:tc>
          <w:tcPr>
            <w:tcW w:w="10031" w:type="dxa"/>
            <w:gridSpan w:val="2"/>
          </w:tcPr>
          <w:p w14:paraId="0622393F" w14:textId="77777777" w:rsidR="00C8286D" w:rsidRPr="00A079A6" w:rsidRDefault="00E33013" w:rsidP="00E33013">
            <w:pPr>
              <w:pStyle w:val="Agendaitem"/>
            </w:pPr>
            <w:bookmarkStart w:id="9" w:name="dtitle3" w:colFirst="0" w:colLast="0"/>
            <w:bookmarkEnd w:id="8"/>
            <w:r w:rsidRPr="00A079A6">
              <w:t>Punto 9.2 del orden del día</w:t>
            </w:r>
          </w:p>
        </w:tc>
      </w:tr>
    </w:tbl>
    <w:bookmarkEnd w:id="9"/>
    <w:p w14:paraId="5A573517" w14:textId="77777777" w:rsidR="00E33013" w:rsidRPr="00A079A6" w:rsidRDefault="00E33013" w:rsidP="00E33013">
      <w:r w:rsidRPr="00A079A6">
        <w:t>9</w:t>
      </w:r>
      <w:r w:rsidRPr="00A079A6">
        <w:tab/>
        <w:t>examinar y aprobar el Informe del Director de la Oficina de Radiocomunicaciones, de conformidad con el Artículo 7 del Convenio:</w:t>
      </w:r>
    </w:p>
    <w:p w14:paraId="5E9C97AF" w14:textId="77777777" w:rsidR="00E33013" w:rsidRPr="00A079A6" w:rsidRDefault="00E33013" w:rsidP="008E6E46">
      <w:r w:rsidRPr="00A079A6">
        <w:t>9.2</w:t>
      </w:r>
      <w:r w:rsidRPr="00A079A6">
        <w:tab/>
        <w:t>sobre las dificultades o incoherencias observadas en la aplicación del Reglamento de Radiocomunicaciones</w:t>
      </w:r>
      <w:r w:rsidR="008E6E46" w:rsidRPr="00A079A6">
        <w:rPr>
          <w:rStyle w:val="FootnoteReference"/>
        </w:rPr>
        <w:footnoteReference w:customMarkFollows="1" w:id="1"/>
        <w:sym w:font="Symbol" w:char="F02A"/>
      </w:r>
      <w:r w:rsidRPr="00A079A6">
        <w:t>; y</w:t>
      </w:r>
    </w:p>
    <w:p w14:paraId="3873F6BB" w14:textId="77777777" w:rsidR="00E33013" w:rsidRPr="00A079A6" w:rsidRDefault="00E33013" w:rsidP="00E33013">
      <w:pPr>
        <w:pStyle w:val="Headingb"/>
      </w:pPr>
      <w:r w:rsidRPr="00A079A6">
        <w:t>Introducción</w:t>
      </w:r>
    </w:p>
    <w:p w14:paraId="53CD3BD3" w14:textId="77777777" w:rsidR="00E33013" w:rsidRPr="00A079A6" w:rsidRDefault="00E33013" w:rsidP="00E33013">
      <w:r w:rsidRPr="00A079A6">
        <w:t xml:space="preserve">El punto 9.2 del orden del día de la </w:t>
      </w:r>
      <w:proofErr w:type="spellStart"/>
      <w:r w:rsidRPr="00A079A6">
        <w:t>CMR</w:t>
      </w:r>
      <w:proofErr w:type="spellEnd"/>
      <w:r w:rsidRPr="00A079A6">
        <w:t>-19 trata el Informe del Director de la Oficina de Radiocomunicaciones sobre las incoherencias del Reglamento de Radiocomunicaciones y las dificultades observadas en la aplicación del mismo, identificadas por las administraciones, la Oficina de Radiocomunicaciones y la Junta del Reglamento de Radiocomunicaciones, así como las propuestas de modificaciones del Reglamento de Radiocomunicaciones presentadas por la Oficina de Radiocomunicaciones y la Junta del Reglamento de Radiocomunicaciones para reducir esas dificultades e incoherencias.</w:t>
      </w:r>
    </w:p>
    <w:p w14:paraId="037CE9F8" w14:textId="77777777" w:rsidR="00E33013" w:rsidRPr="00A079A6" w:rsidRDefault="00E33013" w:rsidP="00E33013">
      <w:r w:rsidRPr="00A079A6">
        <w:t xml:space="preserve">La </w:t>
      </w:r>
      <w:proofErr w:type="spellStart"/>
      <w:r w:rsidRPr="00A079A6">
        <w:t>CEPT</w:t>
      </w:r>
      <w:proofErr w:type="spellEnd"/>
      <w:r w:rsidRPr="00A079A6">
        <w:t xml:space="preserve"> ha estudiado las cuestiones tratadas por el Director de la Oficina de Radiocomunicaciones en su Informe y preparado las opiniones y propuestas europeas.</w:t>
      </w:r>
    </w:p>
    <w:p w14:paraId="6A287A2D" w14:textId="77777777" w:rsidR="00E33013" w:rsidRPr="00A079A6" w:rsidRDefault="00E33013" w:rsidP="00E33013">
      <w:pPr>
        <w:pStyle w:val="Headingb"/>
      </w:pPr>
      <w:r w:rsidRPr="00A079A6">
        <w:t>Resumen de las propuestas europeas</w:t>
      </w:r>
    </w:p>
    <w:p w14:paraId="2DE3FB32" w14:textId="77777777" w:rsidR="00E33013" w:rsidRPr="00A079A6" w:rsidRDefault="00E33013" w:rsidP="007F535B">
      <w:r w:rsidRPr="00A079A6">
        <w:t xml:space="preserve">Como los procedimientos de coordinación y notificación de redes de satélites no planificadas están afectadas, estas propuestas europeas apoyan la finalización de la publicación de las Secciones Especiales API/C de la BR </w:t>
      </w:r>
      <w:proofErr w:type="spellStart"/>
      <w:r w:rsidRPr="00A079A6">
        <w:t>IFIC</w:t>
      </w:r>
      <w:proofErr w:type="spellEnd"/>
      <w:r w:rsidRPr="00A079A6">
        <w:t xml:space="preserve"> pues la Oficina puede publicar todos los datos necesarios en su sitio web (3.1.3.1). Se propone también la modificación del número </w:t>
      </w:r>
      <w:r w:rsidRPr="00A079A6">
        <w:rPr>
          <w:b/>
          <w:bCs/>
        </w:rPr>
        <w:t>9.4</w:t>
      </w:r>
      <w:r w:rsidRPr="00A079A6">
        <w:t xml:space="preserve"> del </w:t>
      </w:r>
      <w:proofErr w:type="spellStart"/>
      <w:r w:rsidRPr="00A079A6">
        <w:t>RR</w:t>
      </w:r>
      <w:proofErr w:type="spellEnd"/>
      <w:r w:rsidRPr="00A079A6">
        <w:t xml:space="preserve"> (3.1.3.3) a fin de que la elaboración de los informes sobre los avances no sea obligatoria para las administraciones concernidas.</w:t>
      </w:r>
    </w:p>
    <w:p w14:paraId="1E2887C1" w14:textId="77777777" w:rsidR="00E33013" w:rsidRPr="00A079A6" w:rsidRDefault="00E33013" w:rsidP="000F0292">
      <w:pPr>
        <w:keepNext/>
        <w:keepLines/>
      </w:pPr>
      <w:r w:rsidRPr="00A079A6">
        <w:lastRenderedPageBreak/>
        <w:t xml:space="preserve">Además, las propuestas europeas apoyan la armonización del procedimiento de reanudación del funcionamiento con el procedimiento de puesta en servicio del Artículo </w:t>
      </w:r>
      <w:r w:rsidRPr="00A079A6">
        <w:rPr>
          <w:b/>
        </w:rPr>
        <w:t>11</w:t>
      </w:r>
      <w:r w:rsidRPr="00A079A6">
        <w:rPr>
          <w:bCs/>
        </w:rPr>
        <w:t xml:space="preserve"> del </w:t>
      </w:r>
      <w:proofErr w:type="spellStart"/>
      <w:r w:rsidRPr="00A079A6">
        <w:rPr>
          <w:bCs/>
        </w:rPr>
        <w:t>RR</w:t>
      </w:r>
      <w:proofErr w:type="spellEnd"/>
      <w:r w:rsidRPr="00A079A6">
        <w:rPr>
          <w:bCs/>
        </w:rPr>
        <w:t xml:space="preserve"> </w:t>
      </w:r>
      <w:r w:rsidRPr="00A079A6">
        <w:t xml:space="preserve">(3.1.4.1), así como la introducción de la posibilidad de indicar, a nivel de notificación, el estado de la coordinación con arreglo al número </w:t>
      </w:r>
      <w:r w:rsidRPr="00A079A6">
        <w:rPr>
          <w:b/>
          <w:bCs/>
        </w:rPr>
        <w:t>9.7</w:t>
      </w:r>
      <w:r w:rsidRPr="00A079A6">
        <w:t xml:space="preserve"> del </w:t>
      </w:r>
      <w:proofErr w:type="spellStart"/>
      <w:r w:rsidRPr="00A079A6">
        <w:t>RR</w:t>
      </w:r>
      <w:proofErr w:type="spellEnd"/>
      <w:r w:rsidRPr="00A079A6">
        <w:t xml:space="preserve"> para su examen con arreglo a los números </w:t>
      </w:r>
      <w:r w:rsidRPr="00A079A6">
        <w:rPr>
          <w:b/>
        </w:rPr>
        <w:t>11.32</w:t>
      </w:r>
      <w:r w:rsidRPr="00A079A6">
        <w:t xml:space="preserve"> y </w:t>
      </w:r>
      <w:proofErr w:type="spellStart"/>
      <w:r w:rsidRPr="00A079A6">
        <w:rPr>
          <w:b/>
        </w:rPr>
        <w:t>11.32A</w:t>
      </w:r>
      <w:proofErr w:type="spellEnd"/>
      <w:r w:rsidRPr="00A079A6">
        <w:rPr>
          <w:b/>
        </w:rPr>
        <w:t xml:space="preserve"> </w:t>
      </w:r>
      <w:r w:rsidRPr="00A079A6">
        <w:rPr>
          <w:bCs/>
        </w:rPr>
        <w:t xml:space="preserve">del </w:t>
      </w:r>
      <w:proofErr w:type="spellStart"/>
      <w:r w:rsidRPr="00A079A6">
        <w:rPr>
          <w:bCs/>
        </w:rPr>
        <w:t>RR</w:t>
      </w:r>
      <w:proofErr w:type="spellEnd"/>
      <w:r w:rsidRPr="00A079A6">
        <w:rPr>
          <w:bCs/>
        </w:rPr>
        <w:t xml:space="preserve"> </w:t>
      </w:r>
      <w:r w:rsidRPr="00A079A6">
        <w:t xml:space="preserve">(3.1.4.2.2), que hace el procedimiento de notificación del Artículo </w:t>
      </w:r>
      <w:r w:rsidRPr="00A079A6">
        <w:rPr>
          <w:b/>
          <w:bCs/>
        </w:rPr>
        <w:t>11</w:t>
      </w:r>
      <w:r w:rsidRPr="00A079A6">
        <w:t xml:space="preserve"> del </w:t>
      </w:r>
      <w:proofErr w:type="spellStart"/>
      <w:r w:rsidRPr="00A079A6">
        <w:t>RR</w:t>
      </w:r>
      <w:proofErr w:type="spellEnd"/>
      <w:r w:rsidRPr="00A079A6">
        <w:t xml:space="preserve"> más directo y práctico y reducirá en el futuro el número de aplicaciones del número </w:t>
      </w:r>
      <w:r w:rsidRPr="00A079A6">
        <w:rPr>
          <w:b/>
          <w:bCs/>
        </w:rPr>
        <w:t>11.41</w:t>
      </w:r>
      <w:r w:rsidRPr="00A079A6">
        <w:t xml:space="preserve"> del RR.</w:t>
      </w:r>
    </w:p>
    <w:p w14:paraId="13ECC1BF" w14:textId="77777777" w:rsidR="00E33013" w:rsidRPr="00A079A6" w:rsidRDefault="00E33013" w:rsidP="007F535B">
      <w:r w:rsidRPr="00A079A6">
        <w:t>En lo que respecta a los procedimientos reglamentarios para las bandas de frecuencias planificadas para el servicio de radiodifusión por satélite (</w:t>
      </w:r>
      <w:proofErr w:type="spellStart"/>
      <w:r w:rsidRPr="00A079A6">
        <w:t>SRS</w:t>
      </w:r>
      <w:proofErr w:type="spellEnd"/>
      <w:r w:rsidRPr="00A079A6">
        <w:t xml:space="preserve">) contempladas en los Apéndices </w:t>
      </w:r>
      <w:r w:rsidRPr="00A079A6">
        <w:rPr>
          <w:b/>
        </w:rPr>
        <w:t>30</w:t>
      </w:r>
      <w:r w:rsidRPr="00A079A6">
        <w:t xml:space="preserve"> y </w:t>
      </w:r>
      <w:proofErr w:type="spellStart"/>
      <w:r w:rsidRPr="00A079A6">
        <w:rPr>
          <w:b/>
        </w:rPr>
        <w:t>30A</w:t>
      </w:r>
      <w:proofErr w:type="spellEnd"/>
      <w:r w:rsidRPr="00A079A6">
        <w:t xml:space="preserve"> del </w:t>
      </w:r>
      <w:proofErr w:type="spellStart"/>
      <w:r w:rsidRPr="00A079A6">
        <w:t>RR</w:t>
      </w:r>
      <w:proofErr w:type="spellEnd"/>
      <w:r w:rsidRPr="00A079A6">
        <w:t xml:space="preserve">, estas propuestas europeas apoyan la introducción de recordatorios en los Apéndices </w:t>
      </w:r>
      <w:r w:rsidRPr="00A079A6">
        <w:rPr>
          <w:b/>
        </w:rPr>
        <w:t>30</w:t>
      </w:r>
      <w:r w:rsidRPr="00A079A6">
        <w:t xml:space="preserve"> y </w:t>
      </w:r>
      <w:proofErr w:type="spellStart"/>
      <w:r w:rsidRPr="00A079A6">
        <w:rPr>
          <w:b/>
        </w:rPr>
        <w:t>30A</w:t>
      </w:r>
      <w:proofErr w:type="spellEnd"/>
      <w:r w:rsidRPr="00A079A6">
        <w:t xml:space="preserve"> del </w:t>
      </w:r>
      <w:proofErr w:type="spellStart"/>
      <w:r w:rsidRPr="00A079A6">
        <w:t>RR</w:t>
      </w:r>
      <w:proofErr w:type="spellEnd"/>
      <w:r w:rsidRPr="00A079A6">
        <w:t xml:space="preserve"> en caso de acuerdos temporales entre redes de los Apéndices </w:t>
      </w:r>
      <w:r w:rsidRPr="00A079A6">
        <w:rPr>
          <w:b/>
          <w:bCs/>
        </w:rPr>
        <w:t>30</w:t>
      </w:r>
      <w:r w:rsidRPr="00A079A6">
        <w:t xml:space="preserve"> y </w:t>
      </w:r>
      <w:proofErr w:type="spellStart"/>
      <w:r w:rsidRPr="00A079A6">
        <w:rPr>
          <w:b/>
          <w:bCs/>
        </w:rPr>
        <w:t>30A</w:t>
      </w:r>
      <w:proofErr w:type="spellEnd"/>
      <w:r w:rsidRPr="00A079A6">
        <w:t xml:space="preserve"> del </w:t>
      </w:r>
      <w:proofErr w:type="spellStart"/>
      <w:r w:rsidRPr="00A079A6">
        <w:t>RR</w:t>
      </w:r>
      <w:proofErr w:type="spellEnd"/>
      <w:r w:rsidRPr="00A079A6">
        <w:t xml:space="preserve"> (3.2.4.2), así como en caso de superación de los 15 años de funcionamiento de las asignaciones de la Lista del </w:t>
      </w:r>
      <w:proofErr w:type="spellStart"/>
      <w:r w:rsidRPr="00A079A6">
        <w:t>SRS</w:t>
      </w:r>
      <w:proofErr w:type="spellEnd"/>
      <w:r w:rsidRPr="00A079A6">
        <w:t xml:space="preserve"> (3.2.4.3). También se proponen modificaciones a la sección 6 del Anexo 1 al Apéndice</w:t>
      </w:r>
      <w:r w:rsidR="00BF58D1" w:rsidRPr="00A079A6">
        <w:t> </w:t>
      </w:r>
      <w:r w:rsidRPr="00A079A6">
        <w:rPr>
          <w:b/>
          <w:bCs/>
        </w:rPr>
        <w:t xml:space="preserve">30 </w:t>
      </w:r>
      <w:r w:rsidRPr="00A079A6">
        <w:t>del</w:t>
      </w:r>
      <w:r w:rsidR="00BF58D1" w:rsidRPr="00A079A6">
        <w:t> </w:t>
      </w:r>
      <w:proofErr w:type="spellStart"/>
      <w:r w:rsidRPr="00A079A6">
        <w:t>RR</w:t>
      </w:r>
      <w:proofErr w:type="spellEnd"/>
      <w:r w:rsidRPr="00A079A6">
        <w:t xml:space="preserve"> para corregir las incoherencias entre diferentes secciones del Anexo 1 al Apéndice </w:t>
      </w:r>
      <w:r w:rsidRPr="00A079A6">
        <w:rPr>
          <w:b/>
          <w:bCs/>
        </w:rPr>
        <w:t>30</w:t>
      </w:r>
      <w:r w:rsidRPr="00A079A6">
        <w:t xml:space="preserve"> del </w:t>
      </w:r>
      <w:proofErr w:type="spellStart"/>
      <w:r w:rsidRPr="00A079A6">
        <w:t>RR</w:t>
      </w:r>
      <w:proofErr w:type="spellEnd"/>
      <w:r w:rsidRPr="00A079A6">
        <w:t xml:space="preserve"> y con el Anexo 4 del Apéndice </w:t>
      </w:r>
      <w:r w:rsidRPr="00A079A6">
        <w:rPr>
          <w:b/>
          <w:bCs/>
        </w:rPr>
        <w:t>30</w:t>
      </w:r>
      <w:r w:rsidRPr="00A079A6">
        <w:t xml:space="preserve"> del </w:t>
      </w:r>
      <w:proofErr w:type="spellStart"/>
      <w:r w:rsidRPr="00A079A6">
        <w:t>RR</w:t>
      </w:r>
      <w:proofErr w:type="spellEnd"/>
      <w:r w:rsidRPr="00A079A6">
        <w:rPr>
          <w:b/>
        </w:rPr>
        <w:t xml:space="preserve"> </w:t>
      </w:r>
      <w:r w:rsidRPr="00A079A6">
        <w:t>(3.2.4.8).</w:t>
      </w:r>
    </w:p>
    <w:p w14:paraId="7CD16C90" w14:textId="77777777" w:rsidR="00E33013" w:rsidRPr="00A079A6" w:rsidRDefault="00E33013" w:rsidP="00A9253A">
      <w:r w:rsidRPr="00A079A6">
        <w:t xml:space="preserve">Además, se apoya la incorporación de una Regla de Procedimiento relativa al número </w:t>
      </w:r>
      <w:r w:rsidRPr="00A079A6">
        <w:rPr>
          <w:b/>
          <w:bCs/>
        </w:rPr>
        <w:t>5.510</w:t>
      </w:r>
      <w:r w:rsidRPr="00A079A6">
        <w:t xml:space="preserve"> del </w:t>
      </w:r>
      <w:proofErr w:type="spellStart"/>
      <w:r w:rsidRPr="00A079A6">
        <w:t>RR</w:t>
      </w:r>
      <w:proofErr w:type="spellEnd"/>
      <w:r w:rsidRPr="00A079A6">
        <w:t xml:space="preserve"> (3.2.4.6), así como la incorporación de una nota al Artículo </w:t>
      </w:r>
      <w:proofErr w:type="spellStart"/>
      <w:r w:rsidRPr="00A079A6">
        <w:t>2A</w:t>
      </w:r>
      <w:proofErr w:type="spellEnd"/>
      <w:r w:rsidRPr="00A079A6">
        <w:t xml:space="preserve"> de los Apéndices </w:t>
      </w:r>
      <w:r w:rsidRPr="00A079A6">
        <w:rPr>
          <w:b/>
        </w:rPr>
        <w:t>30</w:t>
      </w:r>
      <w:r w:rsidRPr="00A079A6">
        <w:t xml:space="preserve"> y </w:t>
      </w:r>
      <w:proofErr w:type="spellStart"/>
      <w:r w:rsidRPr="00A079A6">
        <w:rPr>
          <w:b/>
        </w:rPr>
        <w:t>30A</w:t>
      </w:r>
      <w:proofErr w:type="spellEnd"/>
      <w:r w:rsidRPr="00A079A6">
        <w:t xml:space="preserve"> del </w:t>
      </w:r>
      <w:proofErr w:type="spellStart"/>
      <w:r w:rsidRPr="00A079A6">
        <w:t>RR</w:t>
      </w:r>
      <w:proofErr w:type="spellEnd"/>
      <w:r w:rsidRPr="00A079A6">
        <w:t xml:space="preserve"> para aclarar que el procedimiento de debida diligencia administrativa no es aplicable a las comunicaciones de </w:t>
      </w:r>
      <w:proofErr w:type="spellStart"/>
      <w:r w:rsidRPr="00A079A6">
        <w:t>SRS</w:t>
      </w:r>
      <w:proofErr w:type="spellEnd"/>
      <w:r w:rsidRPr="00A079A6">
        <w:t xml:space="preserve"> planificadas para funciones de operaciones espaciales (3.2.4.10).</w:t>
      </w:r>
    </w:p>
    <w:p w14:paraId="093EC8A7" w14:textId="56234F92" w:rsidR="00E33013" w:rsidRPr="00A079A6" w:rsidRDefault="00E33013" w:rsidP="00A9253A">
      <w:r w:rsidRPr="00A079A6">
        <w:t>Con respecto a los procedimientos reglamentarios de las redes planificadas del servicio fijo por satélite (</w:t>
      </w:r>
      <w:proofErr w:type="spellStart"/>
      <w:r w:rsidRPr="00A079A6">
        <w:t>SFS</w:t>
      </w:r>
      <w:proofErr w:type="spellEnd"/>
      <w:r w:rsidRPr="00A079A6">
        <w:t xml:space="preserve">) de Apéndice </w:t>
      </w:r>
      <w:proofErr w:type="spellStart"/>
      <w:r w:rsidRPr="00A079A6">
        <w:rPr>
          <w:b/>
          <w:bCs/>
        </w:rPr>
        <w:t>30B</w:t>
      </w:r>
      <w:proofErr w:type="spellEnd"/>
      <w:r w:rsidRPr="00A079A6">
        <w:t xml:space="preserve"> del </w:t>
      </w:r>
      <w:proofErr w:type="spellStart"/>
      <w:r w:rsidRPr="00A079A6">
        <w:t>RR</w:t>
      </w:r>
      <w:proofErr w:type="spellEnd"/>
      <w:r w:rsidRPr="00A079A6">
        <w:t>, estas propuestas europeas apoyan la supresión del periodo obligatorio de 2 años para la puesta en servicio del §</w:t>
      </w:r>
      <w:r w:rsidR="001C27F7" w:rsidRPr="00A079A6">
        <w:t> </w:t>
      </w:r>
      <w:r w:rsidRPr="00A079A6">
        <w:t xml:space="preserve">6.1 del Apéndice </w:t>
      </w:r>
      <w:proofErr w:type="spellStart"/>
      <w:r w:rsidRPr="00A079A6">
        <w:rPr>
          <w:b/>
          <w:bCs/>
        </w:rPr>
        <w:t>30B</w:t>
      </w:r>
      <w:proofErr w:type="spellEnd"/>
      <w:r w:rsidRPr="00A079A6">
        <w:t xml:space="preserve"> del </w:t>
      </w:r>
      <w:proofErr w:type="spellStart"/>
      <w:r w:rsidRPr="00A079A6">
        <w:t>RR</w:t>
      </w:r>
      <w:proofErr w:type="spellEnd"/>
      <w:r w:rsidRPr="00A079A6">
        <w:rPr>
          <w:b/>
        </w:rPr>
        <w:t xml:space="preserve"> </w:t>
      </w:r>
      <w:r w:rsidRPr="00A079A6">
        <w:t>(3.2.5.1), y proponen la modificación el §</w:t>
      </w:r>
      <w:r w:rsidR="001C27F7" w:rsidRPr="00A079A6">
        <w:t> </w:t>
      </w:r>
      <w:r w:rsidRPr="00A079A6">
        <w:t xml:space="preserve">6.16 del Apéndice </w:t>
      </w:r>
      <w:proofErr w:type="spellStart"/>
      <w:r w:rsidRPr="00A079A6">
        <w:rPr>
          <w:b/>
        </w:rPr>
        <w:t>30B</w:t>
      </w:r>
      <w:proofErr w:type="spellEnd"/>
      <w:r w:rsidRPr="00A079A6">
        <w:t xml:space="preserve"> para permitir desplazar los puntos de prueba en caso de solicitud de exclusión de un país en cuyo territorio se sitúan esos puntos de prueba</w:t>
      </w:r>
      <w:r w:rsidR="00FB2409" w:rsidRPr="00A079A6">
        <w:t> </w:t>
      </w:r>
      <w:r w:rsidRPr="00A079A6">
        <w:t>(3.2.5.2).</w:t>
      </w:r>
    </w:p>
    <w:p w14:paraId="48A4575B" w14:textId="452EA2FC" w:rsidR="00E33013" w:rsidRPr="00A079A6" w:rsidRDefault="00E33013" w:rsidP="00A9253A">
      <w:r w:rsidRPr="00A079A6">
        <w:t>En el caso del plazo de dos meses para la publicación del contenido de una notificación en el §</w:t>
      </w:r>
      <w:r w:rsidR="001C27F7" w:rsidRPr="00A079A6">
        <w:t> </w:t>
      </w:r>
      <w:r w:rsidRPr="00A079A6">
        <w:t xml:space="preserve">8.5 del Apéndice </w:t>
      </w:r>
      <w:proofErr w:type="spellStart"/>
      <w:r w:rsidRPr="00A079A6">
        <w:rPr>
          <w:b/>
          <w:bCs/>
        </w:rPr>
        <w:t>30B</w:t>
      </w:r>
      <w:proofErr w:type="spellEnd"/>
      <w:r w:rsidRPr="00A079A6">
        <w:rPr>
          <w:b/>
          <w:bCs/>
        </w:rPr>
        <w:t xml:space="preserve"> </w:t>
      </w:r>
      <w:r w:rsidRPr="00A079A6">
        <w:rPr>
          <w:bCs/>
        </w:rPr>
        <w:t xml:space="preserve">del </w:t>
      </w:r>
      <w:proofErr w:type="spellStart"/>
      <w:r w:rsidRPr="00A079A6">
        <w:rPr>
          <w:bCs/>
        </w:rPr>
        <w:t>RR</w:t>
      </w:r>
      <w:proofErr w:type="spellEnd"/>
      <w:r w:rsidRPr="00A079A6">
        <w:t xml:space="preserve"> (3.2.5.3), se propone modificar esta disposición a fin de corregir la incoherencia actual y diferenciar dos casos posibles de presentación de notificaciones en virtud del Apéndice </w:t>
      </w:r>
      <w:proofErr w:type="spellStart"/>
      <w:r w:rsidRPr="00A079A6">
        <w:rPr>
          <w:b/>
          <w:bCs/>
        </w:rPr>
        <w:t>30B</w:t>
      </w:r>
      <w:proofErr w:type="spellEnd"/>
      <w:r w:rsidRPr="00A079A6">
        <w:t xml:space="preserve"> del RR.</w:t>
      </w:r>
    </w:p>
    <w:p w14:paraId="63B809BC" w14:textId="1C5A4A45" w:rsidR="00E33013" w:rsidRPr="00A079A6" w:rsidRDefault="00E33013" w:rsidP="00A9253A">
      <w:r w:rsidRPr="00A079A6">
        <w:t>Además, estas propuestas europeas apoyan las modificaciones del §</w:t>
      </w:r>
      <w:r w:rsidR="001C27F7" w:rsidRPr="00A079A6">
        <w:t> </w:t>
      </w:r>
      <w:r w:rsidRPr="00A079A6">
        <w:t xml:space="preserve">6.19 del Apéndice </w:t>
      </w:r>
      <w:proofErr w:type="spellStart"/>
      <w:r w:rsidRPr="00A079A6">
        <w:rPr>
          <w:b/>
        </w:rPr>
        <w:t>30B</w:t>
      </w:r>
      <w:proofErr w:type="spellEnd"/>
      <w:r w:rsidRPr="00A079A6">
        <w:t xml:space="preserve"> (3.2.5.7) a fin de incluir, para la administración notificante de la asignación para su inclusión en la Lista del Apéndice </w:t>
      </w:r>
      <w:proofErr w:type="spellStart"/>
      <w:r w:rsidRPr="00A079A6">
        <w:rPr>
          <w:b/>
          <w:bCs/>
        </w:rPr>
        <w:t>30B</w:t>
      </w:r>
      <w:proofErr w:type="spellEnd"/>
      <w:r w:rsidRPr="00A079A6">
        <w:t xml:space="preserve"> del </w:t>
      </w:r>
      <w:proofErr w:type="spellStart"/>
      <w:r w:rsidRPr="00A079A6">
        <w:t>RR</w:t>
      </w:r>
      <w:proofErr w:type="spellEnd"/>
      <w:r w:rsidRPr="00A079A6">
        <w:t>, la obligación de obtener explícitamente los acuerdos de todas las administraciones cuyos territorios están dentro de la zona de servicio definitiva</w:t>
      </w:r>
      <w:r w:rsidR="007F535B" w:rsidRPr="00A079A6">
        <w:t>.</w:t>
      </w:r>
    </w:p>
    <w:p w14:paraId="265A5CAC" w14:textId="77777777" w:rsidR="00E33013" w:rsidRPr="00A079A6" w:rsidRDefault="00E33013" w:rsidP="00A9253A">
      <w:r w:rsidRPr="00A079A6">
        <w:t xml:space="preserve">Finalmente, estas administraciones europeas apoyan las modificaciones de la Resolución </w:t>
      </w:r>
      <w:r w:rsidRPr="00A079A6">
        <w:rPr>
          <w:b/>
        </w:rPr>
        <w:t>49 (</w:t>
      </w:r>
      <w:proofErr w:type="spellStart"/>
      <w:r w:rsidRPr="00A079A6">
        <w:rPr>
          <w:b/>
        </w:rPr>
        <w:t>Rev.CMR</w:t>
      </w:r>
      <w:proofErr w:type="spellEnd"/>
      <w:r w:rsidRPr="00A079A6">
        <w:rPr>
          <w:b/>
        </w:rPr>
        <w:t>-15)</w:t>
      </w:r>
      <w:r w:rsidRPr="00A079A6">
        <w:t xml:space="preserve"> (3.3.1) a fin de corregir las incoherencias en relación con el plazo de presentación de la información de debida diligencia, así como eliminar todas las medidas transitorias que se definieron hace mucho tiempo y que ya son necesarias en el texto de la Resolución. Además, se incluye en la revisión del texto de la Resolución </w:t>
      </w:r>
      <w:r w:rsidRPr="00A079A6">
        <w:rPr>
          <w:b/>
          <w:bCs/>
        </w:rPr>
        <w:t>49 (</w:t>
      </w:r>
      <w:proofErr w:type="spellStart"/>
      <w:r w:rsidRPr="00A079A6">
        <w:rPr>
          <w:b/>
          <w:bCs/>
        </w:rPr>
        <w:t>Rev.CMR</w:t>
      </w:r>
      <w:proofErr w:type="spellEnd"/>
      <w:r w:rsidRPr="00A079A6">
        <w:rPr>
          <w:b/>
          <w:bCs/>
        </w:rPr>
        <w:t>-15)</w:t>
      </w:r>
      <w:r w:rsidRPr="00A079A6">
        <w:t xml:space="preserve"> la obligación de actualizar la información de debida diligencia.</w:t>
      </w:r>
    </w:p>
    <w:p w14:paraId="73A1F11F" w14:textId="77777777" w:rsidR="00E33013" w:rsidRPr="00A079A6" w:rsidRDefault="00E33013" w:rsidP="00A9253A">
      <w:r w:rsidRPr="00A079A6">
        <w:t xml:space="preserve">Las propuestas europeas resumidas en el texto anterior están dividas en 14 </w:t>
      </w:r>
      <w:proofErr w:type="spellStart"/>
      <w:r w:rsidRPr="00A079A6">
        <w:t>Addenda</w:t>
      </w:r>
      <w:proofErr w:type="spellEnd"/>
      <w:r w:rsidRPr="00A079A6">
        <w:t xml:space="preserve"> diferentes. Para cada </w:t>
      </w:r>
      <w:proofErr w:type="spellStart"/>
      <w:r w:rsidRPr="00A079A6">
        <w:t>Addéndum</w:t>
      </w:r>
      <w:proofErr w:type="spellEnd"/>
      <w:r w:rsidRPr="00A079A6">
        <w:t>, se indica también el número de apartado correspondiente del Informe del Director.</w:t>
      </w:r>
    </w:p>
    <w:p w14:paraId="26AC2CC5" w14:textId="77777777" w:rsidR="00E33013" w:rsidRPr="00A079A6" w:rsidRDefault="00E33013" w:rsidP="00F65E8D">
      <w:pPr>
        <w:pStyle w:val="enumlev1"/>
      </w:pPr>
      <w:proofErr w:type="spellStart"/>
      <w:r w:rsidRPr="00A079A6">
        <w:rPr>
          <w:b/>
          <w:bCs/>
        </w:rPr>
        <w:t>Addéndum</w:t>
      </w:r>
      <w:proofErr w:type="spellEnd"/>
      <w:r w:rsidRPr="00A079A6">
        <w:rPr>
          <w:b/>
          <w:bCs/>
        </w:rPr>
        <w:t xml:space="preserve"> 1</w:t>
      </w:r>
      <w:r w:rsidRPr="00A079A6">
        <w:tab/>
        <w:t xml:space="preserve">Parte 1 </w:t>
      </w:r>
      <w:r w:rsidR="00D6680A" w:rsidRPr="00A079A6">
        <w:t>–</w:t>
      </w:r>
      <w:r w:rsidRPr="00A079A6">
        <w:t xml:space="preserve"> Cese de la Publicación de API/C en la BR (3.1.3.1)</w:t>
      </w:r>
    </w:p>
    <w:p w14:paraId="363E5ACF" w14:textId="77777777" w:rsidR="00E33013" w:rsidRPr="00A079A6" w:rsidRDefault="00E33013" w:rsidP="00F65E8D">
      <w:pPr>
        <w:pStyle w:val="enumlev1"/>
        <w:ind w:left="1871" w:hanging="1871"/>
      </w:pPr>
      <w:proofErr w:type="spellStart"/>
      <w:r w:rsidRPr="00A079A6">
        <w:rPr>
          <w:b/>
          <w:bCs/>
        </w:rPr>
        <w:t>Addéndum</w:t>
      </w:r>
      <w:proofErr w:type="spellEnd"/>
      <w:r w:rsidRPr="00A079A6">
        <w:rPr>
          <w:b/>
          <w:bCs/>
        </w:rPr>
        <w:t xml:space="preserve"> 2</w:t>
      </w:r>
      <w:r w:rsidRPr="00A079A6">
        <w:tab/>
        <w:t xml:space="preserve">Parte 2 </w:t>
      </w:r>
      <w:r w:rsidR="00D6680A" w:rsidRPr="00A079A6">
        <w:t>–</w:t>
      </w:r>
      <w:r w:rsidRPr="00A079A6">
        <w:t xml:space="preserve"> Requisito de un informe sobre los avances registrados en virtud del número </w:t>
      </w:r>
      <w:r w:rsidRPr="00A079A6">
        <w:rPr>
          <w:b/>
          <w:bCs/>
        </w:rPr>
        <w:t>9.4</w:t>
      </w:r>
      <w:r w:rsidRPr="00A079A6">
        <w:t xml:space="preserve"> del </w:t>
      </w:r>
      <w:proofErr w:type="spellStart"/>
      <w:r w:rsidRPr="00A079A6">
        <w:t>RR</w:t>
      </w:r>
      <w:proofErr w:type="spellEnd"/>
      <w:r w:rsidRPr="00A079A6">
        <w:t xml:space="preserve"> (3.1.3.3)</w:t>
      </w:r>
    </w:p>
    <w:p w14:paraId="112E777E" w14:textId="77777777" w:rsidR="00E33013" w:rsidRPr="00A079A6" w:rsidRDefault="00E33013" w:rsidP="00A9253A">
      <w:pPr>
        <w:pStyle w:val="enumlev1"/>
        <w:ind w:left="1871" w:hanging="1871"/>
      </w:pPr>
      <w:proofErr w:type="spellStart"/>
      <w:r w:rsidRPr="00A079A6">
        <w:rPr>
          <w:b/>
          <w:bCs/>
        </w:rPr>
        <w:t>Addéndum</w:t>
      </w:r>
      <w:proofErr w:type="spellEnd"/>
      <w:r w:rsidRPr="00A079A6">
        <w:rPr>
          <w:b/>
          <w:bCs/>
        </w:rPr>
        <w:t xml:space="preserve"> 3</w:t>
      </w:r>
      <w:r w:rsidRPr="00A079A6">
        <w:tab/>
        <w:t xml:space="preserve">Parte 3 </w:t>
      </w:r>
      <w:r w:rsidR="00D6680A" w:rsidRPr="00A079A6">
        <w:t>–</w:t>
      </w:r>
      <w:r w:rsidRPr="00A079A6">
        <w:t xml:space="preserve"> Procedimiento de reanudación del servicio tras la suspensión de una asignación (3.1.4.1)</w:t>
      </w:r>
    </w:p>
    <w:p w14:paraId="3EAACA68" w14:textId="77777777" w:rsidR="00E33013" w:rsidRPr="00A079A6" w:rsidRDefault="00E33013" w:rsidP="00A9253A">
      <w:pPr>
        <w:pStyle w:val="enumlev1"/>
        <w:ind w:left="1871" w:hanging="1871"/>
      </w:pPr>
      <w:proofErr w:type="spellStart"/>
      <w:r w:rsidRPr="00A079A6">
        <w:rPr>
          <w:b/>
        </w:rPr>
        <w:lastRenderedPageBreak/>
        <w:t>Addéndum</w:t>
      </w:r>
      <w:proofErr w:type="spellEnd"/>
      <w:r w:rsidRPr="00A079A6">
        <w:rPr>
          <w:b/>
        </w:rPr>
        <w:t xml:space="preserve"> 4</w:t>
      </w:r>
      <w:r w:rsidRPr="00A079A6">
        <w:tab/>
        <w:t xml:space="preserve">Parte 4 </w:t>
      </w:r>
      <w:r w:rsidR="00D6680A" w:rsidRPr="00A079A6">
        <w:t>–</w:t>
      </w:r>
      <w:r w:rsidRPr="00A079A6">
        <w:t xml:space="preserve"> Indicación, a nivel de notificación, del estado de la coordinación con arreglo al número </w:t>
      </w:r>
      <w:r w:rsidRPr="00A079A6">
        <w:rPr>
          <w:b/>
          <w:bCs/>
        </w:rPr>
        <w:t>9.7</w:t>
      </w:r>
      <w:r w:rsidRPr="00A079A6">
        <w:t xml:space="preserve"> del </w:t>
      </w:r>
      <w:proofErr w:type="spellStart"/>
      <w:r w:rsidRPr="00A079A6">
        <w:t>RR</w:t>
      </w:r>
      <w:proofErr w:type="spellEnd"/>
      <w:r w:rsidRPr="00A079A6">
        <w:t xml:space="preserve"> para su examen con arreglo al número </w:t>
      </w:r>
      <w:proofErr w:type="spellStart"/>
      <w:r w:rsidRPr="00A079A6">
        <w:rPr>
          <w:b/>
          <w:bCs/>
        </w:rPr>
        <w:t>11.32A</w:t>
      </w:r>
      <w:proofErr w:type="spellEnd"/>
      <w:r w:rsidRPr="00A079A6">
        <w:t xml:space="preserve"> del</w:t>
      </w:r>
      <w:r w:rsidR="00A9253A" w:rsidRPr="00A079A6">
        <w:t> </w:t>
      </w:r>
      <w:proofErr w:type="spellStart"/>
      <w:r w:rsidRPr="00A079A6">
        <w:t>RR</w:t>
      </w:r>
      <w:proofErr w:type="spellEnd"/>
      <w:r w:rsidRPr="00A079A6">
        <w:t xml:space="preserve"> (3.1.4.2.2)</w:t>
      </w:r>
    </w:p>
    <w:p w14:paraId="3923C303" w14:textId="77777777" w:rsidR="00E33013" w:rsidRPr="00A079A6" w:rsidRDefault="00E33013" w:rsidP="00A9253A">
      <w:pPr>
        <w:pStyle w:val="enumlev1"/>
        <w:ind w:left="1871" w:hanging="1871"/>
      </w:pPr>
      <w:proofErr w:type="spellStart"/>
      <w:r w:rsidRPr="00A079A6">
        <w:rPr>
          <w:b/>
        </w:rPr>
        <w:t>Addéndum</w:t>
      </w:r>
      <w:proofErr w:type="spellEnd"/>
      <w:r w:rsidRPr="00A079A6">
        <w:rPr>
          <w:b/>
        </w:rPr>
        <w:t xml:space="preserve"> 5</w:t>
      </w:r>
      <w:r w:rsidRPr="00A079A6">
        <w:tab/>
        <w:t xml:space="preserve">Parte 5 </w:t>
      </w:r>
      <w:r w:rsidR="00D6680A" w:rsidRPr="00A079A6">
        <w:t>–</w:t>
      </w:r>
      <w:r w:rsidRPr="00A079A6">
        <w:t xml:space="preserve"> Modificaciones de la Resolución </w:t>
      </w:r>
      <w:r w:rsidRPr="00A079A6">
        <w:rPr>
          <w:b/>
        </w:rPr>
        <w:t>49 (</w:t>
      </w:r>
      <w:proofErr w:type="spellStart"/>
      <w:r w:rsidRPr="00A079A6">
        <w:rPr>
          <w:b/>
        </w:rPr>
        <w:t>Rev.CMR</w:t>
      </w:r>
      <w:proofErr w:type="spellEnd"/>
      <w:r w:rsidRPr="00A079A6">
        <w:rPr>
          <w:b/>
        </w:rPr>
        <w:t>-15)</w:t>
      </w:r>
      <w:r w:rsidRPr="00A079A6">
        <w:t xml:space="preserve"> (3.3.1)</w:t>
      </w:r>
    </w:p>
    <w:p w14:paraId="2BFD0BA7" w14:textId="77777777" w:rsidR="00E33013" w:rsidRPr="00A079A6" w:rsidRDefault="00E33013" w:rsidP="00A9253A">
      <w:pPr>
        <w:pStyle w:val="enumlev1"/>
        <w:ind w:left="1871" w:hanging="1871"/>
      </w:pPr>
      <w:proofErr w:type="spellStart"/>
      <w:r w:rsidRPr="00A079A6">
        <w:rPr>
          <w:b/>
        </w:rPr>
        <w:t>Addéndum</w:t>
      </w:r>
      <w:proofErr w:type="spellEnd"/>
      <w:r w:rsidRPr="00A079A6">
        <w:rPr>
          <w:b/>
        </w:rPr>
        <w:t xml:space="preserve"> 6</w:t>
      </w:r>
      <w:r w:rsidRPr="00A079A6">
        <w:tab/>
        <w:t xml:space="preserve">Parte 6 </w:t>
      </w:r>
      <w:r w:rsidR="00D6680A" w:rsidRPr="00A079A6">
        <w:t>–</w:t>
      </w:r>
      <w:r w:rsidRPr="00A079A6">
        <w:t xml:space="preserve"> Recordatorio antes de la finalización de los acuerdos temporales entre redes de los Apéndices </w:t>
      </w:r>
      <w:r w:rsidRPr="00A079A6">
        <w:rPr>
          <w:b/>
          <w:bCs/>
        </w:rPr>
        <w:t>30</w:t>
      </w:r>
      <w:r w:rsidRPr="00A079A6">
        <w:t xml:space="preserve"> y </w:t>
      </w:r>
      <w:proofErr w:type="spellStart"/>
      <w:r w:rsidRPr="00A079A6">
        <w:rPr>
          <w:b/>
          <w:bCs/>
        </w:rPr>
        <w:t>30A</w:t>
      </w:r>
      <w:proofErr w:type="spellEnd"/>
      <w:r w:rsidRPr="00A079A6">
        <w:t xml:space="preserve"> del </w:t>
      </w:r>
      <w:proofErr w:type="spellStart"/>
      <w:r w:rsidRPr="00A079A6">
        <w:t>RR</w:t>
      </w:r>
      <w:proofErr w:type="spellEnd"/>
      <w:r w:rsidRPr="00A079A6">
        <w:t xml:space="preserve"> (3.2.4.2)</w:t>
      </w:r>
    </w:p>
    <w:p w14:paraId="25B4DD09" w14:textId="77777777" w:rsidR="00E33013" w:rsidRPr="00A079A6" w:rsidRDefault="00E33013" w:rsidP="00F65E8D">
      <w:pPr>
        <w:pStyle w:val="enumlev1"/>
        <w:ind w:left="1871" w:hanging="1871"/>
      </w:pPr>
      <w:proofErr w:type="spellStart"/>
      <w:r w:rsidRPr="00A079A6">
        <w:rPr>
          <w:b/>
        </w:rPr>
        <w:t>Addéndum</w:t>
      </w:r>
      <w:proofErr w:type="spellEnd"/>
      <w:r w:rsidRPr="00A079A6">
        <w:rPr>
          <w:b/>
        </w:rPr>
        <w:t xml:space="preserve"> 7</w:t>
      </w:r>
      <w:r w:rsidRPr="00A079A6">
        <w:tab/>
        <w:t xml:space="preserve">Parte 7 </w:t>
      </w:r>
      <w:r w:rsidR="00320B51" w:rsidRPr="00A079A6">
        <w:t xml:space="preserve">– </w:t>
      </w:r>
      <w:r w:rsidRPr="00A079A6">
        <w:t xml:space="preserve">Recordatorio antes de la finalización de los 15 años de funcionamiento de una asignación de la Listas de las Regiones 1 y 3 de los Apéndices </w:t>
      </w:r>
      <w:r w:rsidRPr="00A079A6">
        <w:rPr>
          <w:b/>
        </w:rPr>
        <w:t>30</w:t>
      </w:r>
      <w:r w:rsidRPr="00A079A6">
        <w:t xml:space="preserve"> y </w:t>
      </w:r>
      <w:proofErr w:type="spellStart"/>
      <w:r w:rsidRPr="00A079A6">
        <w:rPr>
          <w:b/>
        </w:rPr>
        <w:t>30A</w:t>
      </w:r>
      <w:proofErr w:type="spellEnd"/>
      <w:r w:rsidRPr="00A079A6">
        <w:t xml:space="preserve"> (3.2.4.3)</w:t>
      </w:r>
    </w:p>
    <w:p w14:paraId="2690742B" w14:textId="77777777" w:rsidR="00E33013" w:rsidRPr="00A079A6" w:rsidRDefault="00E33013" w:rsidP="00F65E8D">
      <w:pPr>
        <w:pStyle w:val="enumlev1"/>
        <w:ind w:left="1871" w:hanging="1871"/>
      </w:pPr>
      <w:proofErr w:type="spellStart"/>
      <w:r w:rsidRPr="00A079A6">
        <w:rPr>
          <w:b/>
        </w:rPr>
        <w:t>Addéndum</w:t>
      </w:r>
      <w:proofErr w:type="spellEnd"/>
      <w:r w:rsidRPr="00A079A6">
        <w:rPr>
          <w:b/>
        </w:rPr>
        <w:t xml:space="preserve"> 8</w:t>
      </w:r>
      <w:r w:rsidRPr="00A079A6">
        <w:tab/>
        <w:t xml:space="preserve">Parte 8 </w:t>
      </w:r>
      <w:r w:rsidR="00320B51" w:rsidRPr="00A079A6">
        <w:t>–</w:t>
      </w:r>
      <w:r w:rsidRPr="00A079A6">
        <w:t xml:space="preserve"> Regla de Procedimiento relativa al número </w:t>
      </w:r>
      <w:r w:rsidRPr="00A079A6">
        <w:rPr>
          <w:b/>
          <w:bCs/>
        </w:rPr>
        <w:t>5.510</w:t>
      </w:r>
      <w:r w:rsidRPr="00A079A6">
        <w:t xml:space="preserve"> del </w:t>
      </w:r>
      <w:proofErr w:type="spellStart"/>
      <w:r w:rsidRPr="00A079A6">
        <w:t>RR</w:t>
      </w:r>
      <w:proofErr w:type="spellEnd"/>
      <w:r w:rsidRPr="00A079A6">
        <w:t xml:space="preserve"> (3.2.4.6)</w:t>
      </w:r>
    </w:p>
    <w:p w14:paraId="0EC55D8E" w14:textId="77777777" w:rsidR="00E33013" w:rsidRPr="00A079A6" w:rsidRDefault="00E33013" w:rsidP="00F65E8D">
      <w:pPr>
        <w:pStyle w:val="enumlev1"/>
        <w:ind w:left="1871" w:hanging="1871"/>
      </w:pPr>
      <w:proofErr w:type="spellStart"/>
      <w:r w:rsidRPr="00A079A6">
        <w:rPr>
          <w:b/>
        </w:rPr>
        <w:t>Addéndum</w:t>
      </w:r>
      <w:proofErr w:type="spellEnd"/>
      <w:r w:rsidRPr="00A079A6">
        <w:rPr>
          <w:b/>
        </w:rPr>
        <w:t xml:space="preserve"> 9</w:t>
      </w:r>
      <w:r w:rsidRPr="00A079A6">
        <w:tab/>
        <w:t xml:space="preserve">Parte 9 </w:t>
      </w:r>
      <w:r w:rsidR="00320B51" w:rsidRPr="00A079A6">
        <w:t>–</w:t>
      </w:r>
      <w:r w:rsidRPr="00A079A6">
        <w:t xml:space="preserve"> Incoherencias en la sección 6 del Anexo 1 al Apéndice </w:t>
      </w:r>
      <w:r w:rsidRPr="00A079A6">
        <w:rPr>
          <w:b/>
          <w:bCs/>
        </w:rPr>
        <w:t>30</w:t>
      </w:r>
      <w:r w:rsidRPr="00A079A6">
        <w:t xml:space="preserve"> del </w:t>
      </w:r>
      <w:proofErr w:type="spellStart"/>
      <w:r w:rsidRPr="00A079A6">
        <w:t>RR</w:t>
      </w:r>
      <w:proofErr w:type="spellEnd"/>
      <w:r w:rsidRPr="00A079A6">
        <w:t xml:space="preserve"> (3.2.4.8)</w:t>
      </w:r>
    </w:p>
    <w:p w14:paraId="44A2D273" w14:textId="77777777" w:rsidR="00E33013" w:rsidRPr="00A079A6" w:rsidRDefault="00E33013" w:rsidP="00F65E8D">
      <w:pPr>
        <w:pStyle w:val="enumlev1"/>
        <w:ind w:left="1871" w:hanging="1871"/>
      </w:pPr>
      <w:proofErr w:type="spellStart"/>
      <w:r w:rsidRPr="00A079A6">
        <w:rPr>
          <w:b/>
          <w:bCs/>
        </w:rPr>
        <w:t>Addéndum</w:t>
      </w:r>
      <w:proofErr w:type="spellEnd"/>
      <w:r w:rsidRPr="00A079A6">
        <w:rPr>
          <w:b/>
          <w:bCs/>
        </w:rPr>
        <w:t xml:space="preserve"> 10</w:t>
      </w:r>
      <w:r w:rsidRPr="00A079A6">
        <w:tab/>
        <w:t xml:space="preserve">Parte 10 </w:t>
      </w:r>
      <w:r w:rsidR="00320B51" w:rsidRPr="00A079A6">
        <w:t>–</w:t>
      </w:r>
      <w:r w:rsidRPr="00A079A6">
        <w:t xml:space="preserve"> No aplicabilidad de la Resolución </w:t>
      </w:r>
      <w:r w:rsidRPr="00A079A6">
        <w:rPr>
          <w:b/>
          <w:bCs/>
        </w:rPr>
        <w:t xml:space="preserve">49 </w:t>
      </w:r>
      <w:r w:rsidRPr="00A079A6">
        <w:t xml:space="preserve">a las notificaciones con arreglo al Artículo </w:t>
      </w:r>
      <w:proofErr w:type="spellStart"/>
      <w:r w:rsidRPr="00A079A6">
        <w:t>2A</w:t>
      </w:r>
      <w:proofErr w:type="spellEnd"/>
      <w:r w:rsidRPr="00A079A6">
        <w:t xml:space="preserve"> de los Apéndices </w:t>
      </w:r>
      <w:r w:rsidRPr="00A079A6">
        <w:rPr>
          <w:b/>
          <w:bCs/>
        </w:rPr>
        <w:t>30</w:t>
      </w:r>
      <w:r w:rsidRPr="00A079A6">
        <w:t xml:space="preserve"> y </w:t>
      </w:r>
      <w:proofErr w:type="spellStart"/>
      <w:r w:rsidRPr="00A079A6">
        <w:rPr>
          <w:b/>
          <w:bCs/>
        </w:rPr>
        <w:t>30A</w:t>
      </w:r>
      <w:proofErr w:type="spellEnd"/>
      <w:r w:rsidRPr="00A079A6">
        <w:t xml:space="preserve"> del </w:t>
      </w:r>
      <w:proofErr w:type="spellStart"/>
      <w:r w:rsidRPr="00A079A6">
        <w:t>RR</w:t>
      </w:r>
      <w:proofErr w:type="spellEnd"/>
      <w:r w:rsidRPr="00A079A6">
        <w:t xml:space="preserve"> (3.2.4.10)</w:t>
      </w:r>
    </w:p>
    <w:p w14:paraId="357052A8" w14:textId="01626C93" w:rsidR="00E33013" w:rsidRPr="00A079A6" w:rsidRDefault="00E33013" w:rsidP="00F65E8D">
      <w:pPr>
        <w:pStyle w:val="enumlev1"/>
        <w:ind w:left="1871" w:hanging="1871"/>
      </w:pPr>
      <w:proofErr w:type="spellStart"/>
      <w:r w:rsidRPr="00A079A6">
        <w:rPr>
          <w:b/>
        </w:rPr>
        <w:t>Addéndum</w:t>
      </w:r>
      <w:proofErr w:type="spellEnd"/>
      <w:r w:rsidRPr="00A079A6">
        <w:rPr>
          <w:b/>
        </w:rPr>
        <w:t xml:space="preserve"> 11</w:t>
      </w:r>
      <w:r w:rsidRPr="00A079A6">
        <w:tab/>
        <w:t xml:space="preserve">Parte 11 </w:t>
      </w:r>
      <w:r w:rsidR="00320B51" w:rsidRPr="00A079A6">
        <w:t>–</w:t>
      </w:r>
      <w:r w:rsidRPr="00A079A6">
        <w:t xml:space="preserve"> Supresión del periodo obligatorio de 2 años para la puesta en servicio del §</w:t>
      </w:r>
      <w:r w:rsidR="001C27F7" w:rsidRPr="00A079A6">
        <w:t> </w:t>
      </w:r>
      <w:r w:rsidRPr="00A079A6">
        <w:t xml:space="preserve">6.1 del Apéndice </w:t>
      </w:r>
      <w:proofErr w:type="spellStart"/>
      <w:r w:rsidRPr="00A079A6">
        <w:rPr>
          <w:b/>
          <w:bCs/>
        </w:rPr>
        <w:t>30B</w:t>
      </w:r>
      <w:proofErr w:type="spellEnd"/>
      <w:r w:rsidRPr="00A079A6">
        <w:t xml:space="preserve"> del </w:t>
      </w:r>
      <w:proofErr w:type="spellStart"/>
      <w:r w:rsidRPr="00A079A6">
        <w:t>RR</w:t>
      </w:r>
      <w:proofErr w:type="spellEnd"/>
      <w:r w:rsidRPr="00A079A6">
        <w:t xml:space="preserve"> (3.2.5.1)</w:t>
      </w:r>
    </w:p>
    <w:p w14:paraId="311FB872" w14:textId="72B2C42D" w:rsidR="00E33013" w:rsidRPr="00A079A6" w:rsidRDefault="00E33013" w:rsidP="00F65E8D">
      <w:pPr>
        <w:pStyle w:val="enumlev1"/>
        <w:ind w:left="1871" w:hanging="1871"/>
      </w:pPr>
      <w:proofErr w:type="spellStart"/>
      <w:r w:rsidRPr="00A079A6">
        <w:rPr>
          <w:b/>
        </w:rPr>
        <w:t>Addéndum</w:t>
      </w:r>
      <w:proofErr w:type="spellEnd"/>
      <w:r w:rsidRPr="00A079A6">
        <w:rPr>
          <w:b/>
        </w:rPr>
        <w:t xml:space="preserve"> 12</w:t>
      </w:r>
      <w:r w:rsidRPr="00A079A6">
        <w:tab/>
        <w:t xml:space="preserve">Parte 12 </w:t>
      </w:r>
      <w:r w:rsidR="00320B51" w:rsidRPr="00A079A6">
        <w:t xml:space="preserve">– </w:t>
      </w:r>
      <w:r w:rsidRPr="00A079A6">
        <w:t>Desplazamiento de los puntos de prueba de enlace descendente tras la aplicación del §</w:t>
      </w:r>
      <w:r w:rsidR="001C27F7" w:rsidRPr="00A079A6">
        <w:t> </w:t>
      </w:r>
      <w:r w:rsidRPr="00A079A6">
        <w:t xml:space="preserve">6.16 del Apéndice </w:t>
      </w:r>
      <w:proofErr w:type="spellStart"/>
      <w:r w:rsidRPr="00A079A6">
        <w:rPr>
          <w:b/>
        </w:rPr>
        <w:t>30B</w:t>
      </w:r>
      <w:proofErr w:type="spellEnd"/>
      <w:r w:rsidRPr="00A079A6">
        <w:t xml:space="preserve"> del </w:t>
      </w:r>
      <w:proofErr w:type="spellStart"/>
      <w:r w:rsidRPr="00A079A6">
        <w:t>RR</w:t>
      </w:r>
      <w:proofErr w:type="spellEnd"/>
      <w:r w:rsidRPr="00A079A6">
        <w:t xml:space="preserve"> (3.2.5.2)</w:t>
      </w:r>
    </w:p>
    <w:p w14:paraId="28F3B6D8" w14:textId="2247775B" w:rsidR="00E33013" w:rsidRPr="00A079A6" w:rsidRDefault="00E33013" w:rsidP="00F65E8D">
      <w:pPr>
        <w:pStyle w:val="enumlev1"/>
        <w:ind w:left="1871" w:hanging="1871"/>
      </w:pPr>
      <w:proofErr w:type="spellStart"/>
      <w:r w:rsidRPr="00A079A6">
        <w:rPr>
          <w:b/>
        </w:rPr>
        <w:t>Addéndum</w:t>
      </w:r>
      <w:proofErr w:type="spellEnd"/>
      <w:r w:rsidRPr="00A079A6">
        <w:rPr>
          <w:b/>
        </w:rPr>
        <w:t xml:space="preserve"> 13</w:t>
      </w:r>
      <w:r w:rsidRPr="00A079A6">
        <w:tab/>
        <w:t xml:space="preserve">Parte 13 </w:t>
      </w:r>
      <w:r w:rsidR="00320B51" w:rsidRPr="00A079A6">
        <w:t>–</w:t>
      </w:r>
      <w:r w:rsidRPr="00A079A6">
        <w:t xml:space="preserve"> Plazo de dos meses para la publicación del contenido de una notificación en el §</w:t>
      </w:r>
      <w:r w:rsidR="001C27F7" w:rsidRPr="00A079A6">
        <w:t> </w:t>
      </w:r>
      <w:r w:rsidRPr="00A079A6">
        <w:t xml:space="preserve">8.5 del Apéndice </w:t>
      </w:r>
      <w:proofErr w:type="spellStart"/>
      <w:r w:rsidRPr="00A079A6">
        <w:rPr>
          <w:b/>
          <w:bCs/>
        </w:rPr>
        <w:t>30B</w:t>
      </w:r>
      <w:proofErr w:type="spellEnd"/>
      <w:r w:rsidRPr="00A079A6">
        <w:t xml:space="preserve"> del </w:t>
      </w:r>
      <w:proofErr w:type="spellStart"/>
      <w:r w:rsidRPr="00A079A6">
        <w:t>RR</w:t>
      </w:r>
      <w:proofErr w:type="spellEnd"/>
      <w:r w:rsidRPr="00A079A6">
        <w:t xml:space="preserve"> (3.2.5.3)</w:t>
      </w:r>
    </w:p>
    <w:p w14:paraId="28BA569C" w14:textId="52E9A0E1" w:rsidR="00E33013" w:rsidRPr="00A079A6" w:rsidRDefault="00E33013" w:rsidP="00F65E8D">
      <w:pPr>
        <w:pStyle w:val="enumlev1"/>
        <w:ind w:left="1871" w:hanging="1871"/>
      </w:pPr>
      <w:proofErr w:type="spellStart"/>
      <w:r w:rsidRPr="00A079A6">
        <w:rPr>
          <w:b/>
        </w:rPr>
        <w:t>Addéndum</w:t>
      </w:r>
      <w:proofErr w:type="spellEnd"/>
      <w:r w:rsidRPr="00A079A6">
        <w:rPr>
          <w:b/>
        </w:rPr>
        <w:t xml:space="preserve"> 14</w:t>
      </w:r>
      <w:r w:rsidRPr="00A079A6">
        <w:tab/>
        <w:t xml:space="preserve">Parte 14 </w:t>
      </w:r>
      <w:r w:rsidR="00320B51" w:rsidRPr="00A079A6">
        <w:t>–</w:t>
      </w:r>
      <w:r w:rsidRPr="00A079A6">
        <w:t xml:space="preserve"> Propuesta de modificación del §</w:t>
      </w:r>
      <w:r w:rsidR="001C27F7" w:rsidRPr="00A079A6">
        <w:t> </w:t>
      </w:r>
      <w:r w:rsidRPr="00A079A6">
        <w:t xml:space="preserve">6.19 del Apéndice </w:t>
      </w:r>
      <w:proofErr w:type="spellStart"/>
      <w:r w:rsidRPr="00A079A6">
        <w:rPr>
          <w:b/>
        </w:rPr>
        <w:t>30B</w:t>
      </w:r>
      <w:proofErr w:type="spellEnd"/>
      <w:r w:rsidRPr="00A079A6">
        <w:t xml:space="preserve"> del </w:t>
      </w:r>
      <w:proofErr w:type="spellStart"/>
      <w:r w:rsidRPr="00A079A6">
        <w:t>RR</w:t>
      </w:r>
      <w:proofErr w:type="spellEnd"/>
      <w:r w:rsidRPr="00A079A6">
        <w:t xml:space="preserve"> (3.2.5.7)</w:t>
      </w:r>
    </w:p>
    <w:p w14:paraId="0F9965DB" w14:textId="77777777" w:rsidR="00E33013" w:rsidRPr="00A079A6" w:rsidRDefault="00E33013" w:rsidP="00F65E8D">
      <w:pPr>
        <w:pStyle w:val="enumlev1"/>
        <w:ind w:left="1871" w:hanging="1871"/>
      </w:pPr>
      <w:proofErr w:type="spellStart"/>
      <w:r w:rsidRPr="00A079A6">
        <w:rPr>
          <w:b/>
        </w:rPr>
        <w:t>Addéndum</w:t>
      </w:r>
      <w:proofErr w:type="spellEnd"/>
      <w:r w:rsidRPr="00A079A6">
        <w:rPr>
          <w:b/>
        </w:rPr>
        <w:t xml:space="preserve"> 15</w:t>
      </w:r>
      <w:r w:rsidRPr="00A079A6">
        <w:rPr>
          <w:b/>
        </w:rPr>
        <w:tab/>
      </w:r>
      <w:r w:rsidRPr="00A079A6">
        <w:t xml:space="preserve">Parte 15 </w:t>
      </w:r>
      <w:r w:rsidR="00320B51" w:rsidRPr="00A079A6">
        <w:t>–</w:t>
      </w:r>
      <w:r w:rsidRPr="00A079A6">
        <w:t xml:space="preserve"> Propuesta de modificaciones del número</w:t>
      </w:r>
      <w:r w:rsidRPr="00A079A6">
        <w:rPr>
          <w:b/>
        </w:rPr>
        <w:t xml:space="preserve"> </w:t>
      </w:r>
      <w:proofErr w:type="spellStart"/>
      <w:r w:rsidRPr="00A079A6">
        <w:rPr>
          <w:b/>
        </w:rPr>
        <w:t>5.441B</w:t>
      </w:r>
      <w:proofErr w:type="spellEnd"/>
      <w:r w:rsidRPr="00A079A6">
        <w:t xml:space="preserve"> del </w:t>
      </w:r>
      <w:proofErr w:type="spellStart"/>
      <w:r w:rsidRPr="00A079A6">
        <w:t>RR</w:t>
      </w:r>
      <w:proofErr w:type="spellEnd"/>
      <w:r w:rsidRPr="00A079A6">
        <w:t xml:space="preserve"> (3.6.6)</w:t>
      </w:r>
    </w:p>
    <w:p w14:paraId="0AE54B78" w14:textId="77777777" w:rsidR="00E33013" w:rsidRPr="00A079A6" w:rsidRDefault="00E33013" w:rsidP="00FB2409">
      <w:r w:rsidRPr="00A079A6">
        <w:t>Además de la</w:t>
      </w:r>
      <w:r w:rsidR="00C34FF2" w:rsidRPr="00A079A6">
        <w:t>s</w:t>
      </w:r>
      <w:r w:rsidRPr="00A079A6">
        <w:t xml:space="preserve"> propuestas descritas anteriormente, la </w:t>
      </w:r>
      <w:proofErr w:type="spellStart"/>
      <w:r w:rsidRPr="00A079A6">
        <w:t>CEPT</w:t>
      </w:r>
      <w:proofErr w:type="spellEnd"/>
      <w:r w:rsidRPr="00A079A6">
        <w:t xml:space="preserve"> tiene las siguientes opiniones y posiciones en relación con los diferentes puntos tratados en el Informe del Director.</w:t>
      </w:r>
    </w:p>
    <w:p w14:paraId="198CE3F5" w14:textId="77777777" w:rsidR="00E33013" w:rsidRPr="00A079A6" w:rsidRDefault="00E33013" w:rsidP="00FB2409">
      <w:r w:rsidRPr="00A079A6">
        <w:t xml:space="preserve">En relación con el punto del proyecto de base de datos CR/D disponible en la BR </w:t>
      </w:r>
      <w:proofErr w:type="spellStart"/>
      <w:r w:rsidRPr="00A079A6">
        <w:t>IFIC</w:t>
      </w:r>
      <w:proofErr w:type="spellEnd"/>
      <w:r w:rsidRPr="00A079A6">
        <w:t xml:space="preserve"> antes de la publicación de CR/D con arreglo al número </w:t>
      </w:r>
      <w:proofErr w:type="spellStart"/>
      <w:r w:rsidRPr="00A079A6">
        <w:rPr>
          <w:b/>
          <w:bCs/>
        </w:rPr>
        <w:t>9.53A</w:t>
      </w:r>
      <w:proofErr w:type="spellEnd"/>
      <w:r w:rsidRPr="00A079A6">
        <w:t xml:space="preserve"> del </w:t>
      </w:r>
      <w:proofErr w:type="spellStart"/>
      <w:r w:rsidRPr="00A079A6">
        <w:t>RR</w:t>
      </w:r>
      <w:proofErr w:type="spellEnd"/>
      <w:r w:rsidRPr="00A079A6">
        <w:t xml:space="preserve"> (3.1.3.4 en el Informe del Director), La</w:t>
      </w:r>
      <w:r w:rsidR="00FB2409" w:rsidRPr="00A079A6">
        <w:t> </w:t>
      </w:r>
      <w:proofErr w:type="spellStart"/>
      <w:r w:rsidRPr="00A079A6">
        <w:t>CEPT</w:t>
      </w:r>
      <w:proofErr w:type="spellEnd"/>
      <w:r w:rsidRPr="00A079A6">
        <w:t xml:space="preserve"> está de acuerdo con la Oficina que el procedimiento no tiene utilidad práctica y, al mismo tiempo, utiliza numerosos recursos de la Oficina. La </w:t>
      </w:r>
      <w:proofErr w:type="spellStart"/>
      <w:r w:rsidRPr="00A079A6">
        <w:t>CEPT</w:t>
      </w:r>
      <w:proofErr w:type="spellEnd"/>
      <w:r w:rsidRPr="00A079A6">
        <w:t xml:space="preserve"> apoya el cese de esta práctica. Cada administración puede reaccionar frente a las publicaciones oficiales de las Secciones Especiales CD/R a fin de solicitar una modificación o una incorporación a los datos publicados. En tal caso, se publicaría una modificación de la Sección Especial CR/D en cuestión.</w:t>
      </w:r>
    </w:p>
    <w:p w14:paraId="4D11EBAB" w14:textId="77777777" w:rsidR="00E33013" w:rsidRPr="00A079A6" w:rsidRDefault="00E33013" w:rsidP="00FB2409">
      <w:r w:rsidRPr="00A079A6">
        <w:t xml:space="preserve">Con respecto al examen con arreglo a los números </w:t>
      </w:r>
      <w:r w:rsidRPr="00A079A6">
        <w:rPr>
          <w:b/>
          <w:bCs/>
        </w:rPr>
        <w:t>11.32</w:t>
      </w:r>
      <w:r w:rsidRPr="00A079A6">
        <w:t xml:space="preserve"> y </w:t>
      </w:r>
      <w:proofErr w:type="spellStart"/>
      <w:r w:rsidRPr="00A079A6">
        <w:rPr>
          <w:b/>
          <w:bCs/>
        </w:rPr>
        <w:t>11.32A</w:t>
      </w:r>
      <w:proofErr w:type="spellEnd"/>
      <w:r w:rsidRPr="00A079A6">
        <w:t xml:space="preserve"> del </w:t>
      </w:r>
      <w:proofErr w:type="spellStart"/>
      <w:r w:rsidRPr="00A079A6">
        <w:t>RR</w:t>
      </w:r>
      <w:proofErr w:type="spellEnd"/>
      <w:r w:rsidRPr="00A079A6">
        <w:t xml:space="preserve"> sobre la base del estado del acuerdo de coordinación a nivel de grupo relativo a los formularios de notificación del Apéndice</w:t>
      </w:r>
      <w:r w:rsidR="00FB2409" w:rsidRPr="00A079A6">
        <w:t> </w:t>
      </w:r>
      <w:r w:rsidRPr="00A079A6">
        <w:rPr>
          <w:b/>
          <w:bCs/>
        </w:rPr>
        <w:t>4</w:t>
      </w:r>
      <w:r w:rsidRPr="00A079A6">
        <w:t xml:space="preserve"> del </w:t>
      </w:r>
      <w:proofErr w:type="spellStart"/>
      <w:r w:rsidRPr="00A079A6">
        <w:t>RR</w:t>
      </w:r>
      <w:proofErr w:type="spellEnd"/>
      <w:r w:rsidRPr="00A079A6">
        <w:t xml:space="preserve"> (3.1.4.2.1), la </w:t>
      </w:r>
      <w:proofErr w:type="spellStart"/>
      <w:r w:rsidRPr="00A079A6">
        <w:t>CEPT</w:t>
      </w:r>
      <w:proofErr w:type="spellEnd"/>
      <w:r w:rsidRPr="00A079A6">
        <w:t xml:space="preserve"> apoya el desarrollo de una herramienta </w:t>
      </w:r>
      <w:r w:rsidRPr="00A079A6">
        <w:rPr>
          <w:i/>
          <w:iCs/>
        </w:rPr>
        <w:t>software</w:t>
      </w:r>
      <w:r w:rsidRPr="00A079A6">
        <w:t xml:space="preserve"> por la Oficina con el fin de ayudar a las administraciones, durante la notificación de sus redes, a definir un estado de coordinación en relación con una administración afectada a nivel de red y de grupo, indicando las redes de satélites para las cuales se ha completado o no la coordinación. Además, este tipo de coordinación se reflejaría en una publicación.</w:t>
      </w:r>
    </w:p>
    <w:p w14:paraId="438AEBC4" w14:textId="01027CA1" w:rsidR="00E33013" w:rsidRPr="00A079A6" w:rsidRDefault="00E33013" w:rsidP="00FB2409">
      <w:r w:rsidRPr="00A079A6">
        <w:t xml:space="preserve">En el tema de notificaciones que contienen antenas con un contorno de antena con un valor de ganancia absoluta de antena de satélite inferior a </w:t>
      </w:r>
      <w:r w:rsidR="00BB5CD2" w:rsidRPr="00A079A6">
        <w:t>–</w:t>
      </w:r>
      <w:r w:rsidRPr="00A079A6">
        <w:t xml:space="preserve">10 </w:t>
      </w:r>
      <w:r w:rsidR="00367105" w:rsidRPr="00A079A6">
        <w:t>dBi</w:t>
      </w:r>
      <w:r w:rsidRPr="00A079A6">
        <w:t xml:space="preserve"> (3.2.4.4), la </w:t>
      </w:r>
      <w:proofErr w:type="spellStart"/>
      <w:r w:rsidRPr="00A079A6">
        <w:t>CEPT</w:t>
      </w:r>
      <w:proofErr w:type="spellEnd"/>
      <w:r w:rsidRPr="00A079A6">
        <w:t xml:space="preserve"> opina que son necesarios estudios adicionales. En relación con la presencia de múltiples estaciones terrenas por comunicación en los Apéndices </w:t>
      </w:r>
      <w:r w:rsidRPr="00A079A6">
        <w:rPr>
          <w:b/>
          <w:bCs/>
        </w:rPr>
        <w:t>30</w:t>
      </w:r>
      <w:r w:rsidRPr="00A079A6">
        <w:t xml:space="preserve"> y </w:t>
      </w:r>
      <w:proofErr w:type="spellStart"/>
      <w:r w:rsidRPr="00A079A6">
        <w:rPr>
          <w:b/>
          <w:bCs/>
        </w:rPr>
        <w:t>30A</w:t>
      </w:r>
      <w:proofErr w:type="spellEnd"/>
      <w:r w:rsidRPr="00A079A6">
        <w:t xml:space="preserve"> del </w:t>
      </w:r>
      <w:proofErr w:type="spellStart"/>
      <w:r w:rsidRPr="00A079A6">
        <w:t>RR</w:t>
      </w:r>
      <w:proofErr w:type="spellEnd"/>
      <w:r w:rsidRPr="00A079A6">
        <w:t xml:space="preserve"> (3.2.4.5), la </w:t>
      </w:r>
      <w:proofErr w:type="spellStart"/>
      <w:r w:rsidRPr="00A079A6">
        <w:t>CEPT</w:t>
      </w:r>
      <w:proofErr w:type="spellEnd"/>
      <w:r w:rsidRPr="00A079A6">
        <w:t xml:space="preserve"> entiende la idea de la Oficina de limitar el número de antenas a 3 para cada notificación de los Apéndices </w:t>
      </w:r>
      <w:r w:rsidRPr="00A079A6">
        <w:rPr>
          <w:b/>
          <w:bCs/>
        </w:rPr>
        <w:t>30</w:t>
      </w:r>
      <w:r w:rsidRPr="00A079A6">
        <w:t xml:space="preserve"> y </w:t>
      </w:r>
      <w:proofErr w:type="spellStart"/>
      <w:r w:rsidRPr="00A079A6">
        <w:rPr>
          <w:b/>
          <w:bCs/>
        </w:rPr>
        <w:t>30A</w:t>
      </w:r>
      <w:proofErr w:type="spellEnd"/>
      <w:r w:rsidRPr="00A079A6">
        <w:t xml:space="preserve"> del </w:t>
      </w:r>
      <w:proofErr w:type="spellStart"/>
      <w:r w:rsidRPr="00A079A6">
        <w:t>RR</w:t>
      </w:r>
      <w:proofErr w:type="spellEnd"/>
      <w:r w:rsidRPr="00A079A6">
        <w:t xml:space="preserve">, sin embargo, como existen administraciones que vinculan las características de las antenas con los </w:t>
      </w:r>
      <w:r w:rsidRPr="00A079A6">
        <w:lastRenderedPageBreak/>
        <w:t>derechos de aterraje (necesitan una correspondencia exacta), puede ser necesario incrementar el número máximo de antenas hasta 5.</w:t>
      </w:r>
    </w:p>
    <w:p w14:paraId="4383A694" w14:textId="5B4193FE" w:rsidR="00E33013" w:rsidRPr="00A079A6" w:rsidRDefault="00E33013" w:rsidP="00FB2409">
      <w:r w:rsidRPr="00A079A6">
        <w:t xml:space="preserve">En el punto correspondiente al arco de coordinación para el Artículo </w:t>
      </w:r>
      <w:proofErr w:type="spellStart"/>
      <w:r w:rsidRPr="00A079A6">
        <w:t>2A</w:t>
      </w:r>
      <w:proofErr w:type="spellEnd"/>
      <w:r w:rsidRPr="00A079A6">
        <w:t xml:space="preserve"> en 14 GHz (3.2.4.7), la</w:t>
      </w:r>
      <w:r w:rsidR="00FB2409" w:rsidRPr="00A079A6">
        <w:t> </w:t>
      </w:r>
      <w:proofErr w:type="spellStart"/>
      <w:r w:rsidRPr="00A079A6">
        <w:t>CEPT</w:t>
      </w:r>
      <w:proofErr w:type="spellEnd"/>
      <w:r w:rsidRPr="00A079A6">
        <w:t xml:space="preserve"> apoya la incorporación de la Regla de Procedimiento existente del §</w:t>
      </w:r>
      <w:r w:rsidR="001C27F7" w:rsidRPr="00A079A6">
        <w:t> </w:t>
      </w:r>
      <w:proofErr w:type="spellStart"/>
      <w:r w:rsidRPr="00A079A6">
        <w:t>2A.1.2</w:t>
      </w:r>
      <w:proofErr w:type="spellEnd"/>
      <w:r w:rsidRPr="00A079A6">
        <w:t xml:space="preserve"> del Apéndice</w:t>
      </w:r>
      <w:r w:rsidR="00FB2409" w:rsidRPr="00A079A6">
        <w:t> </w:t>
      </w:r>
      <w:proofErr w:type="spellStart"/>
      <w:r w:rsidRPr="00A079A6">
        <w:rPr>
          <w:b/>
          <w:bCs/>
        </w:rPr>
        <w:t>30A</w:t>
      </w:r>
      <w:proofErr w:type="spellEnd"/>
      <w:r w:rsidRPr="00A079A6">
        <w:t xml:space="preserve"> del </w:t>
      </w:r>
      <w:proofErr w:type="spellStart"/>
      <w:r w:rsidRPr="00A079A6">
        <w:t>RR</w:t>
      </w:r>
      <w:proofErr w:type="spellEnd"/>
      <w:r w:rsidRPr="00A079A6">
        <w:t xml:space="preserve"> en el Reglamento de Radiocomunicaciones. En relación con el cálculo de </w:t>
      </w:r>
      <w:proofErr w:type="spellStart"/>
      <w:r w:rsidRPr="00A079A6">
        <w:t>ΔT</w:t>
      </w:r>
      <w:proofErr w:type="spellEnd"/>
      <w:r w:rsidRPr="00A079A6">
        <w:t xml:space="preserve">/T en la sección 2 del Anexo 4 al Apéndice </w:t>
      </w:r>
      <w:proofErr w:type="spellStart"/>
      <w:r w:rsidRPr="00A079A6">
        <w:rPr>
          <w:b/>
          <w:bCs/>
        </w:rPr>
        <w:t>30A</w:t>
      </w:r>
      <w:proofErr w:type="spellEnd"/>
      <w:r w:rsidRPr="00A079A6">
        <w:t xml:space="preserve"> del </w:t>
      </w:r>
      <w:proofErr w:type="spellStart"/>
      <w:r w:rsidRPr="00A079A6">
        <w:t>RR</w:t>
      </w:r>
      <w:proofErr w:type="spellEnd"/>
      <w:r w:rsidRPr="00A079A6">
        <w:t xml:space="preserve"> (3.2.4.9)</w:t>
      </w:r>
      <w:r w:rsidR="0073517D" w:rsidRPr="00A079A6">
        <w:t>,</w:t>
      </w:r>
      <w:r w:rsidRPr="00A079A6">
        <w:t xml:space="preserve"> la </w:t>
      </w:r>
      <w:proofErr w:type="spellStart"/>
      <w:r w:rsidRPr="00A079A6">
        <w:t>CEPT</w:t>
      </w:r>
      <w:proofErr w:type="spellEnd"/>
      <w:r w:rsidRPr="00A079A6">
        <w:t xml:space="preserve"> apoya la propuesta de modificación de la Oficina de la sección 2 del Anexo 4 al Apéndice </w:t>
      </w:r>
      <w:proofErr w:type="spellStart"/>
      <w:r w:rsidRPr="00A079A6">
        <w:rPr>
          <w:b/>
          <w:bCs/>
        </w:rPr>
        <w:t>30A</w:t>
      </w:r>
      <w:proofErr w:type="spellEnd"/>
      <w:r w:rsidRPr="00A079A6">
        <w:t xml:space="preserve"> del RR.</w:t>
      </w:r>
    </w:p>
    <w:p w14:paraId="2C9A5695" w14:textId="7DE262E2" w:rsidR="00E33013" w:rsidRPr="00A079A6" w:rsidRDefault="00E33013" w:rsidP="00FB2409">
      <w:r w:rsidRPr="00A079A6">
        <w:t xml:space="preserve">Con respecto a la utilización del diagrama de radiación de la antena de la estación terrena específico de los Apéndices </w:t>
      </w:r>
      <w:r w:rsidRPr="00A079A6">
        <w:rPr>
          <w:b/>
          <w:bCs/>
        </w:rPr>
        <w:t>30</w:t>
      </w:r>
      <w:r w:rsidRPr="00A079A6">
        <w:t xml:space="preserve"> y </w:t>
      </w:r>
      <w:proofErr w:type="spellStart"/>
      <w:r w:rsidRPr="00A079A6">
        <w:rPr>
          <w:b/>
          <w:bCs/>
        </w:rPr>
        <w:t>30A</w:t>
      </w:r>
      <w:proofErr w:type="spellEnd"/>
      <w:r w:rsidRPr="00A079A6">
        <w:t xml:space="preserve"> del </w:t>
      </w:r>
      <w:proofErr w:type="spellStart"/>
      <w:r w:rsidRPr="00A079A6">
        <w:t>RR</w:t>
      </w:r>
      <w:proofErr w:type="spellEnd"/>
      <w:r w:rsidRPr="00A079A6">
        <w:t xml:space="preserve"> para las comunicaciones con arreglo al Apéndice </w:t>
      </w:r>
      <w:proofErr w:type="spellStart"/>
      <w:r w:rsidRPr="00A079A6">
        <w:rPr>
          <w:b/>
          <w:bCs/>
        </w:rPr>
        <w:t>30B</w:t>
      </w:r>
      <w:proofErr w:type="spellEnd"/>
      <w:r w:rsidRPr="00A079A6">
        <w:t xml:space="preserve"> del </w:t>
      </w:r>
      <w:proofErr w:type="spellStart"/>
      <w:r w:rsidRPr="00A079A6">
        <w:t>RR</w:t>
      </w:r>
      <w:proofErr w:type="spellEnd"/>
      <w:r w:rsidRPr="00A079A6">
        <w:t xml:space="preserve"> (3.2.5.4), la </w:t>
      </w:r>
      <w:proofErr w:type="spellStart"/>
      <w:r w:rsidRPr="00A079A6">
        <w:t>CEPT</w:t>
      </w:r>
      <w:proofErr w:type="spellEnd"/>
      <w:r w:rsidRPr="00A079A6">
        <w:t xml:space="preserve"> opina que el diagrama de radiación </w:t>
      </w:r>
      <w:proofErr w:type="spellStart"/>
      <w:r w:rsidRPr="00A079A6">
        <w:t>MODRES</w:t>
      </w:r>
      <w:proofErr w:type="spellEnd"/>
      <w:r w:rsidRPr="00A079A6">
        <w:t xml:space="preserve"> debería seguir acept</w:t>
      </w:r>
      <w:r w:rsidR="00CF2A2E" w:rsidRPr="00A079A6">
        <w:t>á</w:t>
      </w:r>
      <w:r w:rsidRPr="00A079A6">
        <w:t xml:space="preserve">ndose en las nuevas comunicaciones del Apéndice </w:t>
      </w:r>
      <w:proofErr w:type="spellStart"/>
      <w:r w:rsidRPr="00A079A6">
        <w:rPr>
          <w:b/>
          <w:bCs/>
        </w:rPr>
        <w:t>30B</w:t>
      </w:r>
      <w:proofErr w:type="spellEnd"/>
      <w:r w:rsidRPr="00A079A6">
        <w:t xml:space="preserve"> del </w:t>
      </w:r>
      <w:proofErr w:type="spellStart"/>
      <w:r w:rsidRPr="00A079A6">
        <w:t>RR</w:t>
      </w:r>
      <w:proofErr w:type="spellEnd"/>
      <w:r w:rsidRPr="00A079A6">
        <w:t xml:space="preserve"> a título provisional, hasta que se apruebe una modificación de la Recomendación UIT-R </w:t>
      </w:r>
      <w:proofErr w:type="spellStart"/>
      <w:r w:rsidRPr="00A079A6">
        <w:t>BO.1213</w:t>
      </w:r>
      <w:proofErr w:type="spellEnd"/>
      <w:r w:rsidRPr="00A079A6">
        <w:t xml:space="preserve">. El diagrama de antena </w:t>
      </w:r>
      <w:proofErr w:type="spellStart"/>
      <w:r w:rsidRPr="00A079A6">
        <w:t>MODRES</w:t>
      </w:r>
      <w:proofErr w:type="spellEnd"/>
      <w:r w:rsidRPr="00A079A6">
        <w:t xml:space="preserve"> es muy común, no solo en las comunicaciones </w:t>
      </w:r>
      <w:r w:rsidR="007D5B87">
        <w:t xml:space="preserve">de </w:t>
      </w:r>
      <w:r w:rsidRPr="00A079A6">
        <w:t xml:space="preserve">los Apéndices </w:t>
      </w:r>
      <w:r w:rsidRPr="00A079A6">
        <w:rPr>
          <w:b/>
          <w:bCs/>
        </w:rPr>
        <w:t>30</w:t>
      </w:r>
      <w:r w:rsidRPr="00A079A6">
        <w:t xml:space="preserve"> y </w:t>
      </w:r>
      <w:proofErr w:type="spellStart"/>
      <w:r w:rsidRPr="00A079A6">
        <w:rPr>
          <w:b/>
          <w:bCs/>
        </w:rPr>
        <w:t>30A</w:t>
      </w:r>
      <w:proofErr w:type="spellEnd"/>
      <w:r w:rsidRPr="00A079A6">
        <w:t xml:space="preserve"> del </w:t>
      </w:r>
      <w:proofErr w:type="spellStart"/>
      <w:r w:rsidRPr="00A079A6">
        <w:t>RR</w:t>
      </w:r>
      <w:proofErr w:type="spellEnd"/>
      <w:r w:rsidRPr="00A079A6">
        <w:t xml:space="preserve">, sino en general. El diagrama de antena </w:t>
      </w:r>
      <w:proofErr w:type="spellStart"/>
      <w:r w:rsidRPr="00A079A6">
        <w:t>MODRES</w:t>
      </w:r>
      <w:proofErr w:type="spellEnd"/>
      <w:r w:rsidRPr="00A079A6">
        <w:t xml:space="preserve"> es uno de los preferidos para la recepción del </w:t>
      </w:r>
      <w:proofErr w:type="spellStart"/>
      <w:r w:rsidRPr="00A079A6">
        <w:t>SRS</w:t>
      </w:r>
      <w:proofErr w:type="spellEnd"/>
      <w:r w:rsidRPr="00A079A6">
        <w:t xml:space="preserve"> y la recepción de</w:t>
      </w:r>
      <w:r w:rsidR="00FB2409" w:rsidRPr="00A079A6">
        <w:t> </w:t>
      </w:r>
      <w:proofErr w:type="spellStart"/>
      <w:r w:rsidRPr="00A079A6">
        <w:t>DTH</w:t>
      </w:r>
      <w:proofErr w:type="spellEnd"/>
      <w:r w:rsidRPr="00A079A6">
        <w:t xml:space="preserve"> en general.</w:t>
      </w:r>
      <w:bookmarkStart w:id="10" w:name="_GoBack"/>
      <w:bookmarkEnd w:id="10"/>
    </w:p>
    <w:p w14:paraId="37F84B4D" w14:textId="77777777" w:rsidR="00E33013" w:rsidRPr="00A079A6" w:rsidRDefault="00E33013" w:rsidP="00FB2409">
      <w:r w:rsidRPr="00A079A6">
        <w:t xml:space="preserve">En relación con el punto de una posible armonización de la zona de cobertura y de servicio para las comunicaciones con arreglo al Apéndice </w:t>
      </w:r>
      <w:proofErr w:type="spellStart"/>
      <w:r w:rsidRPr="00A079A6">
        <w:rPr>
          <w:b/>
          <w:bCs/>
        </w:rPr>
        <w:t>30B</w:t>
      </w:r>
      <w:proofErr w:type="spellEnd"/>
      <w:r w:rsidRPr="00A079A6">
        <w:t xml:space="preserve"> del </w:t>
      </w:r>
      <w:proofErr w:type="spellStart"/>
      <w:r w:rsidRPr="00A079A6">
        <w:t>RR</w:t>
      </w:r>
      <w:proofErr w:type="spellEnd"/>
      <w:r w:rsidRPr="00A079A6">
        <w:t xml:space="preserve"> (3.2.5.5) y el cambio, en consecuencia, del punto </w:t>
      </w:r>
      <w:proofErr w:type="spellStart"/>
      <w:r w:rsidRPr="00A079A6">
        <w:t>B.3.b.1</w:t>
      </w:r>
      <w:proofErr w:type="spellEnd"/>
      <w:r w:rsidRPr="00A079A6">
        <w:t xml:space="preserve"> del Anexo 2 al Apéndice </w:t>
      </w:r>
      <w:r w:rsidRPr="00A079A6">
        <w:rPr>
          <w:b/>
          <w:bCs/>
        </w:rPr>
        <w:t xml:space="preserve">4 </w:t>
      </w:r>
      <w:r w:rsidRPr="00A079A6">
        <w:rPr>
          <w:bCs/>
        </w:rPr>
        <w:t>del</w:t>
      </w:r>
      <w:r w:rsidRPr="00A079A6">
        <w:rPr>
          <w:b/>
          <w:bCs/>
        </w:rPr>
        <w:t xml:space="preserve"> </w:t>
      </w:r>
      <w:proofErr w:type="spellStart"/>
      <w:r w:rsidRPr="00A079A6">
        <w:t>RR</w:t>
      </w:r>
      <w:proofErr w:type="spellEnd"/>
      <w:r w:rsidRPr="00A079A6">
        <w:t xml:space="preserve">, la </w:t>
      </w:r>
      <w:proofErr w:type="spellStart"/>
      <w:r w:rsidRPr="00A079A6">
        <w:t>CEPT</w:t>
      </w:r>
      <w:proofErr w:type="spellEnd"/>
      <w:r w:rsidRPr="00A079A6">
        <w:t xml:space="preserve"> no ve la necesidad de armonizar la zona de cobertura y de servicio para las comunicaciones con arreglo al Apéndice </w:t>
      </w:r>
      <w:proofErr w:type="spellStart"/>
      <w:r w:rsidRPr="00A079A6">
        <w:rPr>
          <w:b/>
          <w:bCs/>
        </w:rPr>
        <w:t>30B</w:t>
      </w:r>
      <w:proofErr w:type="spellEnd"/>
      <w:r w:rsidRPr="00A079A6">
        <w:t xml:space="preserve"> del </w:t>
      </w:r>
      <w:proofErr w:type="spellStart"/>
      <w:r w:rsidRPr="00A079A6">
        <w:t>RR</w:t>
      </w:r>
      <w:proofErr w:type="spellEnd"/>
      <w:r w:rsidRPr="00A079A6">
        <w:t xml:space="preserve"> pues la</w:t>
      </w:r>
      <w:r w:rsidR="00FB2409" w:rsidRPr="00A079A6">
        <w:t> </w:t>
      </w:r>
      <w:proofErr w:type="spellStart"/>
      <w:r w:rsidRPr="00A079A6">
        <w:t>CEPT</w:t>
      </w:r>
      <w:proofErr w:type="spellEnd"/>
      <w:r w:rsidRPr="00A079A6">
        <w:t xml:space="preserve"> prefiere mantener la flexibilidad de definición de las zonas de cobertura de los haces fijos en las comunicaciones a la BR. Además, es necesario señalar que los posibles cambios en este punto tendrían repercusiones mucho más amplias que solo la modificación de las futuras comunicaciones con arreglo al Apéndice </w:t>
      </w:r>
      <w:proofErr w:type="spellStart"/>
      <w:r w:rsidRPr="00A079A6">
        <w:rPr>
          <w:b/>
          <w:bCs/>
        </w:rPr>
        <w:t>30B</w:t>
      </w:r>
      <w:proofErr w:type="spellEnd"/>
      <w:r w:rsidRPr="00A079A6">
        <w:t xml:space="preserve"> del RR.</w:t>
      </w:r>
    </w:p>
    <w:p w14:paraId="4B6D9327" w14:textId="6DADE6C7" w:rsidR="00E33013" w:rsidRPr="00A079A6" w:rsidRDefault="00E33013" w:rsidP="00FB2409">
      <w:r w:rsidRPr="00A079A6">
        <w:t>Con respecto a las modificaciones propuestas al §</w:t>
      </w:r>
      <w:r w:rsidR="001C27F7" w:rsidRPr="00A079A6">
        <w:t> </w:t>
      </w:r>
      <w:r w:rsidRPr="00A079A6">
        <w:t xml:space="preserve">6.21 del Apéndice </w:t>
      </w:r>
      <w:proofErr w:type="spellStart"/>
      <w:r w:rsidRPr="00A079A6">
        <w:rPr>
          <w:b/>
          <w:bCs/>
        </w:rPr>
        <w:t>30B</w:t>
      </w:r>
      <w:proofErr w:type="spellEnd"/>
      <w:r w:rsidRPr="00A079A6">
        <w:t xml:space="preserve"> (3.2.5.8), la </w:t>
      </w:r>
      <w:proofErr w:type="spellStart"/>
      <w:r w:rsidRPr="00A079A6">
        <w:t>CEPT</w:t>
      </w:r>
      <w:proofErr w:type="spellEnd"/>
      <w:r w:rsidRPr="00A079A6">
        <w:t xml:space="preserve"> apoya la propuesta de la Oficina de modificar el §</w:t>
      </w:r>
      <w:r w:rsidR="001C27F7" w:rsidRPr="00A079A6">
        <w:t> </w:t>
      </w:r>
      <w:r w:rsidRPr="00A079A6">
        <w:t xml:space="preserve">6.21 del Apéndice </w:t>
      </w:r>
      <w:proofErr w:type="spellStart"/>
      <w:r w:rsidRPr="00A079A6">
        <w:rPr>
          <w:b/>
          <w:bCs/>
        </w:rPr>
        <w:t>30B</w:t>
      </w:r>
      <w:proofErr w:type="spellEnd"/>
      <w:r w:rsidRPr="00A079A6">
        <w:t xml:space="preserve"> a fin de tener en cuenta también las redes sometidas a examen que no se consideraban afectadas en virtud del §</w:t>
      </w:r>
      <w:r w:rsidR="001C27F7" w:rsidRPr="00A079A6">
        <w:t> </w:t>
      </w:r>
      <w:r w:rsidRPr="00A079A6">
        <w:t>6.5 del Apéndice</w:t>
      </w:r>
      <w:r w:rsidR="00FB2409" w:rsidRPr="00A079A6">
        <w:t> </w:t>
      </w:r>
      <w:proofErr w:type="spellStart"/>
      <w:r w:rsidRPr="00A079A6">
        <w:rPr>
          <w:b/>
          <w:bCs/>
        </w:rPr>
        <w:t>30B</w:t>
      </w:r>
      <w:proofErr w:type="spellEnd"/>
      <w:r w:rsidRPr="00A079A6">
        <w:rPr>
          <w:b/>
          <w:bCs/>
        </w:rPr>
        <w:t>.</w:t>
      </w:r>
    </w:p>
    <w:p w14:paraId="45B31243" w14:textId="132D529E" w:rsidR="00E33013" w:rsidRPr="00A079A6" w:rsidRDefault="00E33013" w:rsidP="00FB2409">
      <w:r w:rsidRPr="00A079A6">
        <w:t xml:space="preserve">En lo relativo al punto de las asignaciones con cobertura mundial o </w:t>
      </w:r>
      <w:proofErr w:type="gramStart"/>
      <w:r w:rsidRPr="00A079A6">
        <w:t>regional</w:t>
      </w:r>
      <w:proofErr w:type="gramEnd"/>
      <w:r w:rsidRPr="00A079A6">
        <w:t xml:space="preserve"> pero zona de servicio pequeña en el Apéndice </w:t>
      </w:r>
      <w:proofErr w:type="spellStart"/>
      <w:r w:rsidRPr="00A079A6">
        <w:rPr>
          <w:b/>
          <w:bCs/>
        </w:rPr>
        <w:t>30B</w:t>
      </w:r>
      <w:proofErr w:type="spellEnd"/>
      <w:r w:rsidRPr="00A079A6">
        <w:t xml:space="preserve"> (3.2.5.9), la </w:t>
      </w:r>
      <w:proofErr w:type="spellStart"/>
      <w:r w:rsidRPr="00A079A6">
        <w:t>CEPT</w:t>
      </w:r>
      <w:proofErr w:type="spellEnd"/>
      <w:r w:rsidRPr="00A079A6">
        <w:t xml:space="preserve"> subraya que se trata de un punto delicado debido al acuerdo explícito que debe incluirse en la zona de servicio. Como el pedido de un satélite debe lanzarse 3 </w:t>
      </w:r>
      <w:proofErr w:type="spellStart"/>
      <w:r w:rsidR="00A079A6">
        <w:t>ó</w:t>
      </w:r>
      <w:proofErr w:type="spellEnd"/>
      <w:r w:rsidRPr="00A079A6">
        <w:t xml:space="preserve"> 4 años antes del final del periodo de 8 años, es difícil saber con antelación qué países acordarán finalmente ser incluidos en la zona de servicio. En consecuencia, la </w:t>
      </w:r>
      <w:proofErr w:type="spellStart"/>
      <w:r w:rsidRPr="00A079A6">
        <w:t>CEPT</w:t>
      </w:r>
      <w:proofErr w:type="spellEnd"/>
      <w:r w:rsidRPr="00A079A6">
        <w:t xml:space="preserve"> no apoya la propuesta de la Oficina.</w:t>
      </w:r>
    </w:p>
    <w:p w14:paraId="01D07F0B" w14:textId="77777777" w:rsidR="00E33013" w:rsidRPr="00A079A6" w:rsidRDefault="00E33013" w:rsidP="00FB2409">
      <w:r w:rsidRPr="00A079A6">
        <w:t xml:space="preserve">Con respecto a una posible actualización del Artículo 10 del Apéndice </w:t>
      </w:r>
      <w:proofErr w:type="spellStart"/>
      <w:r w:rsidRPr="00A079A6">
        <w:rPr>
          <w:b/>
          <w:bCs/>
        </w:rPr>
        <w:t>30B</w:t>
      </w:r>
      <w:proofErr w:type="spellEnd"/>
      <w:r w:rsidRPr="00A079A6">
        <w:rPr>
          <w:b/>
          <w:bCs/>
        </w:rPr>
        <w:t xml:space="preserve"> </w:t>
      </w:r>
      <w:r w:rsidRPr="00A079A6">
        <w:t xml:space="preserve">(3.2.5.10), la </w:t>
      </w:r>
      <w:proofErr w:type="spellStart"/>
      <w:r w:rsidRPr="00A079A6">
        <w:t>CEPT</w:t>
      </w:r>
      <w:proofErr w:type="spellEnd"/>
      <w:r w:rsidRPr="00A079A6">
        <w:t xml:space="preserve"> apoya la propuesta de la Oficina.</w:t>
      </w:r>
    </w:p>
    <w:p w14:paraId="36A66F49" w14:textId="77777777" w:rsidR="00E33013" w:rsidRPr="00A079A6" w:rsidRDefault="00E33013" w:rsidP="00FB2409">
      <w:r w:rsidRPr="00A079A6">
        <w:t xml:space="preserve">En el caso de una posible revisión de la aplicación del número </w:t>
      </w:r>
      <w:r w:rsidRPr="00A079A6">
        <w:rPr>
          <w:b/>
          <w:bCs/>
        </w:rPr>
        <w:t>11.47</w:t>
      </w:r>
      <w:r w:rsidRPr="00A079A6">
        <w:t xml:space="preserve"> del </w:t>
      </w:r>
      <w:proofErr w:type="spellStart"/>
      <w:r w:rsidRPr="00A079A6">
        <w:t>RR</w:t>
      </w:r>
      <w:proofErr w:type="spellEnd"/>
      <w:r w:rsidRPr="00A079A6">
        <w:t xml:space="preserve"> con respecto a las inscripciones provisionales (3.1.4.3) la </w:t>
      </w:r>
      <w:proofErr w:type="spellStart"/>
      <w:r w:rsidRPr="00A079A6">
        <w:t>CEPT</w:t>
      </w:r>
      <w:proofErr w:type="spellEnd"/>
      <w:r w:rsidRPr="00A079A6">
        <w:t xml:space="preserve"> apoya la sugerencia de la Oficina de suprimir el requisito de presentar, en virtud del punto </w:t>
      </w:r>
      <w:proofErr w:type="spellStart"/>
      <w:r w:rsidRPr="00A079A6">
        <w:t>A.2.a</w:t>
      </w:r>
      <w:proofErr w:type="spellEnd"/>
      <w:r w:rsidRPr="00A079A6">
        <w:t>,</w:t>
      </w:r>
      <w:r w:rsidR="00607F90" w:rsidRPr="00A079A6">
        <w:t xml:space="preserve"> </w:t>
      </w:r>
      <w:r w:rsidRPr="00A079A6">
        <w:t>una fecha prevista de puesta en servicio (es decir una fecha posterior a la fecha de recepción de la notificación).</w:t>
      </w:r>
    </w:p>
    <w:p w14:paraId="2A081665" w14:textId="77777777" w:rsidR="00E33013" w:rsidRPr="00A079A6" w:rsidRDefault="00E33013" w:rsidP="00FB2409">
      <w:r w:rsidRPr="00A079A6">
        <w:t xml:space="preserve">En lo relativo al punto de los pequeños huecos y contornos de ganancia inverosímiles en los diagramas de ganancia de la antena del satélite para evitar la coordinación (3.2.6) la </w:t>
      </w:r>
      <w:proofErr w:type="spellStart"/>
      <w:r w:rsidRPr="00A079A6">
        <w:t>CEPT</w:t>
      </w:r>
      <w:proofErr w:type="spellEnd"/>
      <w:r w:rsidRPr="00A079A6">
        <w:t xml:space="preserve"> subraya que se trata de un punto delicado y la </w:t>
      </w:r>
      <w:proofErr w:type="spellStart"/>
      <w:r w:rsidRPr="00A079A6">
        <w:t>CEPT</w:t>
      </w:r>
      <w:proofErr w:type="spellEnd"/>
      <w:r w:rsidRPr="00A079A6">
        <w:t xml:space="preserve"> alienta a las administraciones a contribuir a esta cuestión durante el próximo ciclo de estudios.</w:t>
      </w:r>
    </w:p>
    <w:p w14:paraId="134FE721" w14:textId="7A5E7D31" w:rsidR="00E33013" w:rsidRPr="00A079A6" w:rsidRDefault="00E33013" w:rsidP="00FB2409">
      <w:r w:rsidRPr="00A079A6">
        <w:t xml:space="preserve">Para el tema de la Resolución </w:t>
      </w:r>
      <w:r w:rsidRPr="00A079A6">
        <w:rPr>
          <w:b/>
          <w:bCs/>
        </w:rPr>
        <w:t>55 (</w:t>
      </w:r>
      <w:proofErr w:type="spellStart"/>
      <w:r w:rsidRPr="00A079A6">
        <w:rPr>
          <w:b/>
          <w:bCs/>
        </w:rPr>
        <w:t>Rev.CMR</w:t>
      </w:r>
      <w:proofErr w:type="spellEnd"/>
      <w:r w:rsidRPr="00A079A6">
        <w:rPr>
          <w:b/>
          <w:bCs/>
        </w:rPr>
        <w:t>-15)</w:t>
      </w:r>
      <w:r w:rsidRPr="00A079A6">
        <w:t xml:space="preserve"> (3.3.2),</w:t>
      </w:r>
      <w:r w:rsidR="00607F90" w:rsidRPr="00A079A6">
        <w:rPr>
          <w:b/>
          <w:bCs/>
        </w:rPr>
        <w:t xml:space="preserve"> </w:t>
      </w:r>
      <w:r w:rsidRPr="00A079A6">
        <w:t xml:space="preserve">la </w:t>
      </w:r>
      <w:proofErr w:type="spellStart"/>
      <w:r w:rsidRPr="00A079A6">
        <w:t>CEPT</w:t>
      </w:r>
      <w:proofErr w:type="spellEnd"/>
      <w:r w:rsidRPr="00A079A6">
        <w:t xml:space="preserve"> apoya la idea de la Oficina de suprimir la posibilidad de presentar gráficos en formato impreso. En lo que concierne al tema de la Resolución </w:t>
      </w:r>
      <w:r w:rsidRPr="00A079A6">
        <w:rPr>
          <w:b/>
          <w:bCs/>
        </w:rPr>
        <w:t>554 (</w:t>
      </w:r>
      <w:proofErr w:type="spellStart"/>
      <w:r w:rsidRPr="00A079A6">
        <w:rPr>
          <w:b/>
          <w:bCs/>
        </w:rPr>
        <w:t>Rev.CMR</w:t>
      </w:r>
      <w:proofErr w:type="spellEnd"/>
      <w:r w:rsidRPr="00A079A6">
        <w:rPr>
          <w:b/>
          <w:bCs/>
        </w:rPr>
        <w:t>-12)</w:t>
      </w:r>
      <w:r w:rsidRPr="00A079A6">
        <w:t xml:space="preserve"> (3.3.3), la </w:t>
      </w:r>
      <w:proofErr w:type="spellStart"/>
      <w:r w:rsidRPr="00A079A6">
        <w:t>CEPT</w:t>
      </w:r>
      <w:proofErr w:type="spellEnd"/>
      <w:r w:rsidRPr="00A079A6">
        <w:t xml:space="preserve"> está de acuerdo con la propuesta de la Oficina de </w:t>
      </w:r>
      <w:r w:rsidRPr="00A079A6">
        <w:lastRenderedPageBreak/>
        <w:t xml:space="preserve">aclarar que las máscaras de </w:t>
      </w:r>
      <w:proofErr w:type="spellStart"/>
      <w:r w:rsidRPr="00A079A6">
        <w:t>dfp</w:t>
      </w:r>
      <w:proofErr w:type="spellEnd"/>
      <w:r w:rsidRPr="00A079A6">
        <w:t xml:space="preserve"> s</w:t>
      </w:r>
      <w:r w:rsidR="00A079A6">
        <w:t>o</w:t>
      </w:r>
      <w:r w:rsidRPr="00A079A6">
        <w:t xml:space="preserve">lo son aplicables a la zona de servicio de las asignaciones de frecuencias de las redes de satélites existentes y que no se han de evaluar los niveles de </w:t>
      </w:r>
      <w:proofErr w:type="spellStart"/>
      <w:r w:rsidRPr="00A079A6">
        <w:t>dfp</w:t>
      </w:r>
      <w:proofErr w:type="spellEnd"/>
      <w:r w:rsidRPr="00A079A6">
        <w:t xml:space="preserve"> en la zona de servicio de las asignaciones nuevas.</w:t>
      </w:r>
    </w:p>
    <w:p w14:paraId="7B628692" w14:textId="0CC6DA0C" w:rsidR="00E33013" w:rsidRPr="00A079A6" w:rsidRDefault="00E33013" w:rsidP="00FB2409">
      <w:r w:rsidRPr="00A079A6">
        <w:t xml:space="preserve">Además, la </w:t>
      </w:r>
      <w:proofErr w:type="spellStart"/>
      <w:r w:rsidRPr="00A079A6">
        <w:t>CEPT</w:t>
      </w:r>
      <w:proofErr w:type="spellEnd"/>
      <w:r w:rsidRPr="00A079A6">
        <w:t xml:space="preserve"> está de acuerdo con la propuesta de la Oficina de indicar claramente que la Resolución </w:t>
      </w:r>
      <w:r w:rsidRPr="00A079A6">
        <w:rPr>
          <w:b/>
        </w:rPr>
        <w:t>762 (</w:t>
      </w:r>
      <w:proofErr w:type="spellStart"/>
      <w:r w:rsidRPr="00A079A6">
        <w:rPr>
          <w:b/>
        </w:rPr>
        <w:t>CMR</w:t>
      </w:r>
      <w:proofErr w:type="spellEnd"/>
      <w:r w:rsidRPr="00A079A6">
        <w:rPr>
          <w:b/>
        </w:rPr>
        <w:t>-15)</w:t>
      </w:r>
      <w:r w:rsidRPr="00A079A6">
        <w:t xml:space="preserve"> (3.3.4) s</w:t>
      </w:r>
      <w:r w:rsidR="00A079A6">
        <w:t>o</w:t>
      </w:r>
      <w:r w:rsidRPr="00A079A6">
        <w:t xml:space="preserve">lo debe utilizarse para identificar la probabilidad de que se cause interferencia perjudicial en los sentidos de transmisión espacio-Tierra y Tierra-espacio y refrenda la modificación propuesta del número </w:t>
      </w:r>
      <w:proofErr w:type="spellStart"/>
      <w:r w:rsidRPr="00A079A6">
        <w:rPr>
          <w:b/>
        </w:rPr>
        <w:t>11.32A.2</w:t>
      </w:r>
      <w:proofErr w:type="spellEnd"/>
      <w:r w:rsidRPr="00A079A6">
        <w:t xml:space="preserve"> del RR.</w:t>
      </w:r>
    </w:p>
    <w:p w14:paraId="0DD187FA" w14:textId="77777777" w:rsidR="008E6E46" w:rsidRPr="00A079A6" w:rsidRDefault="008E6E46" w:rsidP="00FB2409"/>
    <w:p w14:paraId="3A5A3BE4" w14:textId="77777777" w:rsidR="000E45E1" w:rsidRPr="00A079A6" w:rsidRDefault="00FB2409" w:rsidP="00FB2409">
      <w:pPr>
        <w:jc w:val="center"/>
      </w:pPr>
      <w:r w:rsidRPr="00A079A6">
        <w:t>______________</w:t>
      </w:r>
    </w:p>
    <w:sectPr w:rsidR="000E45E1" w:rsidRPr="00A079A6">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9676E" w14:textId="77777777" w:rsidR="00DA7BE7" w:rsidRDefault="00DA7BE7">
      <w:r>
        <w:separator/>
      </w:r>
    </w:p>
  </w:endnote>
  <w:endnote w:type="continuationSeparator" w:id="0">
    <w:p w14:paraId="5F00E38C" w14:textId="77777777" w:rsidR="00DA7BE7" w:rsidRDefault="00DA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8B425"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3B44E" w14:textId="09797FDC" w:rsidR="0077084A" w:rsidRPr="00F76B3E" w:rsidRDefault="0077084A">
    <w:pPr>
      <w:ind w:right="360"/>
    </w:pPr>
    <w:r>
      <w:fldChar w:fldCharType="begin"/>
    </w:r>
    <w:r w:rsidRPr="00F76B3E">
      <w:instrText xml:space="preserve"> FILENAME \p  \* MERGEFORMAT </w:instrText>
    </w:r>
    <w:r>
      <w:fldChar w:fldCharType="separate"/>
    </w:r>
    <w:r w:rsidR="00D259B6">
      <w:rPr>
        <w:noProof/>
      </w:rPr>
      <w:t>P:\ESP\ITU-R\CONF-R\CMR19\000\016ADD22S.docx</w:t>
    </w:r>
    <w:r>
      <w:fldChar w:fldCharType="end"/>
    </w:r>
    <w:r w:rsidRPr="00F76B3E">
      <w:tab/>
    </w:r>
    <w:r>
      <w:fldChar w:fldCharType="begin"/>
    </w:r>
    <w:r>
      <w:instrText xml:space="preserve"> SAVEDATE \@ DD.MM.YY </w:instrText>
    </w:r>
    <w:r>
      <w:fldChar w:fldCharType="separate"/>
    </w:r>
    <w:r w:rsidR="004F7854">
      <w:rPr>
        <w:noProof/>
      </w:rPr>
      <w:t>22.10.19</w:t>
    </w:r>
    <w:r>
      <w:fldChar w:fldCharType="end"/>
    </w:r>
    <w:r w:rsidRPr="00F76B3E">
      <w:tab/>
    </w:r>
    <w:r>
      <w:fldChar w:fldCharType="begin"/>
    </w:r>
    <w:r>
      <w:instrText xml:space="preserve"> PRINTDATE \@ DD.MM.YY </w:instrText>
    </w:r>
    <w:r>
      <w:fldChar w:fldCharType="separate"/>
    </w:r>
    <w:r w:rsidR="00D259B6">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ED04" w14:textId="72771DC3" w:rsidR="0077084A" w:rsidRPr="007F535B" w:rsidRDefault="001504BA" w:rsidP="007F535B">
    <w:pPr>
      <w:pStyle w:val="Footer"/>
    </w:pPr>
    <w:fldSimple w:instr=" FILENAME \p  \* MERGEFORMAT ">
      <w:r w:rsidR="00D259B6">
        <w:t>P:\ESP\ITU-R\CONF-R\CMR19\000\016ADD22S.docx</w:t>
      </w:r>
    </w:fldSimple>
    <w:r w:rsidR="007F535B">
      <w:t xml:space="preserve"> (461940)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16B3" w14:textId="2F45E321" w:rsidR="0077084A" w:rsidRDefault="007D5B87" w:rsidP="007F535B">
    <w:pPr>
      <w:pStyle w:val="Footer"/>
      <w:rPr>
        <w:lang w:val="en-US"/>
      </w:rPr>
    </w:pPr>
    <w:r>
      <w:fldChar w:fldCharType="begin"/>
    </w:r>
    <w:r>
      <w:instrText xml:space="preserve"> FILENAME \p  \* MERGE</w:instrText>
    </w:r>
    <w:r>
      <w:instrText xml:space="preserve">FORMAT </w:instrText>
    </w:r>
    <w:r>
      <w:fldChar w:fldCharType="separate"/>
    </w:r>
    <w:r w:rsidR="00D259B6">
      <w:t>P:\ESP\ITU-R\CONF-R\CMR19\000\016ADD22S.docx</w:t>
    </w:r>
    <w:r>
      <w:fldChar w:fldCharType="end"/>
    </w:r>
    <w:r w:rsidR="007F535B">
      <w:t xml:space="preserve"> (461940)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56E37" w14:textId="77777777" w:rsidR="00DA7BE7" w:rsidRDefault="00DA7BE7">
      <w:r>
        <w:rPr>
          <w:b/>
        </w:rPr>
        <w:t>_______________</w:t>
      </w:r>
    </w:p>
  </w:footnote>
  <w:footnote w:type="continuationSeparator" w:id="0">
    <w:p w14:paraId="398E0A43" w14:textId="77777777" w:rsidR="00DA7BE7" w:rsidRDefault="00DA7BE7">
      <w:r>
        <w:continuationSeparator/>
      </w:r>
    </w:p>
  </w:footnote>
  <w:footnote w:id="1">
    <w:p w14:paraId="1BF66EF6" w14:textId="77777777" w:rsidR="008E6E46" w:rsidRPr="008E6E46" w:rsidRDefault="008E6E46">
      <w:pPr>
        <w:pStyle w:val="FootnoteText"/>
        <w:rPr>
          <w:lang w:val="es-ES"/>
        </w:rPr>
      </w:pPr>
      <w:r w:rsidRPr="008E6E46">
        <w:rPr>
          <w:rStyle w:val="FootnoteReference"/>
        </w:rPr>
        <w:sym w:font="Symbol" w:char="F02A"/>
      </w:r>
      <w:r>
        <w:tab/>
      </w:r>
      <w:r w:rsidRPr="008E6E46">
        <w:t>Este punto del orden del día se limita estrictamente al Informe del Director, en relación con las dificultades o incoherencias observadas en la aplicación del Reglamento de Radiocomunicaciones y las observaciones de las administraciones.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21F3"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45E1">
      <w:rPr>
        <w:rStyle w:val="PageNumber"/>
        <w:noProof/>
      </w:rPr>
      <w:t>2</w:t>
    </w:r>
    <w:r>
      <w:rPr>
        <w:rStyle w:val="PageNumber"/>
      </w:rPr>
      <w:fldChar w:fldCharType="end"/>
    </w:r>
  </w:p>
  <w:p w14:paraId="612018E1" w14:textId="77777777" w:rsidR="0077084A" w:rsidRDefault="00C918CF" w:rsidP="00A4450C">
    <w:pPr>
      <w:pStyle w:val="Header"/>
      <w:rPr>
        <w:lang w:val="en-US"/>
      </w:rPr>
    </w:pPr>
    <w:proofErr w:type="spellStart"/>
    <w:r>
      <w:rPr>
        <w:lang w:val="en-US"/>
      </w:rPr>
      <w:t>CMR19</w:t>
    </w:r>
    <w:proofErr w:type="spellEnd"/>
    <w:r>
      <w:rPr>
        <w:lang w:val="en-US"/>
      </w:rPr>
      <w:t>/</w:t>
    </w:r>
    <w:r w:rsidR="00E33013">
      <w:rPr>
        <w:lang w:val="en-US"/>
      </w:rPr>
      <w:t>16(</w:t>
    </w:r>
    <w:proofErr w:type="spellStart"/>
    <w:r w:rsidR="00E33013">
      <w:rPr>
        <w:lang w:val="en-US"/>
      </w:rPr>
      <w:t>Add.22</w:t>
    </w:r>
    <w:proofErr w:type="spellEnd"/>
    <w:r w:rsidR="00E33013">
      <w:rPr>
        <w:lang w:val="en-US"/>
      </w:rPr>
      <w:t>)</w:t>
    </w:r>
    <w:r>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E7"/>
    <w:rsid w:val="0007394D"/>
    <w:rsid w:val="00087AE8"/>
    <w:rsid w:val="000A601D"/>
    <w:rsid w:val="000D1059"/>
    <w:rsid w:val="000E45E1"/>
    <w:rsid w:val="000E5BF9"/>
    <w:rsid w:val="000F0292"/>
    <w:rsid w:val="000F0E6D"/>
    <w:rsid w:val="00121170"/>
    <w:rsid w:val="00123CC5"/>
    <w:rsid w:val="001504BA"/>
    <w:rsid w:val="0015142D"/>
    <w:rsid w:val="001616DC"/>
    <w:rsid w:val="00163962"/>
    <w:rsid w:val="00191A97"/>
    <w:rsid w:val="001C27F7"/>
    <w:rsid w:val="001C41FA"/>
    <w:rsid w:val="001E2B52"/>
    <w:rsid w:val="001E3F27"/>
    <w:rsid w:val="00236D2A"/>
    <w:rsid w:val="00255F12"/>
    <w:rsid w:val="00262C09"/>
    <w:rsid w:val="00280126"/>
    <w:rsid w:val="002A791F"/>
    <w:rsid w:val="002C1B26"/>
    <w:rsid w:val="002E701F"/>
    <w:rsid w:val="00320B51"/>
    <w:rsid w:val="0032680B"/>
    <w:rsid w:val="00363A65"/>
    <w:rsid w:val="00367105"/>
    <w:rsid w:val="00377704"/>
    <w:rsid w:val="003C2508"/>
    <w:rsid w:val="003C614D"/>
    <w:rsid w:val="003D0AA3"/>
    <w:rsid w:val="003D160D"/>
    <w:rsid w:val="0044541C"/>
    <w:rsid w:val="00454553"/>
    <w:rsid w:val="004B124A"/>
    <w:rsid w:val="004F7854"/>
    <w:rsid w:val="00532097"/>
    <w:rsid w:val="0058350F"/>
    <w:rsid w:val="005F2605"/>
    <w:rsid w:val="00607F90"/>
    <w:rsid w:val="00662BA0"/>
    <w:rsid w:val="00692AAE"/>
    <w:rsid w:val="006D6E67"/>
    <w:rsid w:val="00701C20"/>
    <w:rsid w:val="0073517D"/>
    <w:rsid w:val="007354E9"/>
    <w:rsid w:val="007542C0"/>
    <w:rsid w:val="00765578"/>
    <w:rsid w:val="0077084A"/>
    <w:rsid w:val="007C2317"/>
    <w:rsid w:val="007D330A"/>
    <w:rsid w:val="007D5B87"/>
    <w:rsid w:val="007F2F80"/>
    <w:rsid w:val="007F535B"/>
    <w:rsid w:val="00866AE6"/>
    <w:rsid w:val="008E6E46"/>
    <w:rsid w:val="0094091F"/>
    <w:rsid w:val="009538D2"/>
    <w:rsid w:val="00973754"/>
    <w:rsid w:val="009A599E"/>
    <w:rsid w:val="009C0BED"/>
    <w:rsid w:val="009E11EC"/>
    <w:rsid w:val="009F6FD5"/>
    <w:rsid w:val="00A079A6"/>
    <w:rsid w:val="00A118DB"/>
    <w:rsid w:val="00A4450C"/>
    <w:rsid w:val="00A9253A"/>
    <w:rsid w:val="00AA5E6C"/>
    <w:rsid w:val="00AE5677"/>
    <w:rsid w:val="00AF2F78"/>
    <w:rsid w:val="00B27304"/>
    <w:rsid w:val="00B52D55"/>
    <w:rsid w:val="00B95DD9"/>
    <w:rsid w:val="00BB5CD2"/>
    <w:rsid w:val="00BE2E80"/>
    <w:rsid w:val="00BE5EDD"/>
    <w:rsid w:val="00BE6A1F"/>
    <w:rsid w:val="00BF58D1"/>
    <w:rsid w:val="00C104EC"/>
    <w:rsid w:val="00C126C4"/>
    <w:rsid w:val="00C34FF2"/>
    <w:rsid w:val="00C63EB5"/>
    <w:rsid w:val="00C8286D"/>
    <w:rsid w:val="00C918CF"/>
    <w:rsid w:val="00CC01E0"/>
    <w:rsid w:val="00CE60D2"/>
    <w:rsid w:val="00CF2A2E"/>
    <w:rsid w:val="00D0288A"/>
    <w:rsid w:val="00D04D3F"/>
    <w:rsid w:val="00D259B6"/>
    <w:rsid w:val="00D405F7"/>
    <w:rsid w:val="00D6680A"/>
    <w:rsid w:val="00D72A5D"/>
    <w:rsid w:val="00DA7BE7"/>
    <w:rsid w:val="00DB0CDE"/>
    <w:rsid w:val="00DB53AB"/>
    <w:rsid w:val="00DC629B"/>
    <w:rsid w:val="00E262F1"/>
    <w:rsid w:val="00E33013"/>
    <w:rsid w:val="00E71D14"/>
    <w:rsid w:val="00F65E8D"/>
    <w:rsid w:val="00F76B3E"/>
    <w:rsid w:val="00F8150C"/>
    <w:rsid w:val="00FB2409"/>
    <w:rsid w:val="00FE4574"/>
    <w:rsid w:val="00FF2E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88B257"/>
  <w15:docId w15:val="{30ED18B9-EA4D-467D-819B-A328F668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qFormat/>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qFormat/>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b\AppData\Roaming\Microsoft\Templates\POOL%20S%20-%20ITU\PS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03FC4-59F8-464D-8C9F-EE2C44B9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PS_WRC19.dotx</Template>
  <TotalTime>73</TotalTime>
  <Pages>5</Pages>
  <Words>2282</Words>
  <Characters>11470</Characters>
  <Application>Microsoft Office Word</Application>
  <DocSecurity>0</DocSecurity>
  <Lines>273</Lines>
  <Paragraphs>152</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13600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- 2019</dc:subject>
  <dc:creator>Spanish</dc:creator>
  <cp:keywords/>
  <cp:lastModifiedBy>Spanish1</cp:lastModifiedBy>
  <cp:revision>31</cp:revision>
  <cp:lastPrinted>2019-10-22T03:26:00Z</cp:lastPrinted>
  <dcterms:created xsi:type="dcterms:W3CDTF">2019-10-17T12:47:00Z</dcterms:created>
  <dcterms:modified xsi:type="dcterms:W3CDTF">2019-10-22T23:40:00Z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