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587A4E" w:rsidRPr="002A6F8F" w14:paraId="3738571B" w14:textId="77777777" w:rsidTr="00773113">
        <w:trPr>
          <w:cantSplit/>
        </w:trPr>
        <w:tc>
          <w:tcPr>
            <w:tcW w:w="6911" w:type="dxa"/>
          </w:tcPr>
          <w:p w14:paraId="197A1304" w14:textId="77777777" w:rsidR="00587A4E" w:rsidRPr="00930FFD" w:rsidRDefault="00587A4E" w:rsidP="00D56210">
            <w:pPr>
              <w:spacing w:before="400" w:after="48"/>
              <w:rPr>
                <w:rFonts w:ascii="Verdana" w:hAnsi="Verdana"/>
                <w:b/>
                <w:bCs/>
                <w:sz w:val="20"/>
                <w:lang w:val="fr-CH"/>
              </w:rPr>
            </w:pPr>
            <w:r>
              <w:rPr>
                <w:rFonts w:ascii="Verdana" w:hAnsi="Verdana"/>
                <w:b/>
                <w:bCs/>
                <w:sz w:val="20"/>
                <w:lang w:val="fr-CH"/>
              </w:rPr>
              <w:t>Conférence mondiale des radiocommunications (CMR-19)</w:t>
            </w:r>
            <w:r w:rsidRPr="00930FFD">
              <w:rPr>
                <w:rFonts w:ascii="Verdana" w:hAnsi="Verdana"/>
                <w:b/>
                <w:bCs/>
                <w:sz w:val="20"/>
                <w:lang w:val="fr-CH"/>
              </w:rPr>
              <w:br/>
            </w:r>
            <w:r w:rsidRPr="00063A1F">
              <w:rPr>
                <w:rFonts w:ascii="Verdana" w:hAnsi="Verdana"/>
                <w:b/>
                <w:bCs/>
                <w:sz w:val="18"/>
                <w:szCs w:val="18"/>
                <w:lang w:val="fr-CH"/>
              </w:rPr>
              <w:t xml:space="preserve">Charm el-Cheikh, </w:t>
            </w:r>
            <w:r w:rsidR="00134655">
              <w:rPr>
                <w:rFonts w:ascii="Verdana" w:hAnsi="Verdana"/>
                <w:b/>
                <w:bCs/>
                <w:sz w:val="18"/>
                <w:szCs w:val="18"/>
                <w:lang w:val="fr-CH"/>
              </w:rPr>
              <w:t>É</w:t>
            </w:r>
            <w:r w:rsidRPr="00063A1F">
              <w:rPr>
                <w:rFonts w:ascii="Verdana" w:hAnsi="Verdana"/>
                <w:b/>
                <w:bCs/>
                <w:sz w:val="18"/>
                <w:szCs w:val="18"/>
                <w:lang w:val="fr-CH"/>
              </w:rPr>
              <w:t>gypte</w:t>
            </w:r>
            <w:r w:rsidRPr="00930FFD">
              <w:rPr>
                <w:rFonts w:ascii="Verdana" w:hAnsi="Verdana"/>
                <w:b/>
                <w:bCs/>
                <w:sz w:val="18"/>
                <w:szCs w:val="18"/>
                <w:lang w:val="fr-CH"/>
              </w:rPr>
              <w:t>,</w:t>
            </w:r>
            <w:r>
              <w:rPr>
                <w:rFonts w:ascii="Verdana" w:hAnsi="Verdana"/>
                <w:b/>
                <w:bCs/>
                <w:sz w:val="18"/>
                <w:szCs w:val="18"/>
                <w:lang w:val="fr-CH"/>
              </w:rPr>
              <w:t xml:space="preserve"> </w:t>
            </w:r>
            <w:r w:rsidRPr="00930FFD">
              <w:rPr>
                <w:rFonts w:ascii="Verdana" w:hAnsi="Verdana"/>
                <w:b/>
                <w:bCs/>
                <w:sz w:val="18"/>
                <w:szCs w:val="18"/>
                <w:lang w:val="fr-CH"/>
              </w:rPr>
              <w:t>2</w:t>
            </w:r>
            <w:r>
              <w:rPr>
                <w:rFonts w:ascii="Verdana" w:hAnsi="Verdana"/>
                <w:b/>
                <w:bCs/>
                <w:sz w:val="18"/>
                <w:szCs w:val="18"/>
                <w:lang w:val="fr-CH"/>
              </w:rPr>
              <w:t xml:space="preserve">8 octobre </w:t>
            </w:r>
            <w:r w:rsidR="009765A8">
              <w:rPr>
                <w:rFonts w:ascii="Verdana" w:hAnsi="Verdana"/>
                <w:b/>
                <w:bCs/>
                <w:sz w:val="18"/>
                <w:szCs w:val="18"/>
                <w:lang w:val="fr-CH"/>
              </w:rPr>
              <w:t>–</w:t>
            </w:r>
            <w:r>
              <w:rPr>
                <w:rFonts w:ascii="Verdana" w:hAnsi="Verdana"/>
                <w:b/>
                <w:bCs/>
                <w:sz w:val="18"/>
                <w:szCs w:val="18"/>
                <w:lang w:val="fr-CH"/>
              </w:rPr>
              <w:t xml:space="preserve"> </w:t>
            </w:r>
            <w:r w:rsidRPr="00930FFD">
              <w:rPr>
                <w:rFonts w:ascii="Verdana" w:hAnsi="Verdana"/>
                <w:b/>
                <w:bCs/>
                <w:sz w:val="18"/>
                <w:szCs w:val="18"/>
                <w:lang w:val="fr-CH"/>
              </w:rPr>
              <w:t>2</w:t>
            </w:r>
            <w:r>
              <w:rPr>
                <w:rFonts w:ascii="Verdana" w:hAnsi="Verdana"/>
                <w:b/>
                <w:bCs/>
                <w:sz w:val="18"/>
                <w:szCs w:val="18"/>
                <w:lang w:val="fr-CH"/>
              </w:rPr>
              <w:t>2</w:t>
            </w:r>
            <w:r w:rsidRPr="00930FFD">
              <w:rPr>
                <w:rFonts w:ascii="Verdana" w:hAnsi="Verdana"/>
                <w:b/>
                <w:bCs/>
                <w:sz w:val="18"/>
                <w:szCs w:val="18"/>
                <w:lang w:val="fr-CH"/>
              </w:rPr>
              <w:t xml:space="preserve"> novembre 201</w:t>
            </w:r>
            <w:r>
              <w:rPr>
                <w:rFonts w:ascii="Verdana" w:hAnsi="Verdana"/>
                <w:b/>
                <w:bCs/>
                <w:sz w:val="18"/>
                <w:szCs w:val="18"/>
                <w:lang w:val="fr-CH"/>
              </w:rPr>
              <w:t>9</w:t>
            </w:r>
          </w:p>
        </w:tc>
        <w:tc>
          <w:tcPr>
            <w:tcW w:w="3120" w:type="dxa"/>
          </w:tcPr>
          <w:p w14:paraId="7B383AE5" w14:textId="77777777" w:rsidR="00587A4E" w:rsidRPr="002A6F8F" w:rsidRDefault="00587A4E" w:rsidP="00D56210">
            <w:pPr>
              <w:spacing w:before="0"/>
              <w:jc w:val="right"/>
              <w:rPr>
                <w:lang w:val="en-US"/>
              </w:rPr>
            </w:pPr>
            <w:bookmarkStart w:id="0" w:name="ditulogo"/>
            <w:bookmarkEnd w:id="0"/>
            <w:r>
              <w:rPr>
                <w:rFonts w:ascii="Verdana" w:hAnsi="Verdana"/>
                <w:b/>
                <w:bCs/>
                <w:noProof/>
                <w:lang w:val="en-US" w:eastAsia="zh-CN"/>
              </w:rPr>
              <w:drawing>
                <wp:inline distT="0" distB="0" distL="0" distR="0" wp14:anchorId="235FDDCB" wp14:editId="2FCC806D">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587A4E" w:rsidRPr="002A6F8F" w14:paraId="71901D35" w14:textId="77777777" w:rsidTr="00773113">
        <w:trPr>
          <w:cantSplit/>
        </w:trPr>
        <w:tc>
          <w:tcPr>
            <w:tcW w:w="6911" w:type="dxa"/>
            <w:tcBorders>
              <w:bottom w:val="single" w:sz="12" w:space="0" w:color="auto"/>
            </w:tcBorders>
          </w:tcPr>
          <w:p w14:paraId="077280A7" w14:textId="77777777" w:rsidR="00587A4E" w:rsidRPr="002A6F8F" w:rsidRDefault="00587A4E" w:rsidP="00D56210">
            <w:pPr>
              <w:spacing w:before="0" w:after="48"/>
              <w:rPr>
                <w:b/>
                <w:smallCaps/>
                <w:szCs w:val="24"/>
                <w:lang w:val="en-US"/>
              </w:rPr>
            </w:pPr>
            <w:bookmarkStart w:id="1" w:name="dhead"/>
          </w:p>
        </w:tc>
        <w:tc>
          <w:tcPr>
            <w:tcW w:w="3120" w:type="dxa"/>
            <w:tcBorders>
              <w:bottom w:val="single" w:sz="12" w:space="0" w:color="auto"/>
            </w:tcBorders>
          </w:tcPr>
          <w:p w14:paraId="4EBE31FA" w14:textId="77777777" w:rsidR="00587A4E" w:rsidRPr="002A6F8F" w:rsidRDefault="00587A4E" w:rsidP="00D56210">
            <w:pPr>
              <w:spacing w:before="0"/>
              <w:rPr>
                <w:rFonts w:ascii="Verdana" w:hAnsi="Verdana"/>
                <w:szCs w:val="24"/>
                <w:lang w:val="en-US"/>
              </w:rPr>
            </w:pPr>
          </w:p>
        </w:tc>
      </w:tr>
      <w:tr w:rsidR="00587A4E" w:rsidRPr="002A6F8F" w14:paraId="6FAAF6AF" w14:textId="77777777" w:rsidTr="00773113">
        <w:trPr>
          <w:cantSplit/>
        </w:trPr>
        <w:tc>
          <w:tcPr>
            <w:tcW w:w="6911" w:type="dxa"/>
            <w:tcBorders>
              <w:top w:val="single" w:sz="12" w:space="0" w:color="auto"/>
            </w:tcBorders>
          </w:tcPr>
          <w:p w14:paraId="40BD6ED8" w14:textId="77777777" w:rsidR="00587A4E" w:rsidRPr="002A6F8F" w:rsidRDefault="00587A4E" w:rsidP="00D56210">
            <w:pPr>
              <w:spacing w:before="0" w:after="48"/>
              <w:rPr>
                <w:rFonts w:ascii="Verdana" w:hAnsi="Verdana"/>
                <w:b/>
                <w:smallCaps/>
                <w:sz w:val="20"/>
                <w:lang w:val="en-US"/>
              </w:rPr>
            </w:pPr>
            <w:bookmarkStart w:id="2" w:name="_GoBack"/>
            <w:bookmarkEnd w:id="2"/>
          </w:p>
        </w:tc>
        <w:tc>
          <w:tcPr>
            <w:tcW w:w="3120" w:type="dxa"/>
            <w:tcBorders>
              <w:top w:val="single" w:sz="12" w:space="0" w:color="auto"/>
            </w:tcBorders>
          </w:tcPr>
          <w:p w14:paraId="3E522039" w14:textId="77777777" w:rsidR="00587A4E" w:rsidRPr="002A6F8F" w:rsidRDefault="00587A4E" w:rsidP="00D56210">
            <w:pPr>
              <w:spacing w:before="0"/>
              <w:rPr>
                <w:rFonts w:ascii="Verdana" w:hAnsi="Verdana"/>
                <w:sz w:val="20"/>
                <w:lang w:val="en-US"/>
              </w:rPr>
            </w:pPr>
          </w:p>
        </w:tc>
      </w:tr>
      <w:tr w:rsidR="00587A4E" w:rsidRPr="002A6F8F" w14:paraId="0D529CB2" w14:textId="77777777" w:rsidTr="00773113">
        <w:trPr>
          <w:cantSplit/>
        </w:trPr>
        <w:tc>
          <w:tcPr>
            <w:tcW w:w="6911" w:type="dxa"/>
          </w:tcPr>
          <w:p w14:paraId="0CC67876" w14:textId="69EEBE96" w:rsidR="00587A4E" w:rsidRPr="00930FFD" w:rsidRDefault="00C06FF1" w:rsidP="00D56210">
            <w:pPr>
              <w:spacing w:before="0"/>
              <w:rPr>
                <w:rFonts w:ascii="Verdana" w:hAnsi="Verdana"/>
                <w:b/>
                <w:sz w:val="20"/>
                <w:lang w:val="en-US"/>
              </w:rPr>
            </w:pPr>
            <w:r w:rsidRPr="00C06FF1">
              <w:rPr>
                <w:rFonts w:ascii="Verdana" w:hAnsi="Verdana"/>
                <w:b/>
                <w:sz w:val="20"/>
                <w:lang w:val="en-US"/>
              </w:rPr>
              <w:t>SÉANCE PLÉNIÈRE</w:t>
            </w:r>
          </w:p>
        </w:tc>
        <w:tc>
          <w:tcPr>
            <w:tcW w:w="3120" w:type="dxa"/>
          </w:tcPr>
          <w:p w14:paraId="3507F519" w14:textId="77777777" w:rsidR="00587A4E" w:rsidRPr="002A6F8F" w:rsidRDefault="002011E3" w:rsidP="00D56210">
            <w:pPr>
              <w:spacing w:before="0"/>
              <w:rPr>
                <w:rFonts w:ascii="Verdana" w:hAnsi="Verdana"/>
                <w:sz w:val="20"/>
                <w:lang w:val="en-US"/>
              </w:rPr>
            </w:pPr>
            <w:r w:rsidRPr="002011E3">
              <w:rPr>
                <w:rFonts w:ascii="Verdana" w:hAnsi="Verdana"/>
                <w:b/>
                <w:sz w:val="20"/>
                <w:lang w:val="en-GB"/>
              </w:rPr>
              <w:t>Addendum 22 au</w:t>
            </w:r>
            <w:r w:rsidRPr="002011E3">
              <w:rPr>
                <w:rFonts w:ascii="Verdana" w:hAnsi="Verdana"/>
                <w:b/>
                <w:sz w:val="20"/>
                <w:lang w:val="en-GB"/>
              </w:rPr>
              <w:br/>
              <w:t>Document 16-F</w:t>
            </w:r>
          </w:p>
        </w:tc>
      </w:tr>
      <w:bookmarkEnd w:id="1"/>
      <w:tr w:rsidR="00587A4E" w:rsidRPr="002A6F8F" w14:paraId="089634B7" w14:textId="77777777" w:rsidTr="00773113">
        <w:trPr>
          <w:cantSplit/>
        </w:trPr>
        <w:tc>
          <w:tcPr>
            <w:tcW w:w="6911" w:type="dxa"/>
          </w:tcPr>
          <w:p w14:paraId="35521F9F" w14:textId="77777777" w:rsidR="00587A4E" w:rsidRPr="00930FFD" w:rsidRDefault="00587A4E" w:rsidP="00D56210">
            <w:pPr>
              <w:spacing w:before="0"/>
              <w:rPr>
                <w:rFonts w:ascii="Verdana" w:hAnsi="Verdana"/>
                <w:b/>
                <w:sz w:val="20"/>
                <w:lang w:val="en-US"/>
              </w:rPr>
            </w:pPr>
          </w:p>
        </w:tc>
        <w:tc>
          <w:tcPr>
            <w:tcW w:w="3120" w:type="dxa"/>
          </w:tcPr>
          <w:p w14:paraId="2A93F120" w14:textId="64A6FA86" w:rsidR="00587A4E" w:rsidRPr="002A6F8F" w:rsidRDefault="002011E3" w:rsidP="00D56210">
            <w:pPr>
              <w:spacing w:before="0"/>
              <w:rPr>
                <w:rFonts w:ascii="Verdana" w:hAnsi="Verdana"/>
                <w:b/>
                <w:sz w:val="20"/>
                <w:lang w:val="en-US"/>
              </w:rPr>
            </w:pPr>
            <w:r>
              <w:rPr>
                <w:rFonts w:ascii="Verdana" w:hAnsi="Verdana"/>
                <w:b/>
                <w:sz w:val="20"/>
                <w:lang w:val="en-US"/>
              </w:rPr>
              <w:t>8 octobre</w:t>
            </w:r>
            <w:r w:rsidR="00587A4E">
              <w:rPr>
                <w:rFonts w:ascii="Verdana" w:hAnsi="Verdana"/>
                <w:b/>
                <w:sz w:val="20"/>
                <w:lang w:val="en-US"/>
              </w:rPr>
              <w:t xml:space="preserve"> 201</w:t>
            </w:r>
            <w:r w:rsidR="009765A8">
              <w:rPr>
                <w:rFonts w:ascii="Verdana" w:hAnsi="Verdana"/>
                <w:b/>
                <w:sz w:val="20"/>
                <w:lang w:val="en-US"/>
              </w:rPr>
              <w:t>9</w:t>
            </w:r>
          </w:p>
        </w:tc>
      </w:tr>
      <w:tr w:rsidR="00587A4E" w:rsidRPr="002A6F8F" w14:paraId="678F9601" w14:textId="77777777" w:rsidTr="00773113">
        <w:trPr>
          <w:cantSplit/>
        </w:trPr>
        <w:tc>
          <w:tcPr>
            <w:tcW w:w="6911" w:type="dxa"/>
          </w:tcPr>
          <w:p w14:paraId="05710D07" w14:textId="77777777" w:rsidR="00587A4E" w:rsidRPr="002A6F8F" w:rsidRDefault="00587A4E" w:rsidP="00D56210">
            <w:pPr>
              <w:spacing w:before="0" w:after="48"/>
              <w:rPr>
                <w:rFonts w:ascii="Verdana" w:hAnsi="Verdana"/>
                <w:b/>
                <w:smallCaps/>
                <w:sz w:val="20"/>
                <w:lang w:val="en-US"/>
              </w:rPr>
            </w:pPr>
          </w:p>
        </w:tc>
        <w:tc>
          <w:tcPr>
            <w:tcW w:w="3120" w:type="dxa"/>
          </w:tcPr>
          <w:p w14:paraId="5D0D7007" w14:textId="77777777" w:rsidR="00587A4E" w:rsidRPr="002A6F8F" w:rsidRDefault="00587A4E" w:rsidP="00D56210">
            <w:pPr>
              <w:spacing w:before="0"/>
              <w:rPr>
                <w:rFonts w:ascii="Verdana" w:hAnsi="Verdana"/>
                <w:b/>
                <w:sz w:val="20"/>
                <w:lang w:val="en-US"/>
              </w:rPr>
            </w:pPr>
            <w:r>
              <w:rPr>
                <w:rFonts w:ascii="Verdana" w:hAnsi="Verdana"/>
                <w:b/>
                <w:sz w:val="20"/>
                <w:lang w:val="en-US"/>
              </w:rPr>
              <w:t>Original: anglais</w:t>
            </w:r>
          </w:p>
        </w:tc>
      </w:tr>
      <w:tr w:rsidR="00587A4E" w:rsidRPr="002A6F8F" w14:paraId="1D55E85E" w14:textId="77777777" w:rsidTr="00773113">
        <w:trPr>
          <w:cantSplit/>
        </w:trPr>
        <w:tc>
          <w:tcPr>
            <w:tcW w:w="10031" w:type="dxa"/>
            <w:gridSpan w:val="2"/>
          </w:tcPr>
          <w:p w14:paraId="0A7A9FEC" w14:textId="77777777" w:rsidR="00587A4E" w:rsidRPr="002A6F8F" w:rsidRDefault="00587A4E" w:rsidP="00D56210">
            <w:pPr>
              <w:spacing w:before="0"/>
              <w:rPr>
                <w:rFonts w:ascii="Verdana" w:hAnsi="Verdana"/>
                <w:b/>
                <w:sz w:val="20"/>
                <w:lang w:val="en-US"/>
              </w:rPr>
            </w:pPr>
          </w:p>
        </w:tc>
      </w:tr>
      <w:tr w:rsidR="00C00626" w:rsidRPr="002A6F8F" w14:paraId="7E2B4DDB" w14:textId="77777777" w:rsidTr="00773113">
        <w:trPr>
          <w:cantSplit/>
        </w:trPr>
        <w:tc>
          <w:tcPr>
            <w:tcW w:w="10031" w:type="dxa"/>
            <w:gridSpan w:val="2"/>
          </w:tcPr>
          <w:p w14:paraId="03C02A81" w14:textId="125BBADC" w:rsidR="00C00626" w:rsidRPr="002A6F8F" w:rsidRDefault="00C00626" w:rsidP="00D56210">
            <w:pPr>
              <w:pStyle w:val="Source"/>
              <w:rPr>
                <w:lang w:val="en-US"/>
              </w:rPr>
            </w:pPr>
            <w:bookmarkStart w:id="3" w:name="dsource" w:colFirst="0" w:colLast="0"/>
            <w:r>
              <w:rPr>
                <w:color w:val="000000"/>
              </w:rPr>
              <w:t>Propositions européennes communes</w:t>
            </w:r>
          </w:p>
        </w:tc>
      </w:tr>
      <w:tr w:rsidR="00C00626" w:rsidRPr="002A6F8F" w14:paraId="448A971E" w14:textId="77777777" w:rsidTr="00773113">
        <w:trPr>
          <w:cantSplit/>
        </w:trPr>
        <w:tc>
          <w:tcPr>
            <w:tcW w:w="10031" w:type="dxa"/>
            <w:gridSpan w:val="2"/>
          </w:tcPr>
          <w:p w14:paraId="5E56D733" w14:textId="641C5213" w:rsidR="00C00626" w:rsidRPr="002A6F8F" w:rsidRDefault="00C00626" w:rsidP="00D56210">
            <w:pPr>
              <w:pStyle w:val="Title1"/>
              <w:rPr>
                <w:lang w:val="en-US"/>
              </w:rPr>
            </w:pPr>
            <w:bookmarkStart w:id="4" w:name="dtitle1" w:colFirst="0" w:colLast="0"/>
            <w:bookmarkEnd w:id="3"/>
            <w:r w:rsidRPr="00440DDC">
              <w:rPr>
                <w:color w:val="000000"/>
                <w:lang w:val="fr-CH"/>
              </w:rPr>
              <w:t>Propositions pour les travaux de la conférence</w:t>
            </w:r>
          </w:p>
        </w:tc>
      </w:tr>
      <w:tr w:rsidR="00C00626" w:rsidRPr="002A6F8F" w14:paraId="50C2F4F5" w14:textId="77777777" w:rsidTr="00773113">
        <w:trPr>
          <w:cantSplit/>
        </w:trPr>
        <w:tc>
          <w:tcPr>
            <w:tcW w:w="10031" w:type="dxa"/>
            <w:gridSpan w:val="2"/>
          </w:tcPr>
          <w:p w14:paraId="13D440B4" w14:textId="77777777" w:rsidR="00C00626" w:rsidRPr="002A6F8F" w:rsidRDefault="00C00626" w:rsidP="00D56210">
            <w:pPr>
              <w:pStyle w:val="Title2"/>
              <w:rPr>
                <w:lang w:val="en-US"/>
              </w:rPr>
            </w:pPr>
            <w:bookmarkStart w:id="5" w:name="dtitle2" w:colFirst="0" w:colLast="0"/>
            <w:bookmarkEnd w:id="4"/>
          </w:p>
        </w:tc>
      </w:tr>
      <w:tr w:rsidR="00C00626" w14:paraId="3D17195F" w14:textId="77777777" w:rsidTr="00773113">
        <w:trPr>
          <w:cantSplit/>
        </w:trPr>
        <w:tc>
          <w:tcPr>
            <w:tcW w:w="10031" w:type="dxa"/>
            <w:gridSpan w:val="2"/>
          </w:tcPr>
          <w:p w14:paraId="623C445A" w14:textId="0CE03A07" w:rsidR="00C00626" w:rsidRDefault="00C00626" w:rsidP="00D56210">
            <w:pPr>
              <w:pStyle w:val="Agendaitem"/>
            </w:pPr>
            <w:bookmarkStart w:id="6" w:name="dtitle3" w:colFirst="0" w:colLast="0"/>
            <w:bookmarkEnd w:id="5"/>
            <w:r>
              <w:rPr>
                <w:color w:val="000000"/>
              </w:rPr>
              <w:t xml:space="preserve">Point </w:t>
            </w:r>
            <w:r>
              <w:t xml:space="preserve">9.2 </w:t>
            </w:r>
            <w:r>
              <w:rPr>
                <w:color w:val="000000"/>
              </w:rPr>
              <w:t>de l'ordre du jour</w:t>
            </w:r>
            <w:r w:rsidR="00F52C52">
              <w:t xml:space="preserve"> </w:t>
            </w:r>
          </w:p>
        </w:tc>
      </w:tr>
    </w:tbl>
    <w:bookmarkEnd w:id="6"/>
    <w:p w14:paraId="1FBD6C76" w14:textId="049066A7" w:rsidR="00C00626" w:rsidRPr="00440DDC" w:rsidRDefault="00C00626" w:rsidP="00D56210">
      <w:pPr>
        <w:overflowPunct/>
        <w:autoSpaceDE/>
        <w:autoSpaceDN/>
        <w:adjustRightInd/>
        <w:textAlignment w:val="auto"/>
        <w:rPr>
          <w:lang w:val="fr-CH"/>
        </w:rPr>
      </w:pPr>
      <w:r w:rsidRPr="00440DDC">
        <w:rPr>
          <w:lang w:val="fr-CH"/>
        </w:rPr>
        <w:t>9</w:t>
      </w:r>
      <w:r w:rsidRPr="00440DDC">
        <w:rPr>
          <w:lang w:val="fr-CH"/>
        </w:rPr>
        <w:tab/>
      </w:r>
      <w:r w:rsidRPr="00440DDC">
        <w:rPr>
          <w:color w:val="000000"/>
          <w:lang w:val="fr-CH"/>
        </w:rPr>
        <w:t>examiner et approuver le rapport du Directeur du Bureau des radiocommunications, conformément à l'article 7 de la Convention</w:t>
      </w:r>
      <w:r w:rsidRPr="00440DDC">
        <w:rPr>
          <w:lang w:val="fr-CH"/>
        </w:rPr>
        <w:t>:</w:t>
      </w:r>
    </w:p>
    <w:p w14:paraId="40F6A875" w14:textId="1B40A0A3" w:rsidR="00C00626" w:rsidRPr="00440DDC" w:rsidRDefault="00C00626" w:rsidP="00D56210">
      <w:pPr>
        <w:rPr>
          <w:lang w:val="fr-CH"/>
        </w:rPr>
      </w:pPr>
      <w:r w:rsidRPr="00440DDC">
        <w:rPr>
          <w:lang w:val="fr-CH"/>
        </w:rPr>
        <w:t>9.2</w:t>
      </w:r>
      <w:r w:rsidRPr="00440DDC">
        <w:rPr>
          <w:lang w:val="fr-CH"/>
        </w:rPr>
        <w:tab/>
      </w:r>
      <w:r w:rsidRPr="00440DDC">
        <w:rPr>
          <w:color w:val="000000"/>
          <w:lang w:val="fr-CH"/>
        </w:rPr>
        <w:t>sur les difficultés rencontrées ou les incohérences constatées dans l'application du Règlement des radiocommunications</w:t>
      </w:r>
      <w:r w:rsidRPr="00440DDC">
        <w:rPr>
          <w:rStyle w:val="FootnoteReference"/>
          <w:lang w:val="fr-CH"/>
        </w:rPr>
        <w:footnoteReference w:customMarkFollows="1" w:id="1"/>
        <w:t>*</w:t>
      </w:r>
      <w:r w:rsidR="000D469E">
        <w:rPr>
          <w:lang w:val="fr-CH"/>
        </w:rPr>
        <w:t xml:space="preserve">; </w:t>
      </w:r>
      <w:r>
        <w:rPr>
          <w:lang w:val="fr-CH"/>
        </w:rPr>
        <w:t>et</w:t>
      </w:r>
    </w:p>
    <w:p w14:paraId="51A9762E" w14:textId="77777777" w:rsidR="00C00626" w:rsidRPr="00EC225E" w:rsidRDefault="00C00626" w:rsidP="00D56210">
      <w:pPr>
        <w:pStyle w:val="Headingb"/>
        <w:rPr>
          <w:lang w:val="en-GB"/>
        </w:rPr>
      </w:pPr>
      <w:r w:rsidRPr="00EC225E">
        <w:rPr>
          <w:lang w:val="en-GB"/>
        </w:rPr>
        <w:t>Introduction</w:t>
      </w:r>
    </w:p>
    <w:p w14:paraId="6D27AF34" w14:textId="36090108" w:rsidR="00C00626" w:rsidRPr="00440DDC" w:rsidRDefault="00C00626" w:rsidP="00D56210">
      <w:pPr>
        <w:rPr>
          <w:lang w:val="fr-CH"/>
        </w:rPr>
      </w:pPr>
      <w:r w:rsidRPr="00440DDC">
        <w:rPr>
          <w:color w:val="000000"/>
          <w:lang w:val="fr-CH"/>
        </w:rPr>
        <w:t xml:space="preserve">Le point </w:t>
      </w:r>
      <w:r w:rsidRPr="00440DDC">
        <w:rPr>
          <w:lang w:val="fr-CH"/>
        </w:rPr>
        <w:t xml:space="preserve">9.2 </w:t>
      </w:r>
      <w:r w:rsidRPr="00440DDC">
        <w:rPr>
          <w:color w:val="000000"/>
          <w:lang w:val="fr-CH"/>
        </w:rPr>
        <w:t>de l'ordre du jour</w:t>
      </w:r>
      <w:r w:rsidRPr="00440DDC">
        <w:rPr>
          <w:lang w:val="fr-CH"/>
        </w:rPr>
        <w:t xml:space="preserve"> </w:t>
      </w:r>
      <w:r w:rsidR="00D718A8">
        <w:rPr>
          <w:lang w:val="fr-CH"/>
        </w:rPr>
        <w:t>de la</w:t>
      </w:r>
      <w:r w:rsidRPr="00440DDC">
        <w:rPr>
          <w:lang w:val="fr-CH"/>
        </w:rPr>
        <w:t xml:space="preserve"> CMR-19</w:t>
      </w:r>
      <w:r w:rsidRPr="00440DDC">
        <w:rPr>
          <w:color w:val="000000"/>
          <w:lang w:val="fr-CH"/>
        </w:rPr>
        <w:t xml:space="preserve"> </w:t>
      </w:r>
      <w:r w:rsidR="00D718A8">
        <w:rPr>
          <w:color w:val="000000"/>
          <w:lang w:val="fr-CH"/>
        </w:rPr>
        <w:t xml:space="preserve">concerne le </w:t>
      </w:r>
      <w:r w:rsidR="00AD13F0" w:rsidRPr="00440DDC">
        <w:rPr>
          <w:color w:val="000000"/>
          <w:lang w:val="fr-CH"/>
        </w:rPr>
        <w:t xml:space="preserve">Rapport </w:t>
      </w:r>
      <w:r w:rsidRPr="00440DDC">
        <w:rPr>
          <w:color w:val="000000"/>
          <w:lang w:val="fr-CH"/>
        </w:rPr>
        <w:t>du Directeur du Bureau des radiocommunications sur les difficultés rencontrées ou les incohérences constatées dans l'application du Règlement des radiocommunications qui sont identifiées par les administrations, le Bureau</w:t>
      </w:r>
      <w:r>
        <w:rPr>
          <w:color w:val="000000"/>
          <w:lang w:val="fr-CH"/>
        </w:rPr>
        <w:t xml:space="preserve"> des radiocommunications </w:t>
      </w:r>
      <w:r w:rsidRPr="00440DDC">
        <w:rPr>
          <w:color w:val="000000"/>
          <w:lang w:val="fr-CH"/>
        </w:rPr>
        <w:t xml:space="preserve">et le Comité du Règlement </w:t>
      </w:r>
      <w:r>
        <w:rPr>
          <w:color w:val="000000"/>
          <w:lang w:val="fr-CH"/>
        </w:rPr>
        <w:t>des radiocommunications</w:t>
      </w:r>
      <w:r w:rsidR="00F52C52">
        <w:rPr>
          <w:color w:val="000000"/>
          <w:lang w:val="fr-CH"/>
        </w:rPr>
        <w:t>,</w:t>
      </w:r>
      <w:r w:rsidRPr="00440DDC">
        <w:rPr>
          <w:lang w:val="fr-CH"/>
        </w:rPr>
        <w:t xml:space="preserve"> </w:t>
      </w:r>
      <w:r>
        <w:rPr>
          <w:lang w:val="fr-CH"/>
        </w:rPr>
        <w:t xml:space="preserve">ainsi que des suggestions formulées par le Bureau </w:t>
      </w:r>
      <w:r>
        <w:rPr>
          <w:color w:val="000000"/>
          <w:lang w:val="fr-CH"/>
        </w:rPr>
        <w:t xml:space="preserve">des radiocommunications </w:t>
      </w:r>
      <w:r>
        <w:rPr>
          <w:lang w:val="fr-CH"/>
        </w:rPr>
        <w:t>et le</w:t>
      </w:r>
      <w:r w:rsidRPr="00440DDC">
        <w:rPr>
          <w:color w:val="000000"/>
          <w:lang w:val="fr-CH"/>
        </w:rPr>
        <w:t xml:space="preserve"> Comité du Règlement </w:t>
      </w:r>
      <w:r>
        <w:rPr>
          <w:color w:val="000000"/>
          <w:lang w:val="fr-CH"/>
        </w:rPr>
        <w:t>des radiocommunications</w:t>
      </w:r>
      <w:r>
        <w:rPr>
          <w:lang w:val="fr-CH"/>
        </w:rPr>
        <w:t xml:space="preserve"> </w:t>
      </w:r>
      <w:r w:rsidR="00D718A8">
        <w:rPr>
          <w:lang w:val="fr-CH"/>
        </w:rPr>
        <w:t>au sujet des</w:t>
      </w:r>
      <w:r w:rsidRPr="00440DDC">
        <w:rPr>
          <w:color w:val="000000"/>
          <w:lang w:val="fr-CH"/>
        </w:rPr>
        <w:t xml:space="preserve"> modifications à apporter au Règlement des radiocommunications afin d'atténuer ces problèmes ou incohérences</w:t>
      </w:r>
      <w:r>
        <w:rPr>
          <w:color w:val="000000"/>
          <w:lang w:val="fr-CH"/>
        </w:rPr>
        <w:t>.</w:t>
      </w:r>
    </w:p>
    <w:p w14:paraId="26795EB2" w14:textId="57D4AACE" w:rsidR="00C00626" w:rsidRPr="00440DDC" w:rsidRDefault="00C00626" w:rsidP="00D56210">
      <w:pPr>
        <w:rPr>
          <w:lang w:val="fr-CH"/>
        </w:rPr>
      </w:pPr>
      <w:r w:rsidRPr="00440DDC">
        <w:rPr>
          <w:lang w:val="fr-CH"/>
        </w:rPr>
        <w:t xml:space="preserve">La CEPT a étudié de nombreuses questions abordées dans le </w:t>
      </w:r>
      <w:r w:rsidR="00AD13F0" w:rsidRPr="00440DDC">
        <w:rPr>
          <w:color w:val="000000"/>
          <w:lang w:val="fr-CH"/>
        </w:rPr>
        <w:t xml:space="preserve">Rapport </w:t>
      </w:r>
      <w:r w:rsidRPr="00440DDC">
        <w:rPr>
          <w:color w:val="000000"/>
          <w:lang w:val="fr-CH"/>
        </w:rPr>
        <w:t>du Directeur du Bureau des radiocommunications</w:t>
      </w:r>
      <w:r>
        <w:rPr>
          <w:color w:val="000000"/>
          <w:lang w:val="fr-CH"/>
        </w:rPr>
        <w:t>, afin</w:t>
      </w:r>
      <w:r w:rsidRPr="00440DDC">
        <w:rPr>
          <w:color w:val="000000"/>
          <w:lang w:val="fr-CH"/>
        </w:rPr>
        <w:t xml:space="preserve"> </w:t>
      </w:r>
      <w:r>
        <w:rPr>
          <w:color w:val="000000"/>
          <w:lang w:val="fr-CH"/>
        </w:rPr>
        <w:t xml:space="preserve">de définir </w:t>
      </w:r>
      <w:r w:rsidRPr="00440DDC">
        <w:rPr>
          <w:color w:val="000000"/>
          <w:lang w:val="fr-CH"/>
        </w:rPr>
        <w:t>les positions</w:t>
      </w:r>
      <w:r>
        <w:rPr>
          <w:color w:val="000000"/>
          <w:lang w:val="fr-CH"/>
        </w:rPr>
        <w:t xml:space="preserve"> et propositions</w:t>
      </w:r>
      <w:r w:rsidRPr="00440DDC">
        <w:rPr>
          <w:color w:val="000000"/>
          <w:lang w:val="fr-CH"/>
        </w:rPr>
        <w:t xml:space="preserve"> européennes</w:t>
      </w:r>
      <w:r>
        <w:rPr>
          <w:color w:val="000000"/>
          <w:lang w:val="fr-CH"/>
        </w:rPr>
        <w:t>.</w:t>
      </w:r>
    </w:p>
    <w:p w14:paraId="19328F6F" w14:textId="10F3434E" w:rsidR="00C00626" w:rsidRPr="001F6E0B" w:rsidRDefault="00C00626" w:rsidP="00D56210">
      <w:pPr>
        <w:pStyle w:val="Headingb"/>
      </w:pPr>
      <w:r w:rsidRPr="001F6E0B">
        <w:t>Résumé des propositions européennes</w:t>
      </w:r>
    </w:p>
    <w:p w14:paraId="43B554B7" w14:textId="4885C5F9" w:rsidR="00C00626" w:rsidRPr="00D1471E" w:rsidRDefault="00C00626" w:rsidP="00D56210">
      <w:pPr>
        <w:rPr>
          <w:lang w:val="fr-CH"/>
        </w:rPr>
      </w:pPr>
      <w:r w:rsidRPr="001F6E0B">
        <w:rPr>
          <w:lang w:val="fr-CH"/>
        </w:rPr>
        <w:t>En ce qui concerne les procédures de coordination et de notification applicables aux réseaux à satellite non planifiés,</w:t>
      </w:r>
      <w:r>
        <w:rPr>
          <w:lang w:val="fr-CH"/>
        </w:rPr>
        <w:t xml:space="preserve"> l</w:t>
      </w:r>
      <w:r w:rsidR="00AD13F0">
        <w:rPr>
          <w:lang w:val="fr-CH"/>
        </w:rPr>
        <w:t>'</w:t>
      </w:r>
      <w:r>
        <w:rPr>
          <w:lang w:val="fr-CH"/>
        </w:rPr>
        <w:t>Europe est favorable, dans les présentes propositions,</w:t>
      </w:r>
      <w:r w:rsidRPr="001F6E0B">
        <w:rPr>
          <w:lang w:val="fr-CH"/>
        </w:rPr>
        <w:t xml:space="preserve"> </w:t>
      </w:r>
      <w:r>
        <w:rPr>
          <w:lang w:val="fr-CH"/>
        </w:rPr>
        <w:t>à l</w:t>
      </w:r>
      <w:r w:rsidR="00AD13F0">
        <w:rPr>
          <w:lang w:val="fr-CH"/>
        </w:rPr>
        <w:t>'</w:t>
      </w:r>
      <w:r>
        <w:rPr>
          <w:lang w:val="fr-CH"/>
        </w:rPr>
        <w:t xml:space="preserve">idée de cesser de publier les </w:t>
      </w:r>
      <w:r w:rsidR="00D718A8">
        <w:rPr>
          <w:lang w:val="fr-CH"/>
        </w:rPr>
        <w:t>S</w:t>
      </w:r>
      <w:r>
        <w:rPr>
          <w:lang w:val="fr-CH"/>
        </w:rPr>
        <w:t>ections spéciales</w:t>
      </w:r>
      <w:r w:rsidR="00F52C52">
        <w:rPr>
          <w:lang w:val="fr-CH"/>
        </w:rPr>
        <w:t xml:space="preserve"> </w:t>
      </w:r>
      <w:r w:rsidRPr="001F6E0B">
        <w:rPr>
          <w:lang w:val="fr-CH"/>
        </w:rPr>
        <w:t xml:space="preserve">API/C </w:t>
      </w:r>
      <w:r>
        <w:rPr>
          <w:lang w:val="fr-CH"/>
        </w:rPr>
        <w:t>dans la</w:t>
      </w:r>
      <w:r w:rsidR="00F52C52">
        <w:rPr>
          <w:lang w:val="fr-CH"/>
        </w:rPr>
        <w:t xml:space="preserve"> </w:t>
      </w:r>
      <w:r w:rsidRPr="001F6E0B">
        <w:rPr>
          <w:lang w:val="fr-CH"/>
        </w:rPr>
        <w:t>BR IFIC</w:t>
      </w:r>
      <w:r>
        <w:rPr>
          <w:lang w:val="fr-CH"/>
        </w:rPr>
        <w:t xml:space="preserve">, étant donné que le Bureau </w:t>
      </w:r>
      <w:r w:rsidR="00D718A8">
        <w:rPr>
          <w:lang w:val="fr-CH"/>
        </w:rPr>
        <w:t>peut mettre</w:t>
      </w:r>
      <w:r>
        <w:rPr>
          <w:lang w:val="fr-CH"/>
        </w:rPr>
        <w:t xml:space="preserve"> à disposition toutes les données nécessaires sur son site </w:t>
      </w:r>
      <w:r w:rsidR="00D718A8">
        <w:rPr>
          <w:lang w:val="fr-CH"/>
        </w:rPr>
        <w:t>w</w:t>
      </w:r>
      <w:r>
        <w:rPr>
          <w:lang w:val="fr-CH"/>
        </w:rPr>
        <w:t>eb</w:t>
      </w:r>
      <w:r w:rsidR="00F52C52">
        <w:rPr>
          <w:lang w:val="fr-CH"/>
        </w:rPr>
        <w:t xml:space="preserve"> </w:t>
      </w:r>
      <w:r w:rsidRPr="001F6E0B">
        <w:rPr>
          <w:lang w:val="fr-CH"/>
        </w:rPr>
        <w:t>(</w:t>
      </w:r>
      <w:r>
        <w:rPr>
          <w:lang w:val="fr-CH"/>
        </w:rPr>
        <w:t xml:space="preserve">§ </w:t>
      </w:r>
      <w:r w:rsidRPr="001F6E0B">
        <w:rPr>
          <w:lang w:val="fr-CH"/>
        </w:rPr>
        <w:t xml:space="preserve">3.1.3.1). </w:t>
      </w:r>
      <w:r w:rsidRPr="00D1471E">
        <w:rPr>
          <w:lang w:val="fr-CH"/>
        </w:rPr>
        <w:t>En outre, il est proposé d</w:t>
      </w:r>
      <w:r w:rsidR="00AD13F0">
        <w:rPr>
          <w:lang w:val="fr-CH"/>
        </w:rPr>
        <w:t>'</w:t>
      </w:r>
      <w:r w:rsidRPr="00D1471E">
        <w:rPr>
          <w:lang w:val="fr-CH"/>
        </w:rPr>
        <w:t xml:space="preserve">apporter </w:t>
      </w:r>
      <w:r w:rsidR="00D718A8">
        <w:rPr>
          <w:lang w:val="fr-CH"/>
        </w:rPr>
        <w:t>une</w:t>
      </w:r>
      <w:r w:rsidRPr="00D1471E">
        <w:rPr>
          <w:lang w:val="fr-CH"/>
        </w:rPr>
        <w:t xml:space="preserve"> modification au numéro </w:t>
      </w:r>
      <w:r w:rsidRPr="00D1471E">
        <w:rPr>
          <w:b/>
          <w:bCs/>
          <w:lang w:val="fr-CH"/>
        </w:rPr>
        <w:t>9.4</w:t>
      </w:r>
      <w:r w:rsidRPr="00D1471E">
        <w:rPr>
          <w:lang w:val="fr-CH"/>
        </w:rPr>
        <w:t xml:space="preserve"> du RR</w:t>
      </w:r>
      <w:r w:rsidR="00F52C52">
        <w:rPr>
          <w:lang w:val="fr-CH"/>
        </w:rPr>
        <w:t xml:space="preserve"> </w:t>
      </w:r>
      <w:r w:rsidRPr="00D1471E">
        <w:rPr>
          <w:lang w:val="fr-CH"/>
        </w:rPr>
        <w:t>(§ 3.1.3.3)</w:t>
      </w:r>
      <w:r w:rsidR="00D718A8">
        <w:rPr>
          <w:lang w:val="fr-CH"/>
        </w:rPr>
        <w:t>,</w:t>
      </w:r>
      <w:r w:rsidRPr="00D1471E">
        <w:rPr>
          <w:lang w:val="fr-CH"/>
        </w:rPr>
        <w:t xml:space="preserve"> </w:t>
      </w:r>
      <w:r>
        <w:rPr>
          <w:lang w:val="fr-CH"/>
        </w:rPr>
        <w:t>afin que l</w:t>
      </w:r>
      <w:r w:rsidR="00AD13F0">
        <w:rPr>
          <w:lang w:val="fr-CH"/>
        </w:rPr>
        <w:t>'</w:t>
      </w:r>
      <w:r>
        <w:rPr>
          <w:lang w:val="fr-CH"/>
        </w:rPr>
        <w:t>élaboration du rapport sur l</w:t>
      </w:r>
      <w:r w:rsidR="00AD13F0">
        <w:rPr>
          <w:lang w:val="fr-CH"/>
        </w:rPr>
        <w:t>'</w:t>
      </w:r>
      <w:r>
        <w:rPr>
          <w:lang w:val="fr-CH"/>
        </w:rPr>
        <w:t>état d</w:t>
      </w:r>
      <w:r w:rsidR="00AD13F0">
        <w:rPr>
          <w:lang w:val="fr-CH"/>
        </w:rPr>
        <w:t>'</w:t>
      </w:r>
      <w:r>
        <w:rPr>
          <w:lang w:val="fr-CH"/>
        </w:rPr>
        <w:t>avancement ne soit plus obligatoire pour les administrations en question</w:t>
      </w:r>
      <w:r w:rsidR="001966E8">
        <w:rPr>
          <w:lang w:val="fr-CH"/>
        </w:rPr>
        <w:t>.</w:t>
      </w:r>
    </w:p>
    <w:p w14:paraId="1E7FBD96" w14:textId="1AFDDBB1" w:rsidR="00C00626" w:rsidRPr="00D1471E" w:rsidRDefault="00C00626" w:rsidP="00D56210">
      <w:pPr>
        <w:rPr>
          <w:lang w:val="fr-CH"/>
        </w:rPr>
      </w:pPr>
      <w:r w:rsidRPr="00D1471E">
        <w:rPr>
          <w:lang w:val="fr-CH"/>
        </w:rPr>
        <w:t>En outre, l</w:t>
      </w:r>
      <w:r w:rsidR="00AD13F0">
        <w:rPr>
          <w:lang w:val="fr-CH"/>
        </w:rPr>
        <w:t>'</w:t>
      </w:r>
      <w:r w:rsidRPr="00D1471E">
        <w:rPr>
          <w:lang w:val="fr-CH"/>
        </w:rPr>
        <w:t>Europe appuie, dans les présentes propositions, l</w:t>
      </w:r>
      <w:r w:rsidR="00AD13F0">
        <w:rPr>
          <w:lang w:val="fr-CH"/>
        </w:rPr>
        <w:t>'</w:t>
      </w:r>
      <w:r w:rsidRPr="00D1471E">
        <w:rPr>
          <w:lang w:val="fr-CH"/>
        </w:rPr>
        <w:t>harmonisation de la procédure applicable à la remise en service avec la procédure applicable à la mise en service prévue à l</w:t>
      </w:r>
      <w:r w:rsidR="00AD13F0">
        <w:rPr>
          <w:lang w:val="fr-CH"/>
        </w:rPr>
        <w:t>'</w:t>
      </w:r>
      <w:r w:rsidR="00CD5C5D">
        <w:rPr>
          <w:lang w:val="fr-CH"/>
        </w:rPr>
        <w:t>A</w:t>
      </w:r>
      <w:r w:rsidRPr="00D1471E">
        <w:rPr>
          <w:lang w:val="fr-CH"/>
        </w:rPr>
        <w:t>rticle</w:t>
      </w:r>
      <w:r w:rsidR="00AD13F0">
        <w:rPr>
          <w:lang w:val="fr-CH"/>
        </w:rPr>
        <w:t> </w:t>
      </w:r>
      <w:r w:rsidRPr="00AD13F0">
        <w:rPr>
          <w:b/>
          <w:bCs/>
          <w:lang w:val="fr-CH"/>
        </w:rPr>
        <w:t>11</w:t>
      </w:r>
      <w:r w:rsidRPr="00D1471E">
        <w:rPr>
          <w:lang w:val="fr-CH"/>
        </w:rPr>
        <w:t xml:space="preserve"> du RR</w:t>
      </w:r>
      <w:r w:rsidR="00F52C52">
        <w:rPr>
          <w:lang w:val="fr-CH"/>
        </w:rPr>
        <w:t xml:space="preserve"> </w:t>
      </w:r>
      <w:r w:rsidRPr="00D1471E">
        <w:rPr>
          <w:lang w:val="fr-CH"/>
        </w:rPr>
        <w:t>(§ 3.1.4.1),</w:t>
      </w:r>
      <w:r>
        <w:rPr>
          <w:lang w:val="fr-CH"/>
        </w:rPr>
        <w:t xml:space="preserve"> </w:t>
      </w:r>
      <w:r w:rsidR="00CD5C5D">
        <w:rPr>
          <w:lang w:val="fr-CH"/>
        </w:rPr>
        <w:t>ainsi que</w:t>
      </w:r>
      <w:r>
        <w:rPr>
          <w:lang w:val="fr-CH"/>
        </w:rPr>
        <w:t xml:space="preserve"> la possibilité d</w:t>
      </w:r>
      <w:r w:rsidR="00AD13F0">
        <w:rPr>
          <w:lang w:val="fr-CH"/>
        </w:rPr>
        <w:t>'</w:t>
      </w:r>
      <w:r>
        <w:rPr>
          <w:lang w:val="fr-CH"/>
        </w:rPr>
        <w:t>indiquer le</w:t>
      </w:r>
      <w:r w:rsidR="00F52C52">
        <w:rPr>
          <w:lang w:val="fr-CH"/>
        </w:rPr>
        <w:t xml:space="preserve"> </w:t>
      </w:r>
      <w:r w:rsidRPr="00D1471E">
        <w:rPr>
          <w:lang w:val="fr-CH"/>
        </w:rPr>
        <w:t xml:space="preserve">statut de la coordination conformément au numéro </w:t>
      </w:r>
      <w:r w:rsidRPr="00AD13F0">
        <w:rPr>
          <w:b/>
          <w:bCs/>
          <w:lang w:val="fr-CH"/>
        </w:rPr>
        <w:t>9.7</w:t>
      </w:r>
      <w:r w:rsidRPr="00D1471E">
        <w:rPr>
          <w:lang w:val="fr-CH"/>
        </w:rPr>
        <w:t xml:space="preserve"> du RR au niveau des fiches de notification, aux fins de l</w:t>
      </w:r>
      <w:r w:rsidR="00AD13F0">
        <w:rPr>
          <w:lang w:val="fr-CH"/>
        </w:rPr>
        <w:t>'</w:t>
      </w:r>
      <w:r w:rsidRPr="00D1471E">
        <w:rPr>
          <w:lang w:val="fr-CH"/>
        </w:rPr>
        <w:t>examen au titre d</w:t>
      </w:r>
      <w:r>
        <w:rPr>
          <w:lang w:val="fr-CH"/>
        </w:rPr>
        <w:t>es</w:t>
      </w:r>
      <w:r w:rsidRPr="00D1471E">
        <w:rPr>
          <w:lang w:val="fr-CH"/>
        </w:rPr>
        <w:t xml:space="preserve"> numéro</w:t>
      </w:r>
      <w:r>
        <w:rPr>
          <w:lang w:val="fr-CH"/>
        </w:rPr>
        <w:t xml:space="preserve">s </w:t>
      </w:r>
      <w:r w:rsidRPr="00D1471E">
        <w:rPr>
          <w:b/>
          <w:lang w:val="fr-CH"/>
        </w:rPr>
        <w:t>11.32</w:t>
      </w:r>
      <w:r w:rsidR="00F52C52">
        <w:rPr>
          <w:lang w:val="fr-CH"/>
        </w:rPr>
        <w:t xml:space="preserve"> </w:t>
      </w:r>
      <w:r>
        <w:rPr>
          <w:lang w:val="fr-CH"/>
        </w:rPr>
        <w:t xml:space="preserve">et </w:t>
      </w:r>
      <w:r w:rsidRPr="00AD13F0">
        <w:rPr>
          <w:b/>
          <w:bCs/>
          <w:lang w:val="fr-CH"/>
        </w:rPr>
        <w:t>11.32A</w:t>
      </w:r>
      <w:r w:rsidRPr="00D1471E">
        <w:rPr>
          <w:lang w:val="fr-CH"/>
        </w:rPr>
        <w:t xml:space="preserve"> du RR</w:t>
      </w:r>
      <w:r>
        <w:rPr>
          <w:lang w:val="fr-CH"/>
        </w:rPr>
        <w:t xml:space="preserve"> </w:t>
      </w:r>
      <w:r w:rsidRPr="00D1471E">
        <w:rPr>
          <w:lang w:val="fr-CH"/>
        </w:rPr>
        <w:t xml:space="preserve">(§ 3.1.4.2.2), </w:t>
      </w:r>
      <w:r>
        <w:rPr>
          <w:lang w:val="fr-CH"/>
        </w:rPr>
        <w:t>qui rendra</w:t>
      </w:r>
      <w:r w:rsidR="00CD5C5D">
        <w:rPr>
          <w:lang w:val="fr-CH"/>
        </w:rPr>
        <w:t>it</w:t>
      </w:r>
      <w:r>
        <w:rPr>
          <w:lang w:val="fr-CH"/>
        </w:rPr>
        <w:t xml:space="preserve"> plus simple et plus pratique la procédure de notification prévue à l</w:t>
      </w:r>
      <w:r w:rsidR="00AD13F0">
        <w:rPr>
          <w:lang w:val="fr-CH"/>
        </w:rPr>
        <w:t>'</w:t>
      </w:r>
      <w:r w:rsidR="00CD5C5D">
        <w:rPr>
          <w:lang w:val="fr-CH"/>
        </w:rPr>
        <w:t>A</w:t>
      </w:r>
      <w:r>
        <w:rPr>
          <w:lang w:val="fr-CH"/>
        </w:rPr>
        <w:t xml:space="preserve">rticle </w:t>
      </w:r>
      <w:r w:rsidRPr="00AD13F0">
        <w:rPr>
          <w:b/>
          <w:bCs/>
          <w:lang w:val="fr-CH"/>
        </w:rPr>
        <w:t>11</w:t>
      </w:r>
      <w:r>
        <w:rPr>
          <w:lang w:val="fr-CH"/>
        </w:rPr>
        <w:t xml:space="preserve"> du RR et réduira</w:t>
      </w:r>
      <w:r w:rsidR="00CD5C5D">
        <w:rPr>
          <w:lang w:val="fr-CH"/>
        </w:rPr>
        <w:t>it</w:t>
      </w:r>
      <w:r>
        <w:rPr>
          <w:lang w:val="fr-CH"/>
        </w:rPr>
        <w:t xml:space="preserve"> le nombre de demandes futures au titre du numéro </w:t>
      </w:r>
      <w:r w:rsidRPr="00D1471E">
        <w:rPr>
          <w:b/>
          <w:lang w:val="fr-CH"/>
        </w:rPr>
        <w:t>11.41</w:t>
      </w:r>
      <w:r w:rsidRPr="00D1471E">
        <w:rPr>
          <w:lang w:val="fr-CH"/>
        </w:rPr>
        <w:t xml:space="preserve"> du RR</w:t>
      </w:r>
      <w:r w:rsidR="00AF1D93">
        <w:rPr>
          <w:lang w:val="fr-CH"/>
        </w:rPr>
        <w:t>.</w:t>
      </w:r>
    </w:p>
    <w:p w14:paraId="2598D373" w14:textId="0F2640DA" w:rsidR="00C00626" w:rsidRPr="002C1680" w:rsidRDefault="00C00626" w:rsidP="00D56210">
      <w:pPr>
        <w:rPr>
          <w:lang w:val="fr-CH"/>
        </w:rPr>
      </w:pPr>
      <w:r w:rsidRPr="002C1680">
        <w:rPr>
          <w:lang w:val="fr-CH"/>
        </w:rPr>
        <w:t>S</w:t>
      </w:r>
      <w:r w:rsidR="00AD13F0">
        <w:rPr>
          <w:lang w:val="fr-CH"/>
        </w:rPr>
        <w:t>'</w:t>
      </w:r>
      <w:r w:rsidRPr="002C1680">
        <w:rPr>
          <w:lang w:val="fr-CH"/>
        </w:rPr>
        <w:t xml:space="preserve">agissant des procédures réglementaires applicables aux bandes de fréquences attribuées au service de radiodiffusion par satellite (SRS) planifié régies par les Appendices </w:t>
      </w:r>
      <w:r w:rsidRPr="002C1680">
        <w:rPr>
          <w:b/>
          <w:lang w:val="fr-CH"/>
        </w:rPr>
        <w:t>30</w:t>
      </w:r>
      <w:r w:rsidRPr="002C1680">
        <w:rPr>
          <w:lang w:val="fr-CH"/>
        </w:rPr>
        <w:t xml:space="preserve"> and </w:t>
      </w:r>
      <w:r w:rsidRPr="002C1680">
        <w:rPr>
          <w:b/>
          <w:lang w:val="fr-CH"/>
        </w:rPr>
        <w:t>30A</w:t>
      </w:r>
      <w:r w:rsidRPr="002C1680">
        <w:rPr>
          <w:lang w:val="fr-CH"/>
        </w:rPr>
        <w:t xml:space="preserve"> du RR</w:t>
      </w:r>
      <w:r>
        <w:rPr>
          <w:lang w:val="fr-CH"/>
        </w:rPr>
        <w:t>, l</w:t>
      </w:r>
      <w:r w:rsidR="00AD13F0">
        <w:rPr>
          <w:lang w:val="fr-CH"/>
        </w:rPr>
        <w:t>'</w:t>
      </w:r>
      <w:r>
        <w:rPr>
          <w:lang w:val="fr-CH"/>
        </w:rPr>
        <w:t>Europe est favorable, dans les présentes propositions, à l</w:t>
      </w:r>
      <w:r w:rsidR="00AD13F0">
        <w:rPr>
          <w:lang w:val="fr-CH"/>
        </w:rPr>
        <w:t>'</w:t>
      </w:r>
      <w:r>
        <w:rPr>
          <w:lang w:val="fr-CH"/>
        </w:rPr>
        <w:t>idée de prévoir des rappels dans les</w:t>
      </w:r>
      <w:r w:rsidRPr="002C1680">
        <w:rPr>
          <w:lang w:val="fr-CH"/>
        </w:rPr>
        <w:t xml:space="preserve"> Appendices </w:t>
      </w:r>
      <w:r w:rsidRPr="002C1680">
        <w:rPr>
          <w:b/>
          <w:lang w:val="fr-CH"/>
        </w:rPr>
        <w:t>30</w:t>
      </w:r>
      <w:r w:rsidRPr="002C1680">
        <w:rPr>
          <w:lang w:val="fr-CH"/>
        </w:rPr>
        <w:t xml:space="preserve"> </w:t>
      </w:r>
      <w:r w:rsidR="00AD13F0">
        <w:rPr>
          <w:lang w:val="fr-CH"/>
        </w:rPr>
        <w:t>et</w:t>
      </w:r>
      <w:r w:rsidRPr="002C1680">
        <w:rPr>
          <w:lang w:val="fr-CH"/>
        </w:rPr>
        <w:t xml:space="preserve"> </w:t>
      </w:r>
      <w:r w:rsidRPr="002C1680">
        <w:rPr>
          <w:b/>
          <w:lang w:val="fr-CH"/>
        </w:rPr>
        <w:t>30A</w:t>
      </w:r>
      <w:r w:rsidRPr="002C1680">
        <w:rPr>
          <w:lang w:val="fr-CH"/>
        </w:rPr>
        <w:t xml:space="preserve"> du RR</w:t>
      </w:r>
      <w:r>
        <w:rPr>
          <w:lang w:val="fr-CH"/>
        </w:rPr>
        <w:t xml:space="preserve"> en cas d</w:t>
      </w:r>
      <w:r w:rsidR="00AD13F0">
        <w:rPr>
          <w:lang w:val="fr-CH"/>
        </w:rPr>
        <w:t>'</w:t>
      </w:r>
      <w:r>
        <w:rPr>
          <w:lang w:val="fr-CH"/>
        </w:rPr>
        <w:t>accords temporaires entre les réseaux relevant des</w:t>
      </w:r>
      <w:r w:rsidRPr="002C1680">
        <w:rPr>
          <w:lang w:val="fr-CH"/>
        </w:rPr>
        <w:t xml:space="preserve"> Appendices </w:t>
      </w:r>
      <w:r w:rsidRPr="002C1680">
        <w:rPr>
          <w:b/>
          <w:lang w:val="fr-CH"/>
        </w:rPr>
        <w:t>30</w:t>
      </w:r>
      <w:r w:rsidRPr="002C1680">
        <w:rPr>
          <w:lang w:val="fr-CH"/>
        </w:rPr>
        <w:t xml:space="preserve"> </w:t>
      </w:r>
      <w:r w:rsidR="00E97902">
        <w:rPr>
          <w:lang w:val="fr-CH"/>
        </w:rPr>
        <w:t>et</w:t>
      </w:r>
      <w:r w:rsidRPr="002C1680">
        <w:rPr>
          <w:lang w:val="fr-CH"/>
        </w:rPr>
        <w:t xml:space="preserve"> </w:t>
      </w:r>
      <w:r w:rsidRPr="002C1680">
        <w:rPr>
          <w:b/>
          <w:lang w:val="fr-CH"/>
        </w:rPr>
        <w:t>30A</w:t>
      </w:r>
      <w:r w:rsidRPr="002C1680">
        <w:rPr>
          <w:lang w:val="fr-CH"/>
        </w:rPr>
        <w:t xml:space="preserve"> du</w:t>
      </w:r>
      <w:r w:rsidR="00E97902">
        <w:rPr>
          <w:lang w:val="fr-CH"/>
        </w:rPr>
        <w:t> </w:t>
      </w:r>
      <w:r w:rsidRPr="002C1680">
        <w:rPr>
          <w:lang w:val="fr-CH"/>
        </w:rPr>
        <w:t>RR</w:t>
      </w:r>
      <w:r w:rsidR="00F52C52">
        <w:rPr>
          <w:lang w:val="fr-CH"/>
        </w:rPr>
        <w:t xml:space="preserve"> </w:t>
      </w:r>
      <w:r w:rsidRPr="002C1680">
        <w:rPr>
          <w:lang w:val="fr-CH"/>
        </w:rPr>
        <w:t xml:space="preserve">(§ 3.2.4.2), </w:t>
      </w:r>
      <w:r>
        <w:rPr>
          <w:lang w:val="fr-CH"/>
        </w:rPr>
        <w:t>et en cas d</w:t>
      </w:r>
      <w:r w:rsidR="00AD13F0">
        <w:rPr>
          <w:lang w:val="fr-CH"/>
        </w:rPr>
        <w:t>'</w:t>
      </w:r>
      <w:r>
        <w:rPr>
          <w:lang w:val="fr-CH"/>
        </w:rPr>
        <w:t xml:space="preserve">expiration </w:t>
      </w:r>
      <w:r w:rsidRPr="002C1680">
        <w:rPr>
          <w:color w:val="000000"/>
          <w:lang w:val="fr-CH"/>
        </w:rPr>
        <w:t>du premier délai de 15 ans</w:t>
      </w:r>
      <w:r>
        <w:rPr>
          <w:color w:val="000000"/>
          <w:lang w:val="fr-CH"/>
        </w:rPr>
        <w:t xml:space="preserve"> pour l</w:t>
      </w:r>
      <w:r w:rsidR="00AD13F0">
        <w:rPr>
          <w:color w:val="000000"/>
          <w:lang w:val="fr-CH"/>
        </w:rPr>
        <w:t>'</w:t>
      </w:r>
      <w:r>
        <w:rPr>
          <w:color w:val="000000"/>
          <w:lang w:val="fr-CH"/>
        </w:rPr>
        <w:t>exploitation des assignations figurant dans la Liste pour le</w:t>
      </w:r>
      <w:r w:rsidR="00F52C52">
        <w:rPr>
          <w:lang w:val="fr-CH"/>
        </w:rPr>
        <w:t xml:space="preserve"> </w:t>
      </w:r>
      <w:r w:rsidRPr="002C1680">
        <w:rPr>
          <w:lang w:val="fr-CH"/>
        </w:rPr>
        <w:t>SRS</w:t>
      </w:r>
      <w:r w:rsidR="00F52C52">
        <w:rPr>
          <w:lang w:val="fr-CH"/>
        </w:rPr>
        <w:t xml:space="preserve"> </w:t>
      </w:r>
      <w:r w:rsidRPr="002C1680">
        <w:rPr>
          <w:lang w:val="fr-CH"/>
        </w:rPr>
        <w:t>(§ 3.2.4.3). En outre, il est proposé de modifier la</w:t>
      </w:r>
      <w:r w:rsidR="00F52C52">
        <w:rPr>
          <w:lang w:val="fr-CH"/>
        </w:rPr>
        <w:t xml:space="preserve"> </w:t>
      </w:r>
      <w:r w:rsidRPr="002C1680">
        <w:rPr>
          <w:lang w:val="fr-CH"/>
        </w:rPr>
        <w:t>Section 6 de</w:t>
      </w:r>
      <w:r>
        <w:rPr>
          <w:lang w:val="fr-CH"/>
        </w:rPr>
        <w:t xml:space="preserve"> l</w:t>
      </w:r>
      <w:r w:rsidR="00AD13F0">
        <w:rPr>
          <w:lang w:val="fr-CH"/>
        </w:rPr>
        <w:t>'</w:t>
      </w:r>
      <w:r w:rsidRPr="002C1680">
        <w:rPr>
          <w:lang w:val="fr-CH"/>
        </w:rPr>
        <w:t>Annexe 1 de</w:t>
      </w:r>
      <w:r>
        <w:rPr>
          <w:lang w:val="fr-CH"/>
        </w:rPr>
        <w:t xml:space="preserve"> </w:t>
      </w:r>
      <w:r w:rsidRPr="002C1680">
        <w:rPr>
          <w:lang w:val="fr-CH"/>
        </w:rPr>
        <w:t>l</w:t>
      </w:r>
      <w:r w:rsidR="00AD13F0">
        <w:rPr>
          <w:lang w:val="fr-CH"/>
        </w:rPr>
        <w:t>'</w:t>
      </w:r>
      <w:r w:rsidRPr="002C1680">
        <w:rPr>
          <w:lang w:val="fr-CH"/>
        </w:rPr>
        <w:t xml:space="preserve">Appendice </w:t>
      </w:r>
      <w:r w:rsidRPr="00AD13F0">
        <w:rPr>
          <w:b/>
          <w:bCs/>
          <w:lang w:val="fr-CH"/>
        </w:rPr>
        <w:t>30</w:t>
      </w:r>
      <w:r w:rsidRPr="002C1680">
        <w:rPr>
          <w:lang w:val="fr-CH"/>
        </w:rPr>
        <w:t xml:space="preserve"> </w:t>
      </w:r>
      <w:r>
        <w:rPr>
          <w:lang w:val="fr-CH"/>
        </w:rPr>
        <w:t>pour supprimer les incohérences entre les différentes Sections de</w:t>
      </w:r>
      <w:r w:rsidR="00F52C52">
        <w:rPr>
          <w:lang w:val="fr-CH"/>
        </w:rPr>
        <w:t xml:space="preserve"> </w:t>
      </w:r>
      <w:r>
        <w:rPr>
          <w:lang w:val="fr-CH"/>
        </w:rPr>
        <w:t>l</w:t>
      </w:r>
      <w:r w:rsidR="00AD13F0">
        <w:rPr>
          <w:lang w:val="fr-CH"/>
        </w:rPr>
        <w:t>'</w:t>
      </w:r>
      <w:r w:rsidRPr="002C1680">
        <w:rPr>
          <w:lang w:val="fr-CH"/>
        </w:rPr>
        <w:t>Annexe 1 de l</w:t>
      </w:r>
      <w:r w:rsidR="00AD13F0">
        <w:rPr>
          <w:lang w:val="fr-CH"/>
        </w:rPr>
        <w:t>'</w:t>
      </w:r>
      <w:r w:rsidRPr="002C1680">
        <w:rPr>
          <w:lang w:val="fr-CH"/>
        </w:rPr>
        <w:t xml:space="preserve">Appendice </w:t>
      </w:r>
      <w:r w:rsidRPr="00AD13F0">
        <w:rPr>
          <w:b/>
          <w:bCs/>
          <w:lang w:val="fr-CH"/>
        </w:rPr>
        <w:t>30</w:t>
      </w:r>
      <w:r>
        <w:rPr>
          <w:lang w:val="fr-CH"/>
        </w:rPr>
        <w:t xml:space="preserve"> du</w:t>
      </w:r>
      <w:r w:rsidR="00F52C52">
        <w:rPr>
          <w:lang w:val="fr-CH"/>
        </w:rPr>
        <w:t xml:space="preserve"> </w:t>
      </w:r>
      <w:r w:rsidRPr="002C1680">
        <w:rPr>
          <w:lang w:val="fr-CH"/>
        </w:rPr>
        <w:t>RR</w:t>
      </w:r>
      <w:r>
        <w:rPr>
          <w:lang w:val="fr-CH"/>
        </w:rPr>
        <w:t xml:space="preserve"> et avec l</w:t>
      </w:r>
      <w:r w:rsidR="00AD13F0">
        <w:rPr>
          <w:lang w:val="fr-CH"/>
        </w:rPr>
        <w:t>'</w:t>
      </w:r>
      <w:r w:rsidRPr="002C1680">
        <w:rPr>
          <w:lang w:val="fr-CH"/>
        </w:rPr>
        <w:t>Annex</w:t>
      </w:r>
      <w:r>
        <w:rPr>
          <w:lang w:val="fr-CH"/>
        </w:rPr>
        <w:t>e</w:t>
      </w:r>
      <w:r w:rsidRPr="002C1680">
        <w:rPr>
          <w:lang w:val="fr-CH"/>
        </w:rPr>
        <w:t xml:space="preserve"> 4 de l</w:t>
      </w:r>
      <w:r w:rsidR="00AD13F0">
        <w:rPr>
          <w:lang w:val="fr-CH"/>
        </w:rPr>
        <w:t>'</w:t>
      </w:r>
      <w:r w:rsidRPr="002C1680">
        <w:rPr>
          <w:lang w:val="fr-CH"/>
        </w:rPr>
        <w:t>Appendice 30</w:t>
      </w:r>
      <w:r>
        <w:rPr>
          <w:lang w:val="fr-CH"/>
        </w:rPr>
        <w:t xml:space="preserve"> du</w:t>
      </w:r>
      <w:r w:rsidR="00F52C52">
        <w:rPr>
          <w:lang w:val="fr-CH"/>
        </w:rPr>
        <w:t xml:space="preserve"> </w:t>
      </w:r>
      <w:r w:rsidRPr="002C1680">
        <w:rPr>
          <w:lang w:val="fr-CH"/>
        </w:rPr>
        <w:t>RR</w:t>
      </w:r>
      <w:r w:rsidR="00F52C52">
        <w:rPr>
          <w:lang w:val="fr-CH"/>
        </w:rPr>
        <w:t xml:space="preserve"> </w:t>
      </w:r>
      <w:r w:rsidRPr="002C1680">
        <w:rPr>
          <w:lang w:val="fr-CH"/>
        </w:rPr>
        <w:t>(§</w:t>
      </w:r>
      <w:r w:rsidR="00AD13F0">
        <w:rPr>
          <w:lang w:val="fr-CH"/>
        </w:rPr>
        <w:t> </w:t>
      </w:r>
      <w:r w:rsidRPr="002C1680">
        <w:rPr>
          <w:lang w:val="fr-CH"/>
        </w:rPr>
        <w:t>3.2.4.8).</w:t>
      </w:r>
    </w:p>
    <w:p w14:paraId="72F49FD7" w14:textId="184E35D1" w:rsidR="00C00626" w:rsidRPr="005D2AB9" w:rsidRDefault="00C00626" w:rsidP="00D56210">
      <w:pPr>
        <w:rPr>
          <w:lang w:val="fr-CH"/>
        </w:rPr>
      </w:pPr>
      <w:r w:rsidRPr="005D2AB9">
        <w:rPr>
          <w:lang w:val="fr-CH"/>
        </w:rPr>
        <w:t>De plus, l</w:t>
      </w:r>
      <w:r w:rsidR="00AD13F0">
        <w:rPr>
          <w:lang w:val="fr-CH"/>
        </w:rPr>
        <w:t>'</w:t>
      </w:r>
      <w:r w:rsidRPr="005D2AB9">
        <w:rPr>
          <w:lang w:val="fr-CH"/>
        </w:rPr>
        <w:t>Europe est favorable à l</w:t>
      </w:r>
      <w:r w:rsidR="00AD13F0">
        <w:rPr>
          <w:lang w:val="fr-CH"/>
        </w:rPr>
        <w:t>'</w:t>
      </w:r>
      <w:r w:rsidRPr="005D2AB9">
        <w:rPr>
          <w:lang w:val="fr-CH"/>
        </w:rPr>
        <w:t>incorporation de la</w:t>
      </w:r>
      <w:r w:rsidR="00F52C52">
        <w:rPr>
          <w:lang w:val="fr-CH"/>
        </w:rPr>
        <w:t xml:space="preserve"> </w:t>
      </w:r>
      <w:r w:rsidRPr="005D2AB9">
        <w:rPr>
          <w:lang w:val="fr-CH"/>
        </w:rPr>
        <w:t xml:space="preserve">Règle de procédure relative au numéro </w:t>
      </w:r>
      <w:r w:rsidRPr="005D2AB9">
        <w:rPr>
          <w:b/>
          <w:bCs/>
          <w:lang w:val="fr-CH"/>
        </w:rPr>
        <w:t>5.510</w:t>
      </w:r>
      <w:r w:rsidRPr="005D2AB9">
        <w:rPr>
          <w:lang w:val="fr-CH"/>
        </w:rPr>
        <w:t xml:space="preserve"> du RR (§ 3.2.4.6)</w:t>
      </w:r>
      <w:r>
        <w:rPr>
          <w:lang w:val="fr-CH"/>
        </w:rPr>
        <w:t xml:space="preserve"> ainsi qu</w:t>
      </w:r>
      <w:r w:rsidR="00AD13F0">
        <w:rPr>
          <w:lang w:val="fr-CH"/>
        </w:rPr>
        <w:t>'</w:t>
      </w:r>
      <w:r>
        <w:rPr>
          <w:lang w:val="fr-CH"/>
        </w:rPr>
        <w:t>à l</w:t>
      </w:r>
      <w:r w:rsidR="00AD13F0">
        <w:rPr>
          <w:lang w:val="fr-CH"/>
        </w:rPr>
        <w:t>'</w:t>
      </w:r>
      <w:r>
        <w:rPr>
          <w:lang w:val="fr-CH"/>
        </w:rPr>
        <w:t>adjonction d</w:t>
      </w:r>
      <w:r w:rsidR="00AD13F0">
        <w:rPr>
          <w:lang w:val="fr-CH"/>
        </w:rPr>
        <w:t>'</w:t>
      </w:r>
      <w:r>
        <w:rPr>
          <w:lang w:val="fr-CH"/>
        </w:rPr>
        <w:t xml:space="preserve">une </w:t>
      </w:r>
      <w:r w:rsidRPr="005D2AB9">
        <w:rPr>
          <w:lang w:val="fr-CH"/>
        </w:rPr>
        <w:t>note</w:t>
      </w:r>
      <w:r w:rsidR="00F52C52">
        <w:rPr>
          <w:lang w:val="fr-CH"/>
        </w:rPr>
        <w:t xml:space="preserve"> </w:t>
      </w:r>
      <w:r w:rsidRPr="005D2AB9">
        <w:rPr>
          <w:lang w:val="fr-CH"/>
        </w:rPr>
        <w:t>dans l</w:t>
      </w:r>
      <w:r w:rsidR="00AD13F0">
        <w:rPr>
          <w:lang w:val="fr-CH"/>
        </w:rPr>
        <w:t>'</w:t>
      </w:r>
      <w:r w:rsidRPr="005D2AB9">
        <w:rPr>
          <w:lang w:val="fr-CH"/>
        </w:rPr>
        <w:t xml:space="preserve">Article 2A des Appendices </w:t>
      </w:r>
      <w:r w:rsidRPr="005D2AB9">
        <w:rPr>
          <w:b/>
          <w:bCs/>
          <w:lang w:val="fr-CH"/>
        </w:rPr>
        <w:t>30</w:t>
      </w:r>
      <w:r w:rsidRPr="005D2AB9">
        <w:rPr>
          <w:lang w:val="fr-CH"/>
        </w:rPr>
        <w:t xml:space="preserve"> et </w:t>
      </w:r>
      <w:r w:rsidRPr="005D2AB9">
        <w:rPr>
          <w:b/>
          <w:bCs/>
          <w:lang w:val="fr-CH"/>
        </w:rPr>
        <w:t>30A</w:t>
      </w:r>
      <w:r w:rsidRPr="005D2AB9">
        <w:rPr>
          <w:lang w:val="fr-CH"/>
        </w:rPr>
        <w:t xml:space="preserve"> du RR</w:t>
      </w:r>
      <w:r>
        <w:rPr>
          <w:lang w:val="fr-CH"/>
        </w:rPr>
        <w:t>, pour préciser que les soumissions concernant les</w:t>
      </w:r>
      <w:r w:rsidRPr="005D2AB9">
        <w:rPr>
          <w:i/>
          <w:iCs/>
          <w:lang w:val="fr-CH"/>
        </w:rPr>
        <w:t xml:space="preserve"> fonctions d</w:t>
      </w:r>
      <w:r w:rsidR="00AD13F0">
        <w:rPr>
          <w:i/>
          <w:iCs/>
          <w:lang w:val="fr-CH"/>
        </w:rPr>
        <w:t>'</w:t>
      </w:r>
      <w:r w:rsidRPr="005D2AB9">
        <w:rPr>
          <w:i/>
          <w:iCs/>
          <w:lang w:val="fr-CH"/>
        </w:rPr>
        <w:t>exploitation spatiale associées au SRS</w:t>
      </w:r>
      <w:r w:rsidRPr="005D2AB9">
        <w:rPr>
          <w:lang w:val="fr-CH"/>
        </w:rPr>
        <w:t xml:space="preserve"> </w:t>
      </w:r>
      <w:r>
        <w:rPr>
          <w:lang w:val="fr-CH"/>
        </w:rPr>
        <w:t>planifié</w:t>
      </w:r>
      <w:r w:rsidR="00F52C52">
        <w:rPr>
          <w:lang w:val="fr-CH"/>
        </w:rPr>
        <w:t xml:space="preserve"> </w:t>
      </w:r>
      <w:r w:rsidRPr="005D2AB9">
        <w:rPr>
          <w:lang w:val="fr-CH"/>
        </w:rPr>
        <w:t>ne sont pas assujetties à la procédure administrative du principe de diligence due</w:t>
      </w:r>
      <w:r w:rsidR="00F52C52">
        <w:rPr>
          <w:lang w:val="fr-CH"/>
        </w:rPr>
        <w:t xml:space="preserve"> </w:t>
      </w:r>
      <w:r w:rsidRPr="005D2AB9">
        <w:rPr>
          <w:lang w:val="fr-CH"/>
        </w:rPr>
        <w:t>(§</w:t>
      </w:r>
      <w:r w:rsidR="00AD13F0">
        <w:rPr>
          <w:lang w:val="fr-CH"/>
        </w:rPr>
        <w:t> </w:t>
      </w:r>
      <w:r w:rsidRPr="005D2AB9">
        <w:rPr>
          <w:lang w:val="fr-CH"/>
        </w:rPr>
        <w:t>3.2.4.10).</w:t>
      </w:r>
    </w:p>
    <w:p w14:paraId="2DA4FCBC" w14:textId="6089E19E" w:rsidR="00C00626" w:rsidRPr="005D2AB9" w:rsidRDefault="00C00626" w:rsidP="00D56210">
      <w:pPr>
        <w:rPr>
          <w:lang w:val="fr-CH"/>
        </w:rPr>
      </w:pPr>
      <w:r w:rsidRPr="005D2AB9">
        <w:rPr>
          <w:lang w:val="fr-CH"/>
        </w:rPr>
        <w:t>S</w:t>
      </w:r>
      <w:r w:rsidR="00AD13F0">
        <w:rPr>
          <w:lang w:val="fr-CH"/>
        </w:rPr>
        <w:t>'</w:t>
      </w:r>
      <w:r w:rsidRPr="005D2AB9">
        <w:rPr>
          <w:lang w:val="fr-CH"/>
        </w:rPr>
        <w:t>agissant des procédures réglementaires applicables aux réseaux du service fixe par satellite (SFS) planifié relevant de</w:t>
      </w:r>
      <w:r w:rsidR="00F52C52">
        <w:rPr>
          <w:lang w:val="fr-CH"/>
        </w:rPr>
        <w:t xml:space="preserve"> </w:t>
      </w:r>
      <w:r w:rsidRPr="005D2AB9">
        <w:rPr>
          <w:lang w:val="fr-CH"/>
        </w:rPr>
        <w:t>l</w:t>
      </w:r>
      <w:r w:rsidR="00AD13F0">
        <w:rPr>
          <w:lang w:val="fr-CH"/>
        </w:rPr>
        <w:t>'</w:t>
      </w:r>
      <w:r w:rsidRPr="005D2AB9">
        <w:rPr>
          <w:lang w:val="fr-CH"/>
        </w:rPr>
        <w:t>Appendice</w:t>
      </w:r>
      <w:r w:rsidR="00F52C52">
        <w:rPr>
          <w:lang w:val="fr-CH"/>
        </w:rPr>
        <w:t xml:space="preserve"> </w:t>
      </w:r>
      <w:r w:rsidRPr="005D2AB9">
        <w:rPr>
          <w:b/>
          <w:lang w:val="fr-CH"/>
        </w:rPr>
        <w:t>30B</w:t>
      </w:r>
      <w:r w:rsidRPr="005D2AB9">
        <w:rPr>
          <w:bCs/>
          <w:lang w:val="fr-CH"/>
        </w:rPr>
        <w:t xml:space="preserve"> du RR</w:t>
      </w:r>
      <w:r w:rsidRPr="005D2AB9">
        <w:rPr>
          <w:lang w:val="fr-CH"/>
        </w:rPr>
        <w:t>, l</w:t>
      </w:r>
      <w:r w:rsidR="00AD13F0">
        <w:rPr>
          <w:lang w:val="fr-CH"/>
        </w:rPr>
        <w:t>'</w:t>
      </w:r>
      <w:r w:rsidRPr="005D2AB9">
        <w:rPr>
          <w:lang w:val="fr-CH"/>
        </w:rPr>
        <w:t>Europe est favorable, dans les présentes propositions,</w:t>
      </w:r>
      <w:r>
        <w:rPr>
          <w:lang w:val="fr-CH"/>
        </w:rPr>
        <w:t xml:space="preserve"> </w:t>
      </w:r>
      <w:r w:rsidRPr="005D2AB9">
        <w:rPr>
          <w:lang w:val="fr-CH"/>
        </w:rPr>
        <w:t>à</w:t>
      </w:r>
      <w:r w:rsidR="00F52C52">
        <w:rPr>
          <w:lang w:val="fr-CH"/>
        </w:rPr>
        <w:t xml:space="preserve"> </w:t>
      </w:r>
      <w:r w:rsidRPr="005D2AB9">
        <w:rPr>
          <w:lang w:val="fr-CH"/>
        </w:rPr>
        <w:t>la suppression du délai obligatoire de deux ans pour la mise en service</w:t>
      </w:r>
      <w:r w:rsidR="00F52C52">
        <w:rPr>
          <w:lang w:val="fr-CH"/>
        </w:rPr>
        <w:t xml:space="preserve"> </w:t>
      </w:r>
      <w:r>
        <w:rPr>
          <w:lang w:val="fr-CH"/>
        </w:rPr>
        <w:t xml:space="preserve">au </w:t>
      </w:r>
      <w:r w:rsidRPr="005D2AB9">
        <w:rPr>
          <w:lang w:val="fr-CH"/>
        </w:rPr>
        <w:t xml:space="preserve">§ 6.1 </w:t>
      </w:r>
      <w:r>
        <w:rPr>
          <w:lang w:val="fr-CH"/>
        </w:rPr>
        <w:t>de</w:t>
      </w:r>
      <w:r w:rsidR="00F52C52">
        <w:rPr>
          <w:lang w:val="fr-CH"/>
        </w:rPr>
        <w:t xml:space="preserve"> </w:t>
      </w:r>
      <w:r w:rsidRPr="005D2AB9">
        <w:rPr>
          <w:lang w:val="fr-CH"/>
        </w:rPr>
        <w:t>l</w:t>
      </w:r>
      <w:r w:rsidR="00AD13F0">
        <w:rPr>
          <w:lang w:val="fr-CH"/>
        </w:rPr>
        <w:t>'</w:t>
      </w:r>
      <w:r w:rsidRPr="005D2AB9">
        <w:rPr>
          <w:lang w:val="fr-CH"/>
        </w:rPr>
        <w:t>Appendice</w:t>
      </w:r>
      <w:r w:rsidR="00F52C52">
        <w:rPr>
          <w:lang w:val="fr-CH"/>
        </w:rPr>
        <w:t xml:space="preserve"> </w:t>
      </w:r>
      <w:r w:rsidRPr="005D2AB9">
        <w:rPr>
          <w:b/>
          <w:lang w:val="fr-CH"/>
        </w:rPr>
        <w:t xml:space="preserve">30B </w:t>
      </w:r>
      <w:r w:rsidRPr="005D2AB9">
        <w:rPr>
          <w:bCs/>
          <w:lang w:val="fr-CH"/>
        </w:rPr>
        <w:t>du RR</w:t>
      </w:r>
      <w:r w:rsidRPr="005D2AB9">
        <w:rPr>
          <w:b/>
          <w:lang w:val="fr-CH"/>
        </w:rPr>
        <w:t xml:space="preserve"> </w:t>
      </w:r>
      <w:r w:rsidRPr="005D2AB9">
        <w:rPr>
          <w:lang w:val="fr-CH"/>
        </w:rPr>
        <w:t>(§ 3.2.5.1),</w:t>
      </w:r>
      <w:r>
        <w:rPr>
          <w:lang w:val="fr-CH"/>
        </w:rPr>
        <w:t xml:space="preserve"> et propose de modifier le </w:t>
      </w:r>
      <w:r w:rsidRPr="005D2AB9">
        <w:rPr>
          <w:lang w:val="fr-CH"/>
        </w:rPr>
        <w:t xml:space="preserve">§ 6.16 </w:t>
      </w:r>
      <w:r>
        <w:rPr>
          <w:lang w:val="fr-CH"/>
        </w:rPr>
        <w:t>de</w:t>
      </w:r>
      <w:r w:rsidR="00F52C52">
        <w:rPr>
          <w:lang w:val="fr-CH"/>
        </w:rPr>
        <w:t xml:space="preserve"> </w:t>
      </w:r>
      <w:r w:rsidRPr="005D2AB9">
        <w:rPr>
          <w:lang w:val="fr-CH"/>
        </w:rPr>
        <w:t>l</w:t>
      </w:r>
      <w:r w:rsidR="00AD13F0">
        <w:rPr>
          <w:lang w:val="fr-CH"/>
        </w:rPr>
        <w:t>'</w:t>
      </w:r>
      <w:r w:rsidRPr="005D2AB9">
        <w:rPr>
          <w:lang w:val="fr-CH"/>
        </w:rPr>
        <w:t>Appendice</w:t>
      </w:r>
      <w:r w:rsidR="00F52C52">
        <w:rPr>
          <w:lang w:val="fr-CH"/>
        </w:rPr>
        <w:t xml:space="preserve"> </w:t>
      </w:r>
      <w:r w:rsidRPr="005D2AB9">
        <w:rPr>
          <w:b/>
          <w:lang w:val="fr-CH"/>
        </w:rPr>
        <w:t>30B</w:t>
      </w:r>
      <w:r w:rsidRPr="005D2AB9">
        <w:rPr>
          <w:lang w:val="fr-CH"/>
        </w:rPr>
        <w:t xml:space="preserve"> </w:t>
      </w:r>
      <w:r>
        <w:rPr>
          <w:lang w:val="fr-CH"/>
        </w:rPr>
        <w:t>pour permettre le déplacement des points de mesure en cas de demande d</w:t>
      </w:r>
      <w:r w:rsidR="00AD13F0">
        <w:rPr>
          <w:lang w:val="fr-CH"/>
        </w:rPr>
        <w:t>'</w:t>
      </w:r>
      <w:r>
        <w:rPr>
          <w:lang w:val="fr-CH"/>
        </w:rPr>
        <w:t>exclusion d</w:t>
      </w:r>
      <w:r w:rsidR="00AD13F0">
        <w:rPr>
          <w:lang w:val="fr-CH"/>
        </w:rPr>
        <w:t>'</w:t>
      </w:r>
      <w:r>
        <w:rPr>
          <w:lang w:val="fr-CH"/>
        </w:rPr>
        <w:t xml:space="preserve">un pays sur le territoire duquel sont situés ces points de mesure </w:t>
      </w:r>
      <w:r w:rsidRPr="005D2AB9">
        <w:rPr>
          <w:lang w:val="fr-CH"/>
        </w:rPr>
        <w:t>(§ 3.2.5.2).</w:t>
      </w:r>
    </w:p>
    <w:p w14:paraId="2D807511" w14:textId="5FF31BDF" w:rsidR="00C00626" w:rsidRPr="00713817" w:rsidRDefault="00C00626" w:rsidP="00D56210">
      <w:pPr>
        <w:rPr>
          <w:lang w:val="fr-CH"/>
        </w:rPr>
      </w:pPr>
      <w:r w:rsidRPr="00713817">
        <w:rPr>
          <w:lang w:val="fr-CH"/>
        </w:rPr>
        <w:t xml:space="preserve">En ce qui concerne le délai de </w:t>
      </w:r>
      <w:proofErr w:type="gramStart"/>
      <w:r w:rsidRPr="00713817">
        <w:rPr>
          <w:lang w:val="fr-CH"/>
        </w:rPr>
        <w:t>deux mois prévu</w:t>
      </w:r>
      <w:proofErr w:type="gramEnd"/>
      <w:r w:rsidRPr="00713817">
        <w:rPr>
          <w:lang w:val="fr-CH"/>
        </w:rPr>
        <w:t xml:space="preserve"> pour</w:t>
      </w:r>
      <w:r w:rsidR="00F52C52">
        <w:rPr>
          <w:lang w:val="fr-CH"/>
        </w:rPr>
        <w:t xml:space="preserve"> </w:t>
      </w:r>
      <w:r w:rsidRPr="00713817">
        <w:rPr>
          <w:lang w:val="fr-CH"/>
        </w:rPr>
        <w:t xml:space="preserve">la publication </w:t>
      </w:r>
      <w:r w:rsidR="00CD5C5D">
        <w:rPr>
          <w:lang w:val="fr-CH"/>
        </w:rPr>
        <w:t xml:space="preserve">de </w:t>
      </w:r>
      <w:r w:rsidRPr="00713817">
        <w:rPr>
          <w:lang w:val="fr-CH"/>
        </w:rPr>
        <w:t>la soumission d</w:t>
      </w:r>
      <w:r w:rsidR="00AD13F0">
        <w:rPr>
          <w:lang w:val="fr-CH"/>
        </w:rPr>
        <w:t>'</w:t>
      </w:r>
      <w:r w:rsidRPr="00713817">
        <w:rPr>
          <w:lang w:val="fr-CH"/>
        </w:rPr>
        <w:t>une notification conformément au</w:t>
      </w:r>
      <w:r w:rsidR="00F52C52">
        <w:rPr>
          <w:lang w:val="fr-CH"/>
        </w:rPr>
        <w:t xml:space="preserve"> </w:t>
      </w:r>
      <w:r w:rsidRPr="00713817">
        <w:rPr>
          <w:lang w:val="fr-CH"/>
        </w:rPr>
        <w:t>§ 8.5 de l</w:t>
      </w:r>
      <w:r w:rsidR="00AD13F0">
        <w:rPr>
          <w:lang w:val="fr-CH"/>
        </w:rPr>
        <w:t>'</w:t>
      </w:r>
      <w:r w:rsidRPr="00713817">
        <w:rPr>
          <w:lang w:val="fr-CH"/>
        </w:rPr>
        <w:t>Appendice</w:t>
      </w:r>
      <w:r w:rsidR="00F52C52">
        <w:rPr>
          <w:lang w:val="fr-CH"/>
        </w:rPr>
        <w:t xml:space="preserve"> </w:t>
      </w:r>
      <w:r w:rsidRPr="00713817">
        <w:rPr>
          <w:b/>
          <w:lang w:val="fr-CH"/>
        </w:rPr>
        <w:t>30B</w:t>
      </w:r>
      <w:r w:rsidRPr="00713817">
        <w:rPr>
          <w:bCs/>
          <w:lang w:val="fr-CH"/>
        </w:rPr>
        <w:t xml:space="preserve"> du RR</w:t>
      </w:r>
      <w:r w:rsidRPr="00713817">
        <w:rPr>
          <w:lang w:val="fr-CH"/>
        </w:rPr>
        <w:t xml:space="preserve"> (§ 3.2.5.3)</w:t>
      </w:r>
      <w:r>
        <w:rPr>
          <w:lang w:val="fr-CH"/>
        </w:rPr>
        <w:t>, il est proposé de modifier cette disposition pour remédier à</w:t>
      </w:r>
      <w:r w:rsidR="00F52C52">
        <w:rPr>
          <w:lang w:val="fr-CH"/>
        </w:rPr>
        <w:t xml:space="preserve"> </w:t>
      </w:r>
      <w:r>
        <w:rPr>
          <w:lang w:val="fr-CH"/>
        </w:rPr>
        <w:t>l</w:t>
      </w:r>
      <w:r w:rsidR="00AD13F0">
        <w:rPr>
          <w:lang w:val="fr-CH"/>
        </w:rPr>
        <w:t>'</w:t>
      </w:r>
      <w:r>
        <w:rPr>
          <w:lang w:val="fr-CH"/>
        </w:rPr>
        <w:t xml:space="preserve">incohérence actuelle et établir une distinction entre deux cas de notifications possibles </w:t>
      </w:r>
      <w:r w:rsidR="00CD5C5D">
        <w:rPr>
          <w:lang w:val="fr-CH"/>
        </w:rPr>
        <w:t xml:space="preserve">soumises </w:t>
      </w:r>
      <w:r>
        <w:rPr>
          <w:lang w:val="fr-CH"/>
        </w:rPr>
        <w:t>au titre de</w:t>
      </w:r>
      <w:r w:rsidR="00F52C52">
        <w:rPr>
          <w:lang w:val="fr-CH"/>
        </w:rPr>
        <w:t xml:space="preserve"> </w:t>
      </w:r>
      <w:r w:rsidRPr="00713817">
        <w:rPr>
          <w:lang w:val="fr-CH"/>
        </w:rPr>
        <w:t>l</w:t>
      </w:r>
      <w:r w:rsidR="00AD13F0">
        <w:rPr>
          <w:lang w:val="fr-CH"/>
        </w:rPr>
        <w:t>'</w:t>
      </w:r>
      <w:r w:rsidRPr="00713817">
        <w:rPr>
          <w:lang w:val="fr-CH"/>
        </w:rPr>
        <w:t xml:space="preserve">Appendice </w:t>
      </w:r>
      <w:r w:rsidRPr="00713817">
        <w:rPr>
          <w:b/>
          <w:bCs/>
          <w:lang w:val="fr-CH"/>
        </w:rPr>
        <w:t>30B</w:t>
      </w:r>
      <w:r w:rsidRPr="00713817">
        <w:rPr>
          <w:lang w:val="fr-CH"/>
        </w:rPr>
        <w:t xml:space="preserve"> du RR</w:t>
      </w:r>
      <w:r w:rsidR="00CD5C5D">
        <w:rPr>
          <w:lang w:val="fr-CH"/>
        </w:rPr>
        <w:t>.</w:t>
      </w:r>
    </w:p>
    <w:p w14:paraId="3417CC91" w14:textId="62D352E5" w:rsidR="00C00626" w:rsidRPr="00713817" w:rsidRDefault="00C00626" w:rsidP="00D56210">
      <w:pPr>
        <w:rPr>
          <w:lang w:val="fr-CH"/>
        </w:rPr>
      </w:pPr>
      <w:r w:rsidRPr="00713817">
        <w:rPr>
          <w:lang w:val="fr-CH"/>
        </w:rPr>
        <w:t>En outre, l</w:t>
      </w:r>
      <w:r w:rsidR="00AD13F0">
        <w:rPr>
          <w:lang w:val="fr-CH"/>
        </w:rPr>
        <w:t>'</w:t>
      </w:r>
      <w:r w:rsidRPr="00713817">
        <w:rPr>
          <w:lang w:val="fr-CH"/>
        </w:rPr>
        <w:t>Europe appuie, dans les présentes propositions, la modification du § 6.19 de</w:t>
      </w:r>
      <w:r w:rsidR="00F52C52">
        <w:rPr>
          <w:lang w:val="fr-CH"/>
        </w:rPr>
        <w:t xml:space="preserve"> </w:t>
      </w:r>
      <w:r w:rsidRPr="00713817">
        <w:rPr>
          <w:lang w:val="fr-CH"/>
        </w:rPr>
        <w:t>l</w:t>
      </w:r>
      <w:r w:rsidR="00AD13F0">
        <w:rPr>
          <w:lang w:val="fr-CH"/>
        </w:rPr>
        <w:t>'</w:t>
      </w:r>
      <w:r w:rsidRPr="00713817">
        <w:rPr>
          <w:lang w:val="fr-CH"/>
        </w:rPr>
        <w:t>Appendice</w:t>
      </w:r>
      <w:r w:rsidR="00AD13F0">
        <w:rPr>
          <w:lang w:val="fr-CH"/>
        </w:rPr>
        <w:t> </w:t>
      </w:r>
      <w:r w:rsidRPr="00713817">
        <w:rPr>
          <w:b/>
          <w:lang w:val="fr-CH"/>
        </w:rPr>
        <w:t>30B</w:t>
      </w:r>
      <w:r w:rsidRPr="00713817">
        <w:rPr>
          <w:lang w:val="fr-CH"/>
        </w:rPr>
        <w:t xml:space="preserve"> (§ 3.2.5.7)</w:t>
      </w:r>
      <w:r w:rsidR="00F52C52">
        <w:rPr>
          <w:lang w:val="fr-CH"/>
        </w:rPr>
        <w:t>,</w:t>
      </w:r>
      <w:r>
        <w:rPr>
          <w:lang w:val="fr-CH"/>
        </w:rPr>
        <w:t xml:space="preserve"> afin de de faire obligation à l</w:t>
      </w:r>
      <w:r w:rsidR="00AD13F0">
        <w:rPr>
          <w:lang w:val="fr-CH"/>
        </w:rPr>
        <w:t>'</w:t>
      </w:r>
      <w:r>
        <w:rPr>
          <w:lang w:val="fr-CH"/>
        </w:rPr>
        <w:t>administration qui soumet ses assignations en vue de leur inscription dans la Liste de</w:t>
      </w:r>
      <w:r w:rsidR="00F52C52">
        <w:rPr>
          <w:lang w:val="fr-CH"/>
        </w:rPr>
        <w:t xml:space="preserve"> </w:t>
      </w:r>
      <w:r w:rsidRPr="00713817">
        <w:rPr>
          <w:lang w:val="fr-CH"/>
        </w:rPr>
        <w:t>l</w:t>
      </w:r>
      <w:r w:rsidR="00AD13F0">
        <w:rPr>
          <w:lang w:val="fr-CH"/>
        </w:rPr>
        <w:t>'</w:t>
      </w:r>
      <w:r w:rsidRPr="00713817">
        <w:rPr>
          <w:lang w:val="fr-CH"/>
        </w:rPr>
        <w:t>Appendice</w:t>
      </w:r>
      <w:r w:rsidR="00F52C52">
        <w:rPr>
          <w:lang w:val="fr-CH"/>
        </w:rPr>
        <w:t xml:space="preserve"> </w:t>
      </w:r>
      <w:r w:rsidRPr="00713817">
        <w:rPr>
          <w:b/>
          <w:lang w:val="fr-CH"/>
        </w:rPr>
        <w:t>30B</w:t>
      </w:r>
      <w:r w:rsidRPr="00713817">
        <w:rPr>
          <w:bCs/>
          <w:lang w:val="fr-CH"/>
        </w:rPr>
        <w:t xml:space="preserve"> du RR</w:t>
      </w:r>
      <w:r>
        <w:rPr>
          <w:lang w:val="fr-CH"/>
        </w:rPr>
        <w:t xml:space="preserve"> d</w:t>
      </w:r>
      <w:r w:rsidR="00AD13F0">
        <w:rPr>
          <w:lang w:val="fr-CH"/>
        </w:rPr>
        <w:t>'</w:t>
      </w:r>
      <w:r>
        <w:rPr>
          <w:lang w:val="fr-CH"/>
        </w:rPr>
        <w:t xml:space="preserve">obtenir </w:t>
      </w:r>
      <w:r w:rsidRPr="00713817">
        <w:rPr>
          <w:lang w:val="fr-CH"/>
        </w:rPr>
        <w:t>expressément</w:t>
      </w:r>
      <w:r w:rsidR="00F52C52">
        <w:rPr>
          <w:lang w:val="fr-CH"/>
        </w:rPr>
        <w:t xml:space="preserve"> </w:t>
      </w:r>
      <w:r w:rsidRPr="00713817">
        <w:rPr>
          <w:lang w:val="fr-CH"/>
        </w:rPr>
        <w:t>l</w:t>
      </w:r>
      <w:r w:rsidR="00AD13F0">
        <w:rPr>
          <w:lang w:val="fr-CH"/>
        </w:rPr>
        <w:t>'</w:t>
      </w:r>
      <w:r w:rsidRPr="00713817">
        <w:rPr>
          <w:lang w:val="fr-CH"/>
        </w:rPr>
        <w:t>accord de toutes les administrations dont le territoire est inclus dans la zone de service finale</w:t>
      </w:r>
      <w:r w:rsidR="00CD5C5D">
        <w:rPr>
          <w:lang w:val="fr-CH"/>
        </w:rPr>
        <w:t>.</w:t>
      </w:r>
    </w:p>
    <w:p w14:paraId="100FA3C8" w14:textId="541FA8F2" w:rsidR="00C00626" w:rsidRPr="0040598F" w:rsidRDefault="00C00626" w:rsidP="00D56210">
      <w:pPr>
        <w:rPr>
          <w:lang w:val="fr-CH"/>
        </w:rPr>
      </w:pPr>
      <w:r w:rsidRPr="0040598F">
        <w:rPr>
          <w:lang w:val="fr-CH"/>
        </w:rPr>
        <w:t>Enfin, l</w:t>
      </w:r>
      <w:r w:rsidR="00AD13F0">
        <w:rPr>
          <w:lang w:val="fr-CH"/>
        </w:rPr>
        <w:t>'</w:t>
      </w:r>
      <w:r w:rsidRPr="0040598F">
        <w:rPr>
          <w:lang w:val="fr-CH"/>
        </w:rPr>
        <w:t>Europe appuie, dans les présentes propositions, les modifications apportées à la Résolution</w:t>
      </w:r>
      <w:r w:rsidR="00AD13F0">
        <w:rPr>
          <w:lang w:val="fr-CH"/>
        </w:rPr>
        <w:t> </w:t>
      </w:r>
      <w:r w:rsidRPr="0040598F">
        <w:rPr>
          <w:b/>
          <w:lang w:val="fr-CH"/>
        </w:rPr>
        <w:t>49 (R</w:t>
      </w:r>
      <w:r w:rsidR="00AF1D93">
        <w:rPr>
          <w:b/>
          <w:lang w:val="fr-CH"/>
        </w:rPr>
        <w:t>é</w:t>
      </w:r>
      <w:r w:rsidRPr="0040598F">
        <w:rPr>
          <w:b/>
          <w:lang w:val="fr-CH"/>
        </w:rPr>
        <w:t>v.CMR-15)</w:t>
      </w:r>
      <w:r w:rsidRPr="0040598F">
        <w:rPr>
          <w:lang w:val="fr-CH"/>
        </w:rPr>
        <w:t xml:space="preserve"> (§ 3.3.1)</w:t>
      </w:r>
      <w:r w:rsidR="00F52C52">
        <w:rPr>
          <w:lang w:val="fr-CH"/>
        </w:rPr>
        <w:t>,</w:t>
      </w:r>
      <w:r w:rsidRPr="0040598F">
        <w:rPr>
          <w:lang w:val="fr-CH"/>
        </w:rPr>
        <w:t xml:space="preserve"> en vue de</w:t>
      </w:r>
      <w:r w:rsidR="00F52C52">
        <w:rPr>
          <w:lang w:val="fr-CH"/>
        </w:rPr>
        <w:t xml:space="preserve"> </w:t>
      </w:r>
      <w:r w:rsidRPr="0040598F">
        <w:rPr>
          <w:color w:val="000000"/>
          <w:lang w:val="fr-CH"/>
        </w:rPr>
        <w:t>remédier à une incohérence</w:t>
      </w:r>
      <w:r>
        <w:rPr>
          <w:color w:val="000000"/>
          <w:lang w:val="fr-CH"/>
        </w:rPr>
        <w:t xml:space="preserve"> concernant le délai de soumission des</w:t>
      </w:r>
      <w:r w:rsidR="00F52C52">
        <w:rPr>
          <w:color w:val="000000"/>
          <w:lang w:val="fr-CH"/>
        </w:rPr>
        <w:t xml:space="preserve"> </w:t>
      </w:r>
      <w:r w:rsidRPr="0040598F">
        <w:rPr>
          <w:lang w:val="fr-CH"/>
        </w:rPr>
        <w:t>renseignements requis au titre de la</w:t>
      </w:r>
      <w:r w:rsidR="00F52C52">
        <w:rPr>
          <w:lang w:val="fr-CH"/>
        </w:rPr>
        <w:t xml:space="preserve"> </w:t>
      </w:r>
      <w:r w:rsidRPr="0040598F">
        <w:rPr>
          <w:lang w:val="fr-CH"/>
        </w:rPr>
        <w:t>procédure administrative du principe de diligence due</w:t>
      </w:r>
      <w:r w:rsidR="00AF1D93">
        <w:rPr>
          <w:lang w:val="fr-CH"/>
        </w:rPr>
        <w:t>,</w:t>
      </w:r>
      <w:r w:rsidR="00F52C52">
        <w:rPr>
          <w:lang w:val="fr-CH"/>
        </w:rPr>
        <w:t xml:space="preserve"> </w:t>
      </w:r>
      <w:r>
        <w:rPr>
          <w:lang w:val="fr-CH"/>
        </w:rPr>
        <w:t>et de supprimer toutes les mesures</w:t>
      </w:r>
      <w:r w:rsidRPr="0040598F">
        <w:rPr>
          <w:lang w:val="fr-CH"/>
        </w:rPr>
        <w:t xml:space="preserve"> </w:t>
      </w:r>
      <w:r>
        <w:rPr>
          <w:lang w:val="fr-CH"/>
        </w:rPr>
        <w:t xml:space="preserve">transitoires qui étaient appliquées il y a longtemps et </w:t>
      </w:r>
      <w:r w:rsidR="00AF1D93">
        <w:rPr>
          <w:lang w:val="fr-CH"/>
        </w:rPr>
        <w:t>qu</w:t>
      </w:r>
      <w:r w:rsidR="00AD13F0">
        <w:rPr>
          <w:lang w:val="fr-CH"/>
        </w:rPr>
        <w:t>'</w:t>
      </w:r>
      <w:r w:rsidR="00AF1D93">
        <w:rPr>
          <w:lang w:val="fr-CH"/>
        </w:rPr>
        <w:t>il n</w:t>
      </w:r>
      <w:r w:rsidR="00AD13F0">
        <w:rPr>
          <w:lang w:val="fr-CH"/>
        </w:rPr>
        <w:t>'</w:t>
      </w:r>
      <w:r w:rsidR="00AF1D93">
        <w:rPr>
          <w:lang w:val="fr-CH"/>
        </w:rPr>
        <w:t>y a plus lieu de maintenir</w:t>
      </w:r>
      <w:r>
        <w:rPr>
          <w:lang w:val="fr-CH"/>
        </w:rPr>
        <w:t xml:space="preserve"> dans le corps de la Résolution. </w:t>
      </w:r>
      <w:r w:rsidRPr="0040598F">
        <w:rPr>
          <w:lang w:val="fr-CH"/>
        </w:rPr>
        <w:t>De plus,</w:t>
      </w:r>
      <w:r w:rsidR="00F52C52">
        <w:rPr>
          <w:lang w:val="fr-CH"/>
        </w:rPr>
        <w:t xml:space="preserve"> </w:t>
      </w:r>
      <w:r w:rsidRPr="0040598F">
        <w:rPr>
          <w:lang w:val="fr-CH"/>
        </w:rPr>
        <w:t xml:space="preserve">la version révisée de la </w:t>
      </w:r>
      <w:r w:rsidR="00AF1D93">
        <w:rPr>
          <w:lang w:val="fr-CH"/>
        </w:rPr>
        <w:t>R</w:t>
      </w:r>
      <w:r w:rsidRPr="0040598F">
        <w:rPr>
          <w:lang w:val="fr-CH"/>
        </w:rPr>
        <w:t>ésolution</w:t>
      </w:r>
      <w:r>
        <w:rPr>
          <w:lang w:val="fr-CH"/>
        </w:rPr>
        <w:t xml:space="preserve"> </w:t>
      </w:r>
      <w:r w:rsidRPr="0040598F">
        <w:rPr>
          <w:b/>
          <w:lang w:val="fr-CH"/>
        </w:rPr>
        <w:t>49 (R</w:t>
      </w:r>
      <w:r w:rsidR="005105ED">
        <w:rPr>
          <w:b/>
          <w:lang w:val="fr-CH"/>
        </w:rPr>
        <w:t>é</w:t>
      </w:r>
      <w:r w:rsidRPr="0040598F">
        <w:rPr>
          <w:b/>
          <w:lang w:val="fr-CH"/>
        </w:rPr>
        <w:t>v.CMR-15)</w:t>
      </w:r>
      <w:r>
        <w:rPr>
          <w:b/>
          <w:lang w:val="fr-CH"/>
        </w:rPr>
        <w:t xml:space="preserve"> </w:t>
      </w:r>
      <w:r w:rsidRPr="0040598F">
        <w:rPr>
          <w:bCs/>
          <w:lang w:val="fr-CH"/>
        </w:rPr>
        <w:t xml:space="preserve">contient à présent une obligation visant à mettre à jour les renseignements au titre du principe de diligence </w:t>
      </w:r>
      <w:r w:rsidRPr="00AF1D93">
        <w:rPr>
          <w:bCs/>
          <w:lang w:val="fr-CH"/>
        </w:rPr>
        <w:t>due</w:t>
      </w:r>
      <w:r w:rsidR="00AF1D93" w:rsidRPr="00AF1D93">
        <w:rPr>
          <w:bCs/>
          <w:lang w:val="fr-CH"/>
        </w:rPr>
        <w:t>.</w:t>
      </w:r>
    </w:p>
    <w:p w14:paraId="430ADF9C" w14:textId="7C78C401" w:rsidR="00C00626" w:rsidRPr="0040598F" w:rsidRDefault="00C00626" w:rsidP="00D56210">
      <w:pPr>
        <w:rPr>
          <w:lang w:val="fr-CH"/>
        </w:rPr>
      </w:pPr>
      <w:r w:rsidRPr="0040598F">
        <w:rPr>
          <w:lang w:val="fr-CH"/>
        </w:rPr>
        <w:t>Les propositions européennes exposées ci-dessous font l</w:t>
      </w:r>
      <w:r w:rsidR="00AD13F0">
        <w:rPr>
          <w:lang w:val="fr-CH"/>
        </w:rPr>
        <w:t>'</w:t>
      </w:r>
      <w:r w:rsidRPr="0040598F">
        <w:rPr>
          <w:lang w:val="fr-CH"/>
        </w:rPr>
        <w:t xml:space="preserve">objet de 14 </w:t>
      </w:r>
      <w:r w:rsidR="005105ED" w:rsidRPr="0040598F">
        <w:rPr>
          <w:lang w:val="fr-CH"/>
        </w:rPr>
        <w:t xml:space="preserve">Addenda </w:t>
      </w:r>
      <w:r w:rsidRPr="0040598F">
        <w:rPr>
          <w:lang w:val="fr-CH"/>
        </w:rPr>
        <w:t>distincts</w:t>
      </w:r>
      <w:r w:rsidR="00F52C52">
        <w:rPr>
          <w:lang w:val="fr-CH"/>
        </w:rPr>
        <w:t>.</w:t>
      </w:r>
      <w:r>
        <w:rPr>
          <w:lang w:val="fr-CH"/>
        </w:rPr>
        <w:t xml:space="preserve"> Pour chaque </w:t>
      </w:r>
      <w:r w:rsidR="005105ED">
        <w:rPr>
          <w:lang w:val="fr-CH"/>
        </w:rPr>
        <w:t>Addendum</w:t>
      </w:r>
      <w:r>
        <w:rPr>
          <w:lang w:val="fr-CH"/>
        </w:rPr>
        <w:t xml:space="preserve">, le paragraphe correspondant du </w:t>
      </w:r>
      <w:r w:rsidR="005105ED">
        <w:rPr>
          <w:lang w:val="fr-CH"/>
        </w:rPr>
        <w:t xml:space="preserve">Rapport </w:t>
      </w:r>
      <w:r>
        <w:rPr>
          <w:lang w:val="fr-CH"/>
        </w:rPr>
        <w:t xml:space="preserve">du </w:t>
      </w:r>
      <w:r w:rsidR="005105ED">
        <w:rPr>
          <w:lang w:val="fr-CH"/>
        </w:rPr>
        <w:t xml:space="preserve">Directeur </w:t>
      </w:r>
      <w:r>
        <w:rPr>
          <w:lang w:val="fr-CH"/>
        </w:rPr>
        <w:t>est également indi</w:t>
      </w:r>
      <w:r w:rsidRPr="00AF1D93">
        <w:rPr>
          <w:lang w:val="fr-CH"/>
        </w:rPr>
        <w:t>qué</w:t>
      </w:r>
      <w:r w:rsidR="00AF1D93">
        <w:rPr>
          <w:lang w:val="fr-CH"/>
        </w:rPr>
        <w:t>.</w:t>
      </w:r>
    </w:p>
    <w:p w14:paraId="1331471B" w14:textId="05D07E4A" w:rsidR="00C00626" w:rsidRPr="0040598F" w:rsidRDefault="00C00626" w:rsidP="005105ED">
      <w:pPr>
        <w:ind w:left="1871" w:hanging="1871"/>
        <w:rPr>
          <w:lang w:val="fr-CH"/>
        </w:rPr>
      </w:pPr>
      <w:r w:rsidRPr="0040598F">
        <w:rPr>
          <w:b/>
          <w:lang w:val="fr-CH"/>
        </w:rPr>
        <w:t>Addendum 1</w:t>
      </w:r>
      <w:r w:rsidRPr="0040598F">
        <w:rPr>
          <w:lang w:val="fr-CH"/>
        </w:rPr>
        <w:t xml:space="preserve"> </w:t>
      </w:r>
      <w:r w:rsidRPr="0040598F">
        <w:rPr>
          <w:lang w:val="fr-CH"/>
        </w:rPr>
        <w:tab/>
        <w:t>Partie</w:t>
      </w:r>
      <w:r w:rsidR="00F52C52">
        <w:rPr>
          <w:lang w:val="fr-CH"/>
        </w:rPr>
        <w:t xml:space="preserve"> </w:t>
      </w:r>
      <w:r w:rsidRPr="0040598F">
        <w:rPr>
          <w:lang w:val="fr-CH"/>
        </w:rPr>
        <w:t>1 –</w:t>
      </w:r>
      <w:r w:rsidR="005105ED">
        <w:rPr>
          <w:lang w:val="fr-CH"/>
        </w:rPr>
        <w:t xml:space="preserve"> </w:t>
      </w:r>
      <w:r w:rsidRPr="0040598F">
        <w:rPr>
          <w:lang w:val="fr-CH"/>
        </w:rPr>
        <w:t xml:space="preserve">Arrêt de la publication de la </w:t>
      </w:r>
      <w:r w:rsidR="005105ED" w:rsidRPr="0040598F">
        <w:rPr>
          <w:lang w:val="fr-CH"/>
        </w:rPr>
        <w:t xml:space="preserve">Section </w:t>
      </w:r>
      <w:r w:rsidRPr="0040598F">
        <w:rPr>
          <w:lang w:val="fr-CH"/>
        </w:rPr>
        <w:t>spéciale API/C</w:t>
      </w:r>
      <w:r>
        <w:rPr>
          <w:lang w:val="fr-CH"/>
        </w:rPr>
        <w:t xml:space="preserve"> dans la </w:t>
      </w:r>
      <w:r w:rsidRPr="0040598F">
        <w:rPr>
          <w:lang w:val="fr-CH"/>
        </w:rPr>
        <w:t>BR IFIC (§ 3.1.3.1)</w:t>
      </w:r>
    </w:p>
    <w:p w14:paraId="64818BB5" w14:textId="1F031637" w:rsidR="00C00626" w:rsidRPr="0040598F" w:rsidRDefault="00C00626" w:rsidP="005105ED">
      <w:pPr>
        <w:ind w:left="1871" w:hanging="1871"/>
        <w:rPr>
          <w:lang w:val="fr-CH"/>
        </w:rPr>
      </w:pPr>
      <w:r w:rsidRPr="0040598F">
        <w:rPr>
          <w:b/>
          <w:lang w:val="fr-CH"/>
        </w:rPr>
        <w:t>Addendum 2</w:t>
      </w:r>
      <w:r w:rsidRPr="0040598F">
        <w:rPr>
          <w:lang w:val="fr-CH"/>
        </w:rPr>
        <w:t xml:space="preserve"> </w:t>
      </w:r>
      <w:r w:rsidRPr="0040598F">
        <w:rPr>
          <w:lang w:val="fr-CH"/>
        </w:rPr>
        <w:tab/>
        <w:t>Partie</w:t>
      </w:r>
      <w:r w:rsidR="00F52C52">
        <w:rPr>
          <w:lang w:val="fr-CH"/>
        </w:rPr>
        <w:t xml:space="preserve"> </w:t>
      </w:r>
      <w:r w:rsidRPr="0040598F">
        <w:rPr>
          <w:lang w:val="fr-CH"/>
        </w:rPr>
        <w:t xml:space="preserve">2 – </w:t>
      </w:r>
      <w:r w:rsidR="00D56210">
        <w:rPr>
          <w:lang w:val="fr-CH"/>
        </w:rPr>
        <w:t>O</w:t>
      </w:r>
      <w:r w:rsidRPr="0040598F">
        <w:rPr>
          <w:lang w:val="fr-CH"/>
        </w:rPr>
        <w:t>bligation de fournir un rapport</w:t>
      </w:r>
      <w:r w:rsidR="00D56210">
        <w:rPr>
          <w:lang w:val="fr-CH"/>
        </w:rPr>
        <w:t xml:space="preserve"> sur l</w:t>
      </w:r>
      <w:r w:rsidR="00AD13F0">
        <w:rPr>
          <w:lang w:val="fr-CH"/>
        </w:rPr>
        <w:t>'</w:t>
      </w:r>
      <w:r w:rsidR="00D56210">
        <w:rPr>
          <w:lang w:val="fr-CH"/>
        </w:rPr>
        <w:t>état</w:t>
      </w:r>
      <w:r w:rsidRPr="0040598F">
        <w:rPr>
          <w:lang w:val="fr-CH"/>
        </w:rPr>
        <w:t xml:space="preserve"> d</w:t>
      </w:r>
      <w:r w:rsidR="00AD13F0">
        <w:rPr>
          <w:lang w:val="fr-CH"/>
        </w:rPr>
        <w:t>'</w:t>
      </w:r>
      <w:r w:rsidRPr="0040598F">
        <w:rPr>
          <w:lang w:val="fr-CH"/>
        </w:rPr>
        <w:t>avancement au titre du numéro</w:t>
      </w:r>
      <w:r w:rsidR="00F52C52">
        <w:rPr>
          <w:lang w:val="fr-CH"/>
        </w:rPr>
        <w:t xml:space="preserve"> </w:t>
      </w:r>
      <w:r w:rsidRPr="0040598F">
        <w:rPr>
          <w:b/>
          <w:lang w:val="fr-CH"/>
        </w:rPr>
        <w:t>9.4</w:t>
      </w:r>
      <w:r w:rsidRPr="0040598F">
        <w:rPr>
          <w:lang w:val="fr-CH"/>
        </w:rPr>
        <w:t xml:space="preserve"> </w:t>
      </w:r>
      <w:r w:rsidRPr="0040598F">
        <w:rPr>
          <w:bCs/>
          <w:lang w:val="fr-CH"/>
        </w:rPr>
        <w:t>du RR</w:t>
      </w:r>
      <w:r w:rsidRPr="0040598F">
        <w:rPr>
          <w:b/>
          <w:lang w:val="fr-CH"/>
        </w:rPr>
        <w:t xml:space="preserve"> </w:t>
      </w:r>
      <w:r w:rsidRPr="0040598F">
        <w:rPr>
          <w:lang w:val="fr-CH"/>
        </w:rPr>
        <w:t>(</w:t>
      </w:r>
      <w:r w:rsidR="005105ED">
        <w:rPr>
          <w:lang w:val="fr-CH"/>
        </w:rPr>
        <w:t xml:space="preserve">§ </w:t>
      </w:r>
      <w:r w:rsidRPr="0040598F">
        <w:rPr>
          <w:lang w:val="fr-CH"/>
        </w:rPr>
        <w:t>3.1.3.3)</w:t>
      </w:r>
    </w:p>
    <w:p w14:paraId="58D981BC" w14:textId="1BA54516" w:rsidR="00C00626" w:rsidRPr="0040598F" w:rsidRDefault="00C00626" w:rsidP="005105ED">
      <w:pPr>
        <w:ind w:left="1871" w:hanging="1871"/>
        <w:rPr>
          <w:lang w:val="fr-CH"/>
        </w:rPr>
      </w:pPr>
      <w:r w:rsidRPr="0040598F">
        <w:rPr>
          <w:b/>
          <w:lang w:val="fr-CH"/>
        </w:rPr>
        <w:t>Addendum 3</w:t>
      </w:r>
      <w:r w:rsidRPr="0040598F">
        <w:rPr>
          <w:lang w:val="fr-CH"/>
        </w:rPr>
        <w:t xml:space="preserve"> </w:t>
      </w:r>
      <w:r w:rsidRPr="0040598F">
        <w:rPr>
          <w:lang w:val="fr-CH"/>
        </w:rPr>
        <w:tab/>
        <w:t>Partie</w:t>
      </w:r>
      <w:r w:rsidR="00F52C52">
        <w:rPr>
          <w:lang w:val="fr-CH"/>
        </w:rPr>
        <w:t xml:space="preserve"> </w:t>
      </w:r>
      <w:r w:rsidRPr="0040598F">
        <w:rPr>
          <w:lang w:val="fr-CH"/>
        </w:rPr>
        <w:t xml:space="preserve">3 – </w:t>
      </w:r>
      <w:r w:rsidR="00D56210">
        <w:rPr>
          <w:lang w:val="fr-CH"/>
        </w:rPr>
        <w:t>P</w:t>
      </w:r>
      <w:r w:rsidRPr="0040598F">
        <w:rPr>
          <w:lang w:val="fr-CH"/>
        </w:rPr>
        <w:t>rocédure applicable à la remise en service d</w:t>
      </w:r>
      <w:r w:rsidR="00AD13F0">
        <w:rPr>
          <w:lang w:val="fr-CH"/>
        </w:rPr>
        <w:t>'</w:t>
      </w:r>
      <w:r w:rsidRPr="0040598F">
        <w:rPr>
          <w:lang w:val="fr-CH"/>
        </w:rPr>
        <w:t>une assignation d</w:t>
      </w:r>
      <w:r>
        <w:rPr>
          <w:lang w:val="fr-CH"/>
        </w:rPr>
        <w:t xml:space="preserve">ont </w:t>
      </w:r>
      <w:r w:rsidRPr="0040598F">
        <w:rPr>
          <w:lang w:val="fr-CH"/>
        </w:rPr>
        <w:t>l</w:t>
      </w:r>
      <w:r w:rsidR="00AD13F0">
        <w:rPr>
          <w:lang w:val="fr-CH"/>
        </w:rPr>
        <w:t>'</w:t>
      </w:r>
      <w:r w:rsidRPr="0040598F">
        <w:rPr>
          <w:lang w:val="fr-CH"/>
        </w:rPr>
        <w:t xml:space="preserve">utilisation </w:t>
      </w:r>
      <w:r w:rsidR="00FE7DA8">
        <w:rPr>
          <w:lang w:val="fr-CH"/>
        </w:rPr>
        <w:t>a</w:t>
      </w:r>
      <w:r w:rsidRPr="0040598F">
        <w:rPr>
          <w:lang w:val="fr-CH"/>
        </w:rPr>
        <w:t xml:space="preserve"> été suspendu</w:t>
      </w:r>
      <w:r>
        <w:rPr>
          <w:lang w:val="fr-CH"/>
        </w:rPr>
        <w:t>e</w:t>
      </w:r>
      <w:r w:rsidR="00F52C52">
        <w:rPr>
          <w:lang w:val="fr-CH"/>
        </w:rPr>
        <w:t xml:space="preserve"> </w:t>
      </w:r>
      <w:r w:rsidRPr="0040598F">
        <w:rPr>
          <w:lang w:val="fr-CH"/>
        </w:rPr>
        <w:t>(</w:t>
      </w:r>
      <w:r w:rsidR="005105ED">
        <w:rPr>
          <w:lang w:val="fr-CH"/>
        </w:rPr>
        <w:t xml:space="preserve">§ </w:t>
      </w:r>
      <w:r w:rsidRPr="0040598F">
        <w:rPr>
          <w:lang w:val="fr-CH"/>
        </w:rPr>
        <w:t>3.1.4.1)</w:t>
      </w:r>
    </w:p>
    <w:p w14:paraId="2B52E11D" w14:textId="07706FBF" w:rsidR="00C00626" w:rsidRPr="0040598F" w:rsidRDefault="00C00626" w:rsidP="00D56210">
      <w:pPr>
        <w:ind w:left="1871" w:hanging="1871"/>
        <w:rPr>
          <w:lang w:val="fr-CH"/>
        </w:rPr>
      </w:pPr>
      <w:r w:rsidRPr="0040598F">
        <w:rPr>
          <w:b/>
          <w:lang w:val="fr-CH"/>
        </w:rPr>
        <w:t>Addendum 4</w:t>
      </w:r>
      <w:r w:rsidRPr="0040598F">
        <w:rPr>
          <w:lang w:val="fr-CH"/>
        </w:rPr>
        <w:t xml:space="preserve"> </w:t>
      </w:r>
      <w:r w:rsidRPr="0040598F">
        <w:rPr>
          <w:lang w:val="fr-CH"/>
        </w:rPr>
        <w:tab/>
        <w:t>Partie</w:t>
      </w:r>
      <w:r w:rsidR="00F52C52">
        <w:rPr>
          <w:lang w:val="fr-CH"/>
        </w:rPr>
        <w:t xml:space="preserve"> </w:t>
      </w:r>
      <w:r w:rsidRPr="0040598F">
        <w:rPr>
          <w:lang w:val="fr-CH"/>
        </w:rPr>
        <w:t>4 – Indication du statut de la coordination conformément au numéro</w:t>
      </w:r>
      <w:r w:rsidR="00F52C52">
        <w:rPr>
          <w:lang w:val="fr-CH"/>
        </w:rPr>
        <w:t xml:space="preserve"> </w:t>
      </w:r>
      <w:r w:rsidRPr="0040598F">
        <w:rPr>
          <w:b/>
          <w:lang w:val="fr-CH"/>
        </w:rPr>
        <w:t>9.7</w:t>
      </w:r>
      <w:r w:rsidRPr="0040598F">
        <w:rPr>
          <w:bCs/>
          <w:lang w:val="fr-CH"/>
        </w:rPr>
        <w:t xml:space="preserve"> du RR</w:t>
      </w:r>
      <w:r w:rsidRPr="0040598F">
        <w:rPr>
          <w:lang w:val="fr-CH"/>
        </w:rPr>
        <w:t xml:space="preserve"> au niveau des fiches de notification, aux fins de l</w:t>
      </w:r>
      <w:r w:rsidR="00AD13F0">
        <w:rPr>
          <w:lang w:val="fr-CH"/>
        </w:rPr>
        <w:t>'</w:t>
      </w:r>
      <w:r w:rsidRPr="0040598F">
        <w:rPr>
          <w:lang w:val="fr-CH"/>
        </w:rPr>
        <w:t xml:space="preserve">examen au titre du numéro </w:t>
      </w:r>
      <w:r w:rsidRPr="00E97902">
        <w:rPr>
          <w:b/>
          <w:bCs/>
          <w:lang w:val="fr-CH"/>
        </w:rPr>
        <w:t>11.32A</w:t>
      </w:r>
      <w:r w:rsidRPr="0040598F">
        <w:rPr>
          <w:lang w:val="fr-CH"/>
        </w:rPr>
        <w:t xml:space="preserve"> du RR</w:t>
      </w:r>
      <w:r>
        <w:rPr>
          <w:lang w:val="fr-CH"/>
        </w:rPr>
        <w:t xml:space="preserve"> </w:t>
      </w:r>
      <w:r w:rsidRPr="0040598F">
        <w:rPr>
          <w:lang w:val="fr-CH"/>
        </w:rPr>
        <w:t>(</w:t>
      </w:r>
      <w:r w:rsidR="005105ED">
        <w:rPr>
          <w:lang w:val="fr-CH"/>
        </w:rPr>
        <w:t xml:space="preserve">§ </w:t>
      </w:r>
      <w:r w:rsidRPr="0040598F">
        <w:rPr>
          <w:lang w:val="fr-CH"/>
        </w:rPr>
        <w:t>3.1.4.2.2)</w:t>
      </w:r>
    </w:p>
    <w:p w14:paraId="2592EAE1" w14:textId="46999551" w:rsidR="00C00626" w:rsidRPr="0040598F" w:rsidRDefault="00C00626" w:rsidP="00D56210">
      <w:pPr>
        <w:ind w:left="1875" w:hanging="1875"/>
        <w:rPr>
          <w:lang w:val="fr-CH"/>
        </w:rPr>
      </w:pPr>
      <w:r w:rsidRPr="0040598F">
        <w:rPr>
          <w:b/>
          <w:lang w:val="fr-CH"/>
        </w:rPr>
        <w:t>Addendum 5</w:t>
      </w:r>
      <w:r w:rsidRPr="0040598F">
        <w:rPr>
          <w:lang w:val="fr-CH"/>
        </w:rPr>
        <w:t xml:space="preserve"> </w:t>
      </w:r>
      <w:r w:rsidRPr="0040598F">
        <w:rPr>
          <w:lang w:val="fr-CH"/>
        </w:rPr>
        <w:tab/>
        <w:t>Partie</w:t>
      </w:r>
      <w:r w:rsidR="00F52C52">
        <w:rPr>
          <w:lang w:val="fr-CH"/>
        </w:rPr>
        <w:t xml:space="preserve"> </w:t>
      </w:r>
      <w:r w:rsidRPr="0040598F">
        <w:rPr>
          <w:lang w:val="fr-CH"/>
        </w:rPr>
        <w:t xml:space="preserve">5 – Modifications apportées à la Résolution </w:t>
      </w:r>
      <w:r w:rsidRPr="0040598F">
        <w:rPr>
          <w:b/>
          <w:lang w:val="fr-CH"/>
        </w:rPr>
        <w:t>49 (R</w:t>
      </w:r>
      <w:r w:rsidR="005105ED">
        <w:rPr>
          <w:b/>
          <w:lang w:val="fr-CH"/>
        </w:rPr>
        <w:t>é</w:t>
      </w:r>
      <w:r w:rsidRPr="0040598F">
        <w:rPr>
          <w:b/>
          <w:lang w:val="fr-CH"/>
        </w:rPr>
        <w:t>v.CMR-15)</w:t>
      </w:r>
      <w:r w:rsidRPr="0040598F">
        <w:rPr>
          <w:lang w:val="fr-CH"/>
        </w:rPr>
        <w:t xml:space="preserve"> (</w:t>
      </w:r>
      <w:r w:rsidR="005105ED">
        <w:rPr>
          <w:lang w:val="fr-CH"/>
        </w:rPr>
        <w:t xml:space="preserve">§ </w:t>
      </w:r>
      <w:r w:rsidRPr="0040598F">
        <w:rPr>
          <w:lang w:val="fr-CH"/>
        </w:rPr>
        <w:t>3.3.1)</w:t>
      </w:r>
    </w:p>
    <w:p w14:paraId="10498F4F" w14:textId="2727532B" w:rsidR="00C00626" w:rsidRPr="0040598F" w:rsidRDefault="00C00626" w:rsidP="00D56210">
      <w:pPr>
        <w:ind w:left="1871" w:hanging="1871"/>
        <w:rPr>
          <w:lang w:val="fr-CH"/>
        </w:rPr>
      </w:pPr>
      <w:r w:rsidRPr="0040598F">
        <w:rPr>
          <w:b/>
          <w:lang w:val="fr-CH"/>
        </w:rPr>
        <w:t>Addendum 6</w:t>
      </w:r>
      <w:r w:rsidRPr="0040598F">
        <w:rPr>
          <w:lang w:val="fr-CH"/>
        </w:rPr>
        <w:t xml:space="preserve"> </w:t>
      </w:r>
      <w:r w:rsidRPr="0040598F">
        <w:rPr>
          <w:lang w:val="fr-CH"/>
        </w:rPr>
        <w:tab/>
        <w:t>Partie</w:t>
      </w:r>
      <w:r w:rsidR="00F52C52">
        <w:rPr>
          <w:lang w:val="fr-CH"/>
        </w:rPr>
        <w:t xml:space="preserve"> </w:t>
      </w:r>
      <w:r w:rsidRPr="0040598F">
        <w:rPr>
          <w:lang w:val="fr-CH"/>
        </w:rPr>
        <w:t>6 – Rappel avant l</w:t>
      </w:r>
      <w:r w:rsidR="00AD13F0">
        <w:rPr>
          <w:lang w:val="fr-CH"/>
        </w:rPr>
        <w:t>'</w:t>
      </w:r>
      <w:r w:rsidRPr="0040598F">
        <w:rPr>
          <w:lang w:val="fr-CH"/>
        </w:rPr>
        <w:t>expiration de l</w:t>
      </w:r>
      <w:r w:rsidR="00AD13F0">
        <w:rPr>
          <w:lang w:val="fr-CH"/>
        </w:rPr>
        <w:t>'</w:t>
      </w:r>
      <w:r w:rsidRPr="0040598F">
        <w:rPr>
          <w:lang w:val="fr-CH"/>
        </w:rPr>
        <w:t xml:space="preserve">accord temporaire </w:t>
      </w:r>
      <w:r>
        <w:rPr>
          <w:lang w:val="fr-CH"/>
        </w:rPr>
        <w:t>entre des réseaux relevant</w:t>
      </w:r>
      <w:r w:rsidR="00F52C52">
        <w:rPr>
          <w:lang w:val="fr-CH"/>
        </w:rPr>
        <w:t xml:space="preserve"> </w:t>
      </w:r>
      <w:r w:rsidRPr="0040598F">
        <w:rPr>
          <w:lang w:val="fr-CH"/>
        </w:rPr>
        <w:t>des Appendices</w:t>
      </w:r>
      <w:r w:rsidR="00F52C52">
        <w:rPr>
          <w:lang w:val="fr-CH"/>
        </w:rPr>
        <w:t xml:space="preserve"> </w:t>
      </w:r>
      <w:r w:rsidRPr="0040598F">
        <w:rPr>
          <w:b/>
          <w:lang w:val="fr-CH"/>
        </w:rPr>
        <w:t xml:space="preserve">30 </w:t>
      </w:r>
      <w:r w:rsidRPr="005105ED">
        <w:rPr>
          <w:bCs/>
          <w:lang w:val="fr-CH"/>
        </w:rPr>
        <w:t>et</w:t>
      </w:r>
      <w:r w:rsidRPr="0040598F">
        <w:rPr>
          <w:b/>
          <w:lang w:val="fr-CH"/>
        </w:rPr>
        <w:t xml:space="preserve"> 30A</w:t>
      </w:r>
      <w:r w:rsidRPr="0040598F">
        <w:rPr>
          <w:bCs/>
          <w:lang w:val="fr-CH"/>
        </w:rPr>
        <w:t xml:space="preserve"> du RR</w:t>
      </w:r>
      <w:r w:rsidR="00F52C52">
        <w:rPr>
          <w:b/>
          <w:lang w:val="fr-CH"/>
        </w:rPr>
        <w:t xml:space="preserve"> </w:t>
      </w:r>
      <w:r w:rsidRPr="0040598F">
        <w:rPr>
          <w:lang w:val="fr-CH"/>
        </w:rPr>
        <w:t>(</w:t>
      </w:r>
      <w:r w:rsidR="005105ED">
        <w:rPr>
          <w:lang w:val="fr-CH"/>
        </w:rPr>
        <w:t xml:space="preserve">§ </w:t>
      </w:r>
      <w:r w:rsidRPr="0040598F">
        <w:rPr>
          <w:lang w:val="fr-CH"/>
        </w:rPr>
        <w:t>3.2.4.2)</w:t>
      </w:r>
    </w:p>
    <w:p w14:paraId="710B8DCE" w14:textId="7DCC542E" w:rsidR="00C00626" w:rsidRPr="00AE364E" w:rsidRDefault="00C00626" w:rsidP="00D56210">
      <w:pPr>
        <w:ind w:left="1871" w:hanging="1871"/>
        <w:rPr>
          <w:lang w:val="fr-CH"/>
        </w:rPr>
      </w:pPr>
      <w:r w:rsidRPr="00AE364E">
        <w:rPr>
          <w:b/>
          <w:lang w:val="fr-CH"/>
        </w:rPr>
        <w:t>Addendum 7</w:t>
      </w:r>
      <w:r w:rsidRPr="00AE364E">
        <w:rPr>
          <w:lang w:val="fr-CH"/>
        </w:rPr>
        <w:t xml:space="preserve"> </w:t>
      </w:r>
      <w:r w:rsidRPr="00AE364E">
        <w:rPr>
          <w:lang w:val="fr-CH"/>
        </w:rPr>
        <w:tab/>
        <w:t>Partie</w:t>
      </w:r>
      <w:r w:rsidR="00F52C52">
        <w:rPr>
          <w:lang w:val="fr-CH"/>
        </w:rPr>
        <w:t xml:space="preserve"> </w:t>
      </w:r>
      <w:r w:rsidRPr="00AE364E">
        <w:rPr>
          <w:lang w:val="fr-CH"/>
        </w:rPr>
        <w:t>7 – Rappel avant l</w:t>
      </w:r>
      <w:r w:rsidR="00AD13F0">
        <w:rPr>
          <w:lang w:val="fr-CH"/>
        </w:rPr>
        <w:t>'</w:t>
      </w:r>
      <w:r w:rsidRPr="00AE364E">
        <w:rPr>
          <w:lang w:val="fr-CH"/>
        </w:rPr>
        <w:t xml:space="preserve">expiration du premier délai de 15 ans </w:t>
      </w:r>
      <w:r>
        <w:rPr>
          <w:lang w:val="fr-CH"/>
        </w:rPr>
        <w:t>pour l</w:t>
      </w:r>
      <w:r w:rsidR="00AD13F0">
        <w:rPr>
          <w:lang w:val="fr-CH"/>
        </w:rPr>
        <w:t>'</w:t>
      </w:r>
      <w:r>
        <w:rPr>
          <w:lang w:val="fr-CH"/>
        </w:rPr>
        <w:t>exploitation d</w:t>
      </w:r>
      <w:r w:rsidR="00AD13F0">
        <w:rPr>
          <w:lang w:val="fr-CH"/>
        </w:rPr>
        <w:t>'</w:t>
      </w:r>
      <w:r>
        <w:rPr>
          <w:lang w:val="fr-CH"/>
        </w:rPr>
        <w:t xml:space="preserve">une assignation figurant dans la Liste pour les Régions </w:t>
      </w:r>
      <w:r w:rsidRPr="00AE364E">
        <w:rPr>
          <w:lang w:val="fr-CH"/>
        </w:rPr>
        <w:t xml:space="preserve">1 </w:t>
      </w:r>
      <w:r>
        <w:rPr>
          <w:lang w:val="fr-CH"/>
        </w:rPr>
        <w:t>et</w:t>
      </w:r>
      <w:r w:rsidR="00F52C52">
        <w:rPr>
          <w:lang w:val="fr-CH"/>
        </w:rPr>
        <w:t xml:space="preserve"> </w:t>
      </w:r>
      <w:r w:rsidRPr="00AE364E">
        <w:rPr>
          <w:lang w:val="fr-CH"/>
        </w:rPr>
        <w:t xml:space="preserve">3 </w:t>
      </w:r>
      <w:r>
        <w:rPr>
          <w:lang w:val="fr-CH"/>
        </w:rPr>
        <w:t>des</w:t>
      </w:r>
      <w:r w:rsidR="00F52C52">
        <w:rPr>
          <w:lang w:val="fr-CH"/>
        </w:rPr>
        <w:t xml:space="preserve"> </w:t>
      </w:r>
      <w:r w:rsidRPr="00AE364E">
        <w:rPr>
          <w:lang w:val="fr-CH"/>
        </w:rPr>
        <w:t xml:space="preserve">Appendices </w:t>
      </w:r>
      <w:r w:rsidRPr="00AE364E">
        <w:rPr>
          <w:b/>
          <w:lang w:val="fr-CH"/>
        </w:rPr>
        <w:t xml:space="preserve">30 </w:t>
      </w:r>
      <w:r w:rsidRPr="005105ED">
        <w:rPr>
          <w:bCs/>
          <w:lang w:val="fr-CH"/>
        </w:rPr>
        <w:t>et</w:t>
      </w:r>
      <w:r w:rsidRPr="00AE364E">
        <w:rPr>
          <w:b/>
          <w:lang w:val="fr-CH"/>
        </w:rPr>
        <w:t xml:space="preserve"> 30A</w:t>
      </w:r>
      <w:r w:rsidRPr="00AE364E">
        <w:rPr>
          <w:bCs/>
          <w:lang w:val="fr-CH"/>
        </w:rPr>
        <w:t xml:space="preserve"> du RR</w:t>
      </w:r>
      <w:r w:rsidR="00F52C52">
        <w:rPr>
          <w:b/>
          <w:lang w:val="fr-CH"/>
        </w:rPr>
        <w:t xml:space="preserve"> </w:t>
      </w:r>
      <w:r w:rsidRPr="00AE364E">
        <w:rPr>
          <w:lang w:val="fr-CH"/>
        </w:rPr>
        <w:t>(</w:t>
      </w:r>
      <w:r w:rsidR="005105ED">
        <w:rPr>
          <w:lang w:val="fr-CH"/>
        </w:rPr>
        <w:t xml:space="preserve">§ </w:t>
      </w:r>
      <w:r w:rsidRPr="00AE364E">
        <w:rPr>
          <w:lang w:val="fr-CH"/>
        </w:rPr>
        <w:t>3.2.4.3)</w:t>
      </w:r>
    </w:p>
    <w:p w14:paraId="634C1C4F" w14:textId="2E46C6B1" w:rsidR="00C00626" w:rsidRPr="00AE364E" w:rsidRDefault="00C00626" w:rsidP="00D56210">
      <w:pPr>
        <w:rPr>
          <w:lang w:val="fr-CH"/>
        </w:rPr>
      </w:pPr>
      <w:r w:rsidRPr="00AE364E">
        <w:rPr>
          <w:b/>
          <w:lang w:val="fr-CH"/>
        </w:rPr>
        <w:t>Addendum 8</w:t>
      </w:r>
      <w:r w:rsidRPr="00AE364E">
        <w:rPr>
          <w:lang w:val="fr-CH"/>
        </w:rPr>
        <w:t xml:space="preserve"> </w:t>
      </w:r>
      <w:r w:rsidRPr="00AE364E">
        <w:rPr>
          <w:lang w:val="fr-CH"/>
        </w:rPr>
        <w:tab/>
        <w:t>Partie</w:t>
      </w:r>
      <w:r w:rsidR="00F52C52">
        <w:rPr>
          <w:lang w:val="fr-CH"/>
        </w:rPr>
        <w:t xml:space="preserve"> </w:t>
      </w:r>
      <w:r w:rsidRPr="00AE364E">
        <w:rPr>
          <w:lang w:val="fr-CH"/>
        </w:rPr>
        <w:t>8 –</w:t>
      </w:r>
      <w:r w:rsidR="00F52C52">
        <w:rPr>
          <w:lang w:val="fr-CH"/>
        </w:rPr>
        <w:t xml:space="preserve"> </w:t>
      </w:r>
      <w:r w:rsidRPr="00AE364E">
        <w:rPr>
          <w:lang w:val="fr-CH"/>
        </w:rPr>
        <w:t xml:space="preserve">Règle de procédure relative au numéro </w:t>
      </w:r>
      <w:r w:rsidRPr="00AE364E">
        <w:rPr>
          <w:b/>
          <w:lang w:val="fr-CH"/>
        </w:rPr>
        <w:t>5.510</w:t>
      </w:r>
      <w:r w:rsidRPr="00AE364E">
        <w:rPr>
          <w:lang w:val="fr-CH"/>
        </w:rPr>
        <w:t xml:space="preserve"> </w:t>
      </w:r>
      <w:r w:rsidRPr="00AE364E">
        <w:rPr>
          <w:bCs/>
          <w:lang w:val="fr-CH"/>
        </w:rPr>
        <w:t>du RR</w:t>
      </w:r>
      <w:r w:rsidRPr="00AE364E">
        <w:rPr>
          <w:b/>
          <w:lang w:val="fr-CH"/>
        </w:rPr>
        <w:t xml:space="preserve"> </w:t>
      </w:r>
      <w:r w:rsidRPr="00AE364E">
        <w:rPr>
          <w:lang w:val="fr-CH"/>
        </w:rPr>
        <w:t>(</w:t>
      </w:r>
      <w:r w:rsidR="005105ED">
        <w:rPr>
          <w:lang w:val="fr-CH"/>
        </w:rPr>
        <w:t xml:space="preserve">§ </w:t>
      </w:r>
      <w:r w:rsidRPr="00AE364E">
        <w:rPr>
          <w:lang w:val="fr-CH"/>
        </w:rPr>
        <w:t>3.2.4.6)</w:t>
      </w:r>
    </w:p>
    <w:p w14:paraId="79E6E1EE" w14:textId="1CC4D644" w:rsidR="00C00626" w:rsidRPr="00AE364E" w:rsidRDefault="00C00626" w:rsidP="005105ED">
      <w:pPr>
        <w:ind w:left="1871" w:hanging="1871"/>
        <w:rPr>
          <w:lang w:val="fr-CH"/>
        </w:rPr>
      </w:pPr>
      <w:r w:rsidRPr="00AE364E">
        <w:rPr>
          <w:b/>
          <w:lang w:val="fr-CH"/>
        </w:rPr>
        <w:t>Addendum 9</w:t>
      </w:r>
      <w:r w:rsidRPr="00AE364E">
        <w:rPr>
          <w:lang w:val="fr-CH"/>
        </w:rPr>
        <w:t xml:space="preserve"> </w:t>
      </w:r>
      <w:r w:rsidRPr="00AE364E">
        <w:rPr>
          <w:lang w:val="fr-CH"/>
        </w:rPr>
        <w:tab/>
        <w:t>Partie</w:t>
      </w:r>
      <w:r w:rsidR="00F52C52">
        <w:rPr>
          <w:lang w:val="fr-CH"/>
        </w:rPr>
        <w:t xml:space="preserve"> </w:t>
      </w:r>
      <w:r w:rsidRPr="00AE364E">
        <w:rPr>
          <w:lang w:val="fr-CH"/>
        </w:rPr>
        <w:t>9 –Incohérence dans la Section 6 de l</w:t>
      </w:r>
      <w:r w:rsidR="00AD13F0">
        <w:rPr>
          <w:lang w:val="fr-CH"/>
        </w:rPr>
        <w:t>'</w:t>
      </w:r>
      <w:r w:rsidRPr="00AE364E">
        <w:rPr>
          <w:lang w:val="fr-CH"/>
        </w:rPr>
        <w:t>Annexe 1 de l</w:t>
      </w:r>
      <w:r w:rsidR="00AD13F0">
        <w:rPr>
          <w:lang w:val="fr-CH"/>
        </w:rPr>
        <w:t>'</w:t>
      </w:r>
      <w:r w:rsidRPr="00AE364E">
        <w:rPr>
          <w:lang w:val="fr-CH"/>
        </w:rPr>
        <w:t xml:space="preserve">Appendice </w:t>
      </w:r>
      <w:r w:rsidRPr="005105ED">
        <w:rPr>
          <w:b/>
          <w:bCs/>
          <w:lang w:val="fr-CH"/>
        </w:rPr>
        <w:t>30</w:t>
      </w:r>
      <w:r w:rsidRPr="00AE364E">
        <w:rPr>
          <w:lang w:val="fr-CH"/>
        </w:rPr>
        <w:t xml:space="preserve"> du RR</w:t>
      </w:r>
      <w:r w:rsidR="00F52C52">
        <w:rPr>
          <w:lang w:val="fr-CH"/>
        </w:rPr>
        <w:t xml:space="preserve"> </w:t>
      </w:r>
      <w:r w:rsidRPr="00AE364E">
        <w:rPr>
          <w:lang w:val="fr-CH"/>
        </w:rPr>
        <w:t>(</w:t>
      </w:r>
      <w:r w:rsidR="005105ED">
        <w:rPr>
          <w:lang w:val="fr-CH"/>
        </w:rPr>
        <w:t xml:space="preserve">§ </w:t>
      </w:r>
      <w:r w:rsidRPr="00AE364E">
        <w:rPr>
          <w:lang w:val="fr-CH"/>
        </w:rPr>
        <w:t>3.2.4.8)</w:t>
      </w:r>
    </w:p>
    <w:p w14:paraId="2976627F" w14:textId="6D7E3115" w:rsidR="00C00626" w:rsidRPr="00AE364E" w:rsidRDefault="00C00626" w:rsidP="00D56210">
      <w:pPr>
        <w:ind w:left="1871" w:hanging="1871"/>
        <w:rPr>
          <w:lang w:val="fr-CH"/>
        </w:rPr>
      </w:pPr>
      <w:r w:rsidRPr="00AE364E">
        <w:rPr>
          <w:b/>
          <w:lang w:val="fr-CH"/>
        </w:rPr>
        <w:t>Addendum 10</w:t>
      </w:r>
      <w:r w:rsidRPr="00AE364E">
        <w:rPr>
          <w:lang w:val="fr-CH"/>
        </w:rPr>
        <w:t xml:space="preserve"> </w:t>
      </w:r>
      <w:r w:rsidRPr="00AE364E">
        <w:rPr>
          <w:lang w:val="fr-CH"/>
        </w:rPr>
        <w:tab/>
        <w:t>Partie</w:t>
      </w:r>
      <w:r w:rsidR="00F52C52">
        <w:rPr>
          <w:lang w:val="fr-CH"/>
        </w:rPr>
        <w:t xml:space="preserve"> </w:t>
      </w:r>
      <w:r w:rsidRPr="00AE364E">
        <w:rPr>
          <w:lang w:val="fr-CH"/>
        </w:rPr>
        <w:t xml:space="preserve">10 – Non-applicabilité de la Résolution </w:t>
      </w:r>
      <w:r w:rsidRPr="005105ED">
        <w:rPr>
          <w:b/>
          <w:bCs/>
          <w:lang w:val="fr-CH"/>
        </w:rPr>
        <w:t>49</w:t>
      </w:r>
      <w:r w:rsidRPr="00AE364E">
        <w:rPr>
          <w:lang w:val="fr-CH"/>
        </w:rPr>
        <w:t xml:space="preserve"> pour les soumissions au titre de l</w:t>
      </w:r>
      <w:r w:rsidR="00AD13F0">
        <w:rPr>
          <w:lang w:val="fr-CH"/>
        </w:rPr>
        <w:t>'</w:t>
      </w:r>
      <w:r w:rsidRPr="00AE364E">
        <w:rPr>
          <w:lang w:val="fr-CH"/>
        </w:rPr>
        <w:t>Article 2A</w:t>
      </w:r>
      <w:r w:rsidR="00F52C52">
        <w:rPr>
          <w:lang w:val="fr-CH"/>
        </w:rPr>
        <w:t xml:space="preserve"> </w:t>
      </w:r>
      <w:r w:rsidRPr="00AE364E">
        <w:rPr>
          <w:lang w:val="fr-CH"/>
        </w:rPr>
        <w:t>des Appendices</w:t>
      </w:r>
      <w:r w:rsidR="00F52C52">
        <w:rPr>
          <w:lang w:val="fr-CH"/>
        </w:rPr>
        <w:t xml:space="preserve"> </w:t>
      </w:r>
      <w:r w:rsidRPr="00AE364E">
        <w:rPr>
          <w:b/>
          <w:lang w:val="fr-CH"/>
        </w:rPr>
        <w:t xml:space="preserve">30 </w:t>
      </w:r>
      <w:r w:rsidRPr="005105ED">
        <w:rPr>
          <w:bCs/>
          <w:lang w:val="fr-CH"/>
        </w:rPr>
        <w:t>et</w:t>
      </w:r>
      <w:r w:rsidRPr="00AE364E">
        <w:rPr>
          <w:b/>
          <w:lang w:val="fr-CH"/>
        </w:rPr>
        <w:t xml:space="preserve"> 30A </w:t>
      </w:r>
      <w:r w:rsidRPr="00AE364E">
        <w:rPr>
          <w:lang w:val="fr-CH"/>
        </w:rPr>
        <w:t>(</w:t>
      </w:r>
      <w:r w:rsidR="005105ED">
        <w:rPr>
          <w:lang w:val="fr-CH"/>
        </w:rPr>
        <w:t xml:space="preserve">§ </w:t>
      </w:r>
      <w:r w:rsidRPr="00AE364E">
        <w:rPr>
          <w:lang w:val="fr-CH"/>
        </w:rPr>
        <w:t>3.2.4.10)</w:t>
      </w:r>
    </w:p>
    <w:p w14:paraId="3DAD5F81" w14:textId="06BE27A6" w:rsidR="00C00626" w:rsidRPr="00AE364E" w:rsidRDefault="00C00626" w:rsidP="00D56210">
      <w:pPr>
        <w:ind w:left="1871" w:hanging="1871"/>
        <w:rPr>
          <w:lang w:val="fr-CH"/>
        </w:rPr>
      </w:pPr>
      <w:r w:rsidRPr="00AE364E">
        <w:rPr>
          <w:b/>
          <w:lang w:val="fr-CH"/>
        </w:rPr>
        <w:t>Addendum 11</w:t>
      </w:r>
      <w:r w:rsidRPr="00AE364E">
        <w:rPr>
          <w:lang w:val="fr-CH"/>
        </w:rPr>
        <w:t xml:space="preserve"> </w:t>
      </w:r>
      <w:r w:rsidRPr="00AE364E">
        <w:rPr>
          <w:lang w:val="fr-CH"/>
        </w:rPr>
        <w:tab/>
        <w:t>Partie</w:t>
      </w:r>
      <w:r w:rsidR="00F52C52">
        <w:rPr>
          <w:lang w:val="fr-CH"/>
        </w:rPr>
        <w:t xml:space="preserve"> </w:t>
      </w:r>
      <w:r w:rsidRPr="00AE364E">
        <w:rPr>
          <w:lang w:val="fr-CH"/>
        </w:rPr>
        <w:t>11 – Suppression de la période obligatoire de deux ans avant la mise en service</w:t>
      </w:r>
      <w:r>
        <w:rPr>
          <w:lang w:val="fr-CH"/>
        </w:rPr>
        <w:t xml:space="preserve"> </w:t>
      </w:r>
      <w:r w:rsidRPr="00AE364E">
        <w:rPr>
          <w:lang w:val="fr-CH"/>
        </w:rPr>
        <w:t>dans le § 6.1 de l</w:t>
      </w:r>
      <w:r w:rsidR="00AD13F0">
        <w:rPr>
          <w:lang w:val="fr-CH"/>
        </w:rPr>
        <w:t>'</w:t>
      </w:r>
      <w:r w:rsidRPr="00AE364E">
        <w:rPr>
          <w:lang w:val="fr-CH"/>
        </w:rPr>
        <w:t>Article 6</w:t>
      </w:r>
      <w:r>
        <w:rPr>
          <w:lang w:val="fr-CH"/>
        </w:rPr>
        <w:t xml:space="preserve"> de </w:t>
      </w:r>
      <w:r w:rsidRPr="00AE364E">
        <w:rPr>
          <w:lang w:val="fr-CH"/>
        </w:rPr>
        <w:t>l</w:t>
      </w:r>
      <w:r w:rsidR="00AD13F0">
        <w:rPr>
          <w:lang w:val="fr-CH"/>
        </w:rPr>
        <w:t>'</w:t>
      </w:r>
      <w:r w:rsidRPr="00AE364E">
        <w:rPr>
          <w:lang w:val="fr-CH"/>
        </w:rPr>
        <w:t>Appendice</w:t>
      </w:r>
      <w:r w:rsidR="00F52C52">
        <w:rPr>
          <w:lang w:val="fr-CH"/>
        </w:rPr>
        <w:t xml:space="preserve"> </w:t>
      </w:r>
      <w:r w:rsidRPr="00AE364E">
        <w:rPr>
          <w:b/>
          <w:lang w:val="fr-CH"/>
        </w:rPr>
        <w:t>30B</w:t>
      </w:r>
      <w:r w:rsidRPr="00AE364E">
        <w:rPr>
          <w:lang w:val="fr-CH"/>
        </w:rPr>
        <w:t xml:space="preserve"> </w:t>
      </w:r>
      <w:r w:rsidRPr="00AE364E">
        <w:rPr>
          <w:bCs/>
          <w:lang w:val="fr-CH"/>
        </w:rPr>
        <w:t>du RR</w:t>
      </w:r>
      <w:r w:rsidRPr="00AE364E">
        <w:rPr>
          <w:b/>
          <w:lang w:val="fr-CH"/>
        </w:rPr>
        <w:t xml:space="preserve"> </w:t>
      </w:r>
      <w:r w:rsidRPr="00AE364E">
        <w:rPr>
          <w:lang w:val="fr-CH"/>
        </w:rPr>
        <w:t>(</w:t>
      </w:r>
      <w:r w:rsidR="005105ED">
        <w:rPr>
          <w:lang w:val="fr-CH"/>
        </w:rPr>
        <w:t xml:space="preserve">§ </w:t>
      </w:r>
      <w:r w:rsidRPr="00AE364E">
        <w:rPr>
          <w:lang w:val="fr-CH"/>
        </w:rPr>
        <w:t>3.2.5.1)</w:t>
      </w:r>
    </w:p>
    <w:p w14:paraId="3F35A8A3" w14:textId="481043F5" w:rsidR="00C00626" w:rsidRPr="00AE364E" w:rsidRDefault="00C00626" w:rsidP="00D56210">
      <w:pPr>
        <w:ind w:left="1871" w:hanging="1871"/>
        <w:rPr>
          <w:lang w:val="fr-CH"/>
        </w:rPr>
      </w:pPr>
      <w:r w:rsidRPr="00AE364E">
        <w:rPr>
          <w:b/>
          <w:lang w:val="fr-CH"/>
        </w:rPr>
        <w:t>Addendum 12</w:t>
      </w:r>
      <w:r w:rsidRPr="00AE364E">
        <w:rPr>
          <w:lang w:val="fr-CH"/>
        </w:rPr>
        <w:t xml:space="preserve"> </w:t>
      </w:r>
      <w:r w:rsidRPr="00AE364E">
        <w:rPr>
          <w:lang w:val="fr-CH"/>
        </w:rPr>
        <w:tab/>
        <w:t>Partie</w:t>
      </w:r>
      <w:r w:rsidR="00F52C52">
        <w:rPr>
          <w:lang w:val="fr-CH"/>
        </w:rPr>
        <w:t xml:space="preserve"> </w:t>
      </w:r>
      <w:r w:rsidRPr="00AE364E">
        <w:rPr>
          <w:lang w:val="fr-CH"/>
        </w:rPr>
        <w:t xml:space="preserve">12 – Déplacement des points de mesure en liaison descendante </w:t>
      </w:r>
      <w:proofErr w:type="gramStart"/>
      <w:r w:rsidRPr="00AE364E">
        <w:rPr>
          <w:lang w:val="fr-CH"/>
        </w:rPr>
        <w:t>suite à</w:t>
      </w:r>
      <w:proofErr w:type="gramEnd"/>
      <w:r w:rsidRPr="00AE364E">
        <w:rPr>
          <w:lang w:val="fr-CH"/>
        </w:rPr>
        <w:t xml:space="preserve"> l</w:t>
      </w:r>
      <w:r w:rsidR="00AD13F0">
        <w:rPr>
          <w:lang w:val="fr-CH"/>
        </w:rPr>
        <w:t>'</w:t>
      </w:r>
      <w:r w:rsidRPr="00AE364E">
        <w:rPr>
          <w:lang w:val="fr-CH"/>
        </w:rPr>
        <w:t>application du § 6.16</w:t>
      </w:r>
      <w:r>
        <w:rPr>
          <w:lang w:val="fr-CH"/>
        </w:rPr>
        <w:t xml:space="preserve"> de</w:t>
      </w:r>
      <w:r w:rsidR="00F52C52">
        <w:rPr>
          <w:lang w:val="fr-CH"/>
        </w:rPr>
        <w:t xml:space="preserve"> </w:t>
      </w:r>
      <w:r w:rsidRPr="00AE364E">
        <w:rPr>
          <w:lang w:val="fr-CH"/>
        </w:rPr>
        <w:t>l</w:t>
      </w:r>
      <w:r w:rsidR="00AD13F0">
        <w:rPr>
          <w:lang w:val="fr-CH"/>
        </w:rPr>
        <w:t>'</w:t>
      </w:r>
      <w:r w:rsidRPr="00AE364E">
        <w:rPr>
          <w:lang w:val="fr-CH"/>
        </w:rPr>
        <w:t>Appendice</w:t>
      </w:r>
      <w:r w:rsidR="00F52C52">
        <w:rPr>
          <w:lang w:val="fr-CH"/>
        </w:rPr>
        <w:t xml:space="preserve"> </w:t>
      </w:r>
      <w:r w:rsidRPr="00AE364E">
        <w:rPr>
          <w:b/>
          <w:lang w:val="fr-CH"/>
        </w:rPr>
        <w:t>30B</w:t>
      </w:r>
      <w:r w:rsidRPr="00AE364E">
        <w:rPr>
          <w:lang w:val="fr-CH"/>
        </w:rPr>
        <w:t xml:space="preserve"> </w:t>
      </w:r>
      <w:r w:rsidRPr="00AE364E">
        <w:rPr>
          <w:bCs/>
          <w:lang w:val="fr-CH"/>
        </w:rPr>
        <w:t>du RR</w:t>
      </w:r>
      <w:r w:rsidRPr="00AE364E">
        <w:rPr>
          <w:b/>
          <w:lang w:val="fr-CH"/>
        </w:rPr>
        <w:t xml:space="preserve"> </w:t>
      </w:r>
      <w:r w:rsidRPr="00AE364E">
        <w:rPr>
          <w:lang w:val="fr-CH"/>
        </w:rPr>
        <w:t>(§</w:t>
      </w:r>
      <w:r w:rsidR="005105ED">
        <w:rPr>
          <w:lang w:val="fr-CH"/>
        </w:rPr>
        <w:t xml:space="preserve"> </w:t>
      </w:r>
      <w:r w:rsidRPr="00AE364E">
        <w:rPr>
          <w:lang w:val="fr-CH"/>
        </w:rPr>
        <w:t>3.2.5.2)</w:t>
      </w:r>
    </w:p>
    <w:p w14:paraId="089347B7" w14:textId="74BED41F" w:rsidR="00C00626" w:rsidRPr="00AE364E" w:rsidRDefault="00C00626" w:rsidP="00D56210">
      <w:pPr>
        <w:ind w:left="1871" w:hanging="1871"/>
        <w:rPr>
          <w:lang w:val="fr-CH"/>
        </w:rPr>
      </w:pPr>
      <w:r w:rsidRPr="00AE364E">
        <w:rPr>
          <w:b/>
          <w:lang w:val="fr-CH"/>
        </w:rPr>
        <w:t>Addendum 13</w:t>
      </w:r>
      <w:r w:rsidRPr="00AE364E">
        <w:rPr>
          <w:lang w:val="fr-CH"/>
        </w:rPr>
        <w:t xml:space="preserve"> </w:t>
      </w:r>
      <w:r w:rsidRPr="00AE364E">
        <w:rPr>
          <w:lang w:val="fr-CH"/>
        </w:rPr>
        <w:tab/>
        <w:t>Partie</w:t>
      </w:r>
      <w:r w:rsidR="00F52C52">
        <w:rPr>
          <w:lang w:val="fr-CH"/>
        </w:rPr>
        <w:t xml:space="preserve"> </w:t>
      </w:r>
      <w:r w:rsidRPr="00AE364E">
        <w:rPr>
          <w:lang w:val="fr-CH"/>
        </w:rPr>
        <w:t xml:space="preserve">13 – Délai de </w:t>
      </w:r>
      <w:proofErr w:type="gramStart"/>
      <w:r w:rsidRPr="00AE364E">
        <w:rPr>
          <w:lang w:val="fr-CH"/>
        </w:rPr>
        <w:t>deux mois prévu</w:t>
      </w:r>
      <w:proofErr w:type="gramEnd"/>
      <w:r w:rsidRPr="00AE364E">
        <w:rPr>
          <w:lang w:val="fr-CH"/>
        </w:rPr>
        <w:t xml:space="preserve"> au § 8.5 </w:t>
      </w:r>
      <w:r>
        <w:rPr>
          <w:lang w:val="fr-CH"/>
        </w:rPr>
        <w:t xml:space="preserve">de </w:t>
      </w:r>
      <w:r w:rsidRPr="00AE364E">
        <w:rPr>
          <w:lang w:val="fr-CH"/>
        </w:rPr>
        <w:t>l</w:t>
      </w:r>
      <w:r w:rsidR="00AD13F0">
        <w:rPr>
          <w:lang w:val="fr-CH"/>
        </w:rPr>
        <w:t>'</w:t>
      </w:r>
      <w:r w:rsidRPr="00AE364E">
        <w:rPr>
          <w:lang w:val="fr-CH"/>
        </w:rPr>
        <w:t>Appendice</w:t>
      </w:r>
      <w:r w:rsidR="00F52C52">
        <w:rPr>
          <w:lang w:val="fr-CH"/>
        </w:rPr>
        <w:t xml:space="preserve"> </w:t>
      </w:r>
      <w:r w:rsidRPr="00AE364E">
        <w:rPr>
          <w:b/>
          <w:lang w:val="fr-CH"/>
        </w:rPr>
        <w:t>30B</w:t>
      </w:r>
      <w:r w:rsidRPr="00AE364E">
        <w:rPr>
          <w:lang w:val="fr-CH"/>
        </w:rPr>
        <w:t xml:space="preserve"> </w:t>
      </w:r>
      <w:r w:rsidRPr="00AE364E">
        <w:rPr>
          <w:bCs/>
          <w:lang w:val="fr-CH"/>
        </w:rPr>
        <w:t>du RR</w:t>
      </w:r>
      <w:r>
        <w:rPr>
          <w:bCs/>
          <w:lang w:val="fr-CH"/>
        </w:rPr>
        <w:t xml:space="preserve"> pour la publication des soumissions relatives à la notification</w:t>
      </w:r>
      <w:r w:rsidR="00F52C52">
        <w:rPr>
          <w:bCs/>
          <w:lang w:val="fr-CH"/>
        </w:rPr>
        <w:t xml:space="preserve"> </w:t>
      </w:r>
      <w:r w:rsidRPr="00AE364E">
        <w:rPr>
          <w:lang w:val="fr-CH"/>
        </w:rPr>
        <w:t>(§</w:t>
      </w:r>
      <w:r w:rsidR="005105ED">
        <w:rPr>
          <w:lang w:val="fr-CH"/>
        </w:rPr>
        <w:t xml:space="preserve"> </w:t>
      </w:r>
      <w:r w:rsidRPr="00AE364E">
        <w:rPr>
          <w:lang w:val="fr-CH"/>
        </w:rPr>
        <w:t>3.2.5.3)</w:t>
      </w:r>
    </w:p>
    <w:p w14:paraId="1532EA6F" w14:textId="6DB85962" w:rsidR="00C00626" w:rsidRPr="00AE364E" w:rsidRDefault="00C00626" w:rsidP="00D56210">
      <w:pPr>
        <w:ind w:left="1871" w:hanging="1871"/>
        <w:rPr>
          <w:lang w:val="fr-CH"/>
        </w:rPr>
      </w:pPr>
      <w:r w:rsidRPr="00AE364E">
        <w:rPr>
          <w:b/>
          <w:lang w:val="fr-CH"/>
        </w:rPr>
        <w:t>Addendum 14</w:t>
      </w:r>
      <w:r w:rsidRPr="00AE364E">
        <w:rPr>
          <w:lang w:val="fr-CH"/>
        </w:rPr>
        <w:t xml:space="preserve"> </w:t>
      </w:r>
      <w:r w:rsidRPr="00AE364E">
        <w:rPr>
          <w:lang w:val="fr-CH"/>
        </w:rPr>
        <w:tab/>
        <w:t>Partie</w:t>
      </w:r>
      <w:r w:rsidR="00F52C52">
        <w:rPr>
          <w:lang w:val="fr-CH"/>
        </w:rPr>
        <w:t xml:space="preserve"> </w:t>
      </w:r>
      <w:r w:rsidRPr="00AE364E">
        <w:rPr>
          <w:lang w:val="fr-CH"/>
        </w:rPr>
        <w:t>14 – Proposition</w:t>
      </w:r>
      <w:r w:rsidR="00F52C52">
        <w:rPr>
          <w:lang w:val="fr-CH"/>
        </w:rPr>
        <w:t xml:space="preserve"> </w:t>
      </w:r>
      <w:r w:rsidRPr="00AE364E">
        <w:rPr>
          <w:lang w:val="fr-CH"/>
        </w:rPr>
        <w:t>de modification du § 6.19 de l</w:t>
      </w:r>
      <w:r w:rsidR="00AD13F0">
        <w:rPr>
          <w:lang w:val="fr-CH"/>
        </w:rPr>
        <w:t>'</w:t>
      </w:r>
      <w:r w:rsidRPr="00AE364E">
        <w:rPr>
          <w:lang w:val="fr-CH"/>
        </w:rPr>
        <w:t xml:space="preserve">Appendice </w:t>
      </w:r>
      <w:r w:rsidRPr="005105ED">
        <w:rPr>
          <w:b/>
          <w:lang w:val="fr-CH"/>
        </w:rPr>
        <w:t>30B</w:t>
      </w:r>
      <w:r w:rsidRPr="00AE364E">
        <w:rPr>
          <w:lang w:val="fr-CH"/>
        </w:rPr>
        <w:t xml:space="preserve"> du RR</w:t>
      </w:r>
      <w:r w:rsidR="00F52C52">
        <w:rPr>
          <w:lang w:val="fr-CH"/>
        </w:rPr>
        <w:t xml:space="preserve"> </w:t>
      </w:r>
      <w:r w:rsidRPr="00AE364E">
        <w:rPr>
          <w:lang w:val="fr-CH"/>
        </w:rPr>
        <w:t>(§</w:t>
      </w:r>
      <w:r w:rsidR="005105ED">
        <w:rPr>
          <w:lang w:val="fr-CH"/>
        </w:rPr>
        <w:t> </w:t>
      </w:r>
      <w:r w:rsidRPr="00AE364E">
        <w:rPr>
          <w:lang w:val="fr-CH"/>
        </w:rPr>
        <w:t>3.2.5.7)</w:t>
      </w:r>
    </w:p>
    <w:p w14:paraId="5D586B94" w14:textId="7B688B8F" w:rsidR="00C00626" w:rsidRPr="00AE364E" w:rsidRDefault="00C00626" w:rsidP="00D56210">
      <w:pPr>
        <w:ind w:left="1871" w:hanging="1871"/>
        <w:rPr>
          <w:lang w:val="fr-CH"/>
        </w:rPr>
      </w:pPr>
      <w:r w:rsidRPr="00AE364E">
        <w:rPr>
          <w:b/>
          <w:lang w:val="fr-CH"/>
        </w:rPr>
        <w:t>Addendum 15</w:t>
      </w:r>
      <w:r w:rsidR="006B15C2" w:rsidRPr="006B15C2">
        <w:rPr>
          <w:bCs/>
          <w:lang w:val="fr-CH"/>
        </w:rPr>
        <w:t xml:space="preserve"> </w:t>
      </w:r>
      <w:r w:rsidRPr="00AE364E">
        <w:rPr>
          <w:b/>
          <w:lang w:val="fr-CH"/>
        </w:rPr>
        <w:tab/>
      </w:r>
      <w:r w:rsidRPr="00AE364E">
        <w:rPr>
          <w:lang w:val="fr-CH"/>
        </w:rPr>
        <w:t>Partie</w:t>
      </w:r>
      <w:r w:rsidR="00F52C52">
        <w:rPr>
          <w:lang w:val="fr-CH"/>
        </w:rPr>
        <w:t xml:space="preserve"> </w:t>
      </w:r>
      <w:r w:rsidRPr="00AE364E">
        <w:rPr>
          <w:lang w:val="fr-CH"/>
        </w:rPr>
        <w:t>15 – Proposition</w:t>
      </w:r>
      <w:r>
        <w:rPr>
          <w:lang w:val="fr-CH"/>
        </w:rPr>
        <w:t>s</w:t>
      </w:r>
      <w:r w:rsidR="00F52C52">
        <w:rPr>
          <w:lang w:val="fr-CH"/>
        </w:rPr>
        <w:t xml:space="preserve"> </w:t>
      </w:r>
      <w:r w:rsidRPr="00AE364E">
        <w:rPr>
          <w:lang w:val="fr-CH"/>
        </w:rPr>
        <w:t>de modification du</w:t>
      </w:r>
      <w:r>
        <w:rPr>
          <w:lang w:val="fr-CH"/>
        </w:rPr>
        <w:t xml:space="preserve"> numéro </w:t>
      </w:r>
      <w:r w:rsidRPr="00AE364E">
        <w:rPr>
          <w:b/>
          <w:lang w:val="fr-CH"/>
        </w:rPr>
        <w:t>5.441B</w:t>
      </w:r>
      <w:r w:rsidRPr="00AE364E">
        <w:rPr>
          <w:bCs/>
          <w:lang w:val="fr-CH"/>
        </w:rPr>
        <w:t xml:space="preserve"> du RR</w:t>
      </w:r>
      <w:r w:rsidRPr="00AE364E">
        <w:rPr>
          <w:lang w:val="fr-CH"/>
        </w:rPr>
        <w:t xml:space="preserve"> (§</w:t>
      </w:r>
      <w:r w:rsidR="005105ED">
        <w:rPr>
          <w:lang w:val="fr-CH"/>
        </w:rPr>
        <w:t xml:space="preserve"> </w:t>
      </w:r>
      <w:r w:rsidRPr="00AE364E">
        <w:rPr>
          <w:lang w:val="fr-CH"/>
        </w:rPr>
        <w:t>3.6.6)</w:t>
      </w:r>
    </w:p>
    <w:p w14:paraId="24240301" w14:textId="506D8AD7" w:rsidR="00C00626" w:rsidRPr="00AE364E" w:rsidRDefault="00C00626" w:rsidP="00D56210">
      <w:pPr>
        <w:pStyle w:val="Normalaftertitle"/>
        <w:rPr>
          <w:lang w:val="fr-CH"/>
        </w:rPr>
      </w:pPr>
      <w:r w:rsidRPr="00AE364E">
        <w:rPr>
          <w:lang w:val="fr-CH"/>
        </w:rPr>
        <w:t>En plus des propositions présentées ci-dessus, la</w:t>
      </w:r>
      <w:r w:rsidR="00F52C52">
        <w:rPr>
          <w:lang w:val="fr-CH"/>
        </w:rPr>
        <w:t xml:space="preserve"> </w:t>
      </w:r>
      <w:r w:rsidRPr="00AE364E">
        <w:rPr>
          <w:lang w:val="fr-CH"/>
        </w:rPr>
        <w:t>CEPT souhaite faire connaître ses vues et s</w:t>
      </w:r>
      <w:r>
        <w:rPr>
          <w:lang w:val="fr-CH"/>
        </w:rPr>
        <w:t>a</w:t>
      </w:r>
      <w:r w:rsidR="00F52C52">
        <w:rPr>
          <w:lang w:val="fr-CH"/>
        </w:rPr>
        <w:t xml:space="preserve"> </w:t>
      </w:r>
      <w:r w:rsidRPr="00AE364E">
        <w:rPr>
          <w:lang w:val="fr-CH"/>
        </w:rPr>
        <w:t>position</w:t>
      </w:r>
      <w:r w:rsidR="00F52C52">
        <w:rPr>
          <w:lang w:val="fr-CH"/>
        </w:rPr>
        <w:t xml:space="preserve"> </w:t>
      </w:r>
      <w:r w:rsidRPr="00AE364E">
        <w:rPr>
          <w:lang w:val="fr-CH"/>
        </w:rPr>
        <w:t xml:space="preserve">concernant les différents points traités dans le </w:t>
      </w:r>
      <w:r w:rsidR="005105ED" w:rsidRPr="00AE364E">
        <w:rPr>
          <w:lang w:val="fr-CH"/>
        </w:rPr>
        <w:t xml:space="preserve">Rapport </w:t>
      </w:r>
      <w:r w:rsidRPr="00AE364E">
        <w:rPr>
          <w:lang w:val="fr-CH"/>
        </w:rPr>
        <w:t>du Directeur précité</w:t>
      </w:r>
      <w:r w:rsidR="00D56210">
        <w:rPr>
          <w:lang w:val="fr-CH"/>
        </w:rPr>
        <w:t>.</w:t>
      </w:r>
    </w:p>
    <w:p w14:paraId="149408F8" w14:textId="42FAE057" w:rsidR="00C00626" w:rsidRPr="003E42A1" w:rsidRDefault="00C00626" w:rsidP="00D56210">
      <w:pPr>
        <w:rPr>
          <w:lang w:val="fr-CH"/>
        </w:rPr>
      </w:pPr>
      <w:r w:rsidRPr="003E42A1">
        <w:rPr>
          <w:lang w:val="fr-CH"/>
        </w:rPr>
        <w:t>S</w:t>
      </w:r>
      <w:r w:rsidR="00AD13F0">
        <w:rPr>
          <w:lang w:val="fr-CH"/>
        </w:rPr>
        <w:t>'</w:t>
      </w:r>
      <w:r w:rsidRPr="003E42A1">
        <w:rPr>
          <w:lang w:val="fr-CH"/>
        </w:rPr>
        <w:t>agissant de la question relative au projet de base de données</w:t>
      </w:r>
      <w:r w:rsidR="00F52C52">
        <w:rPr>
          <w:lang w:val="fr-CH"/>
        </w:rPr>
        <w:t xml:space="preserve"> </w:t>
      </w:r>
      <w:r w:rsidRPr="003E42A1">
        <w:rPr>
          <w:lang w:val="fr-CH"/>
        </w:rPr>
        <w:t>CR/D mis à disposition dans la BR</w:t>
      </w:r>
      <w:r w:rsidR="005105ED">
        <w:rPr>
          <w:lang w:val="fr-CH"/>
        </w:rPr>
        <w:t> </w:t>
      </w:r>
      <w:r w:rsidRPr="003E42A1">
        <w:rPr>
          <w:lang w:val="fr-CH"/>
        </w:rPr>
        <w:t>IFIC avant la publication d</w:t>
      </w:r>
      <w:r w:rsidR="00AD13F0">
        <w:rPr>
          <w:lang w:val="fr-CH"/>
        </w:rPr>
        <w:t>'</w:t>
      </w:r>
      <w:r w:rsidRPr="003E42A1">
        <w:rPr>
          <w:lang w:val="fr-CH"/>
        </w:rPr>
        <w:t xml:space="preserve">une </w:t>
      </w:r>
      <w:r w:rsidR="00D56210">
        <w:rPr>
          <w:lang w:val="fr-CH"/>
        </w:rPr>
        <w:t>S</w:t>
      </w:r>
      <w:r w:rsidRPr="003E42A1">
        <w:rPr>
          <w:lang w:val="fr-CH"/>
        </w:rPr>
        <w:t xml:space="preserve">ection spéciale CR/D conformément au numéro </w:t>
      </w:r>
      <w:r w:rsidRPr="005105ED">
        <w:rPr>
          <w:b/>
          <w:bCs/>
          <w:lang w:val="fr-CH"/>
        </w:rPr>
        <w:t>9.53A</w:t>
      </w:r>
      <w:r w:rsidRPr="003E42A1">
        <w:rPr>
          <w:lang w:val="fr-CH"/>
        </w:rPr>
        <w:t xml:space="preserve"> du RR</w:t>
      </w:r>
      <w:r w:rsidR="00F52C52">
        <w:rPr>
          <w:lang w:val="fr-CH"/>
        </w:rPr>
        <w:t xml:space="preserve"> </w:t>
      </w:r>
      <w:r w:rsidRPr="003E42A1">
        <w:rPr>
          <w:lang w:val="fr-CH"/>
        </w:rPr>
        <w:t>(§</w:t>
      </w:r>
      <w:r w:rsidR="005105ED">
        <w:rPr>
          <w:lang w:val="fr-CH"/>
        </w:rPr>
        <w:t> </w:t>
      </w:r>
      <w:r w:rsidRPr="003E42A1">
        <w:rPr>
          <w:lang w:val="fr-CH"/>
        </w:rPr>
        <w:t xml:space="preserve">3.1.3.4 </w:t>
      </w:r>
      <w:r>
        <w:rPr>
          <w:lang w:val="fr-CH"/>
        </w:rPr>
        <w:t xml:space="preserve">du </w:t>
      </w:r>
      <w:r w:rsidR="005105ED">
        <w:rPr>
          <w:lang w:val="fr-CH"/>
        </w:rPr>
        <w:t xml:space="preserve">Rapport </w:t>
      </w:r>
      <w:r>
        <w:rPr>
          <w:lang w:val="fr-CH"/>
        </w:rPr>
        <w:t>du Directeur</w:t>
      </w:r>
      <w:r w:rsidRPr="003E42A1">
        <w:rPr>
          <w:lang w:val="fr-CH"/>
        </w:rPr>
        <w:t xml:space="preserve">), </w:t>
      </w:r>
      <w:r>
        <w:rPr>
          <w:lang w:val="fr-CH"/>
        </w:rPr>
        <w:t xml:space="preserve">la </w:t>
      </w:r>
      <w:r w:rsidRPr="003E42A1">
        <w:rPr>
          <w:lang w:val="fr-CH"/>
        </w:rPr>
        <w:t>CEPT</w:t>
      </w:r>
      <w:r w:rsidR="00F52C52">
        <w:rPr>
          <w:lang w:val="fr-CH"/>
        </w:rPr>
        <w:t xml:space="preserve"> </w:t>
      </w:r>
      <w:r>
        <w:rPr>
          <w:lang w:val="fr-CH"/>
        </w:rPr>
        <w:t>partage l</w:t>
      </w:r>
      <w:r w:rsidR="00AD13F0">
        <w:rPr>
          <w:lang w:val="fr-CH"/>
        </w:rPr>
        <w:t>'</w:t>
      </w:r>
      <w:r>
        <w:rPr>
          <w:lang w:val="fr-CH"/>
        </w:rPr>
        <w:t xml:space="preserve">avis du </w:t>
      </w:r>
      <w:r w:rsidRPr="003E42A1">
        <w:rPr>
          <w:lang w:val="fr-CH"/>
        </w:rPr>
        <w:t xml:space="preserve">Bureau </w:t>
      </w:r>
      <w:r>
        <w:rPr>
          <w:lang w:val="fr-CH"/>
        </w:rPr>
        <w:t xml:space="preserve">selon lequel cette procédure </w:t>
      </w:r>
      <w:r w:rsidR="00D56210">
        <w:rPr>
          <w:lang w:val="fr-CH"/>
        </w:rPr>
        <w:t xml:space="preserve">ne présente aucun </w:t>
      </w:r>
      <w:r>
        <w:rPr>
          <w:lang w:val="fr-CH"/>
        </w:rPr>
        <w:t>intérêt pratique et, parallèlement, mobilise des ressources considérables de la part du Bureau</w:t>
      </w:r>
      <w:r w:rsidR="00F52C52">
        <w:rPr>
          <w:lang w:val="fr-CH"/>
        </w:rPr>
        <w:t>.</w:t>
      </w:r>
      <w:r w:rsidR="00FE7DA8">
        <w:rPr>
          <w:lang w:val="fr-CH"/>
        </w:rPr>
        <w:t xml:space="preserve"> </w:t>
      </w:r>
      <w:r>
        <w:rPr>
          <w:lang w:val="fr-CH"/>
        </w:rPr>
        <w:t xml:space="preserve">La </w:t>
      </w:r>
      <w:r w:rsidRPr="003E42A1">
        <w:rPr>
          <w:lang w:val="fr-CH"/>
        </w:rPr>
        <w:t>CEPT</w:t>
      </w:r>
      <w:r>
        <w:rPr>
          <w:lang w:val="fr-CH"/>
        </w:rPr>
        <w:t xml:space="preserve"> est favorable à l</w:t>
      </w:r>
      <w:r w:rsidR="00AD13F0">
        <w:rPr>
          <w:lang w:val="fr-CH"/>
        </w:rPr>
        <w:t>'</w:t>
      </w:r>
      <w:r>
        <w:rPr>
          <w:lang w:val="fr-CH"/>
        </w:rPr>
        <w:t xml:space="preserve">idée de mettre fin à cette pratique. Chaque administration pourrait réagir aux publications officielles des sections spéciales </w:t>
      </w:r>
      <w:r w:rsidRPr="003E42A1">
        <w:rPr>
          <w:lang w:val="fr-CH"/>
        </w:rPr>
        <w:t>CR/D</w:t>
      </w:r>
      <w:r>
        <w:rPr>
          <w:lang w:val="fr-CH"/>
        </w:rPr>
        <w:t xml:space="preserve"> pour demander une modification ou une adjonction concernant</w:t>
      </w:r>
      <w:r w:rsidR="00F52C52">
        <w:rPr>
          <w:lang w:val="fr-CH"/>
        </w:rPr>
        <w:t xml:space="preserve"> </w:t>
      </w:r>
      <w:r>
        <w:rPr>
          <w:lang w:val="fr-CH"/>
        </w:rPr>
        <w:t xml:space="preserve">les données publiées. En pareil cas, une modification de la Section spéciale </w:t>
      </w:r>
      <w:r w:rsidRPr="003E42A1">
        <w:rPr>
          <w:lang w:val="fr-CH"/>
        </w:rPr>
        <w:t xml:space="preserve">CR/D </w:t>
      </w:r>
      <w:r>
        <w:rPr>
          <w:lang w:val="fr-CH"/>
        </w:rPr>
        <w:t>en question serait publiée</w:t>
      </w:r>
      <w:r w:rsidRPr="003E42A1">
        <w:rPr>
          <w:lang w:val="fr-CH"/>
        </w:rPr>
        <w:t>.</w:t>
      </w:r>
    </w:p>
    <w:p w14:paraId="0E28D023" w14:textId="365F47E4" w:rsidR="00C00626" w:rsidRPr="00E63FF0" w:rsidRDefault="00C00626" w:rsidP="00D56210">
      <w:pPr>
        <w:rPr>
          <w:lang w:val="fr-CH"/>
        </w:rPr>
      </w:pPr>
      <w:r w:rsidRPr="003E42A1">
        <w:rPr>
          <w:color w:val="000000"/>
          <w:lang w:val="fr-CH"/>
        </w:rPr>
        <w:t>Pour ce qui est de l</w:t>
      </w:r>
      <w:r w:rsidR="00AD13F0">
        <w:rPr>
          <w:color w:val="000000"/>
          <w:lang w:val="fr-CH"/>
        </w:rPr>
        <w:t>'</w:t>
      </w:r>
      <w:r w:rsidRPr="003E42A1">
        <w:rPr>
          <w:color w:val="000000"/>
          <w:lang w:val="fr-CH"/>
        </w:rPr>
        <w:t xml:space="preserve">examen au titre des numéros </w:t>
      </w:r>
      <w:r w:rsidRPr="005105ED">
        <w:rPr>
          <w:b/>
          <w:bCs/>
          <w:color w:val="000000"/>
          <w:lang w:val="fr-CH"/>
        </w:rPr>
        <w:t>11.32</w:t>
      </w:r>
      <w:r w:rsidRPr="003E42A1">
        <w:rPr>
          <w:color w:val="000000"/>
          <w:lang w:val="fr-CH"/>
        </w:rPr>
        <w:t xml:space="preserve"> et </w:t>
      </w:r>
      <w:r w:rsidRPr="005105ED">
        <w:rPr>
          <w:b/>
          <w:bCs/>
          <w:color w:val="000000"/>
          <w:lang w:val="fr-CH"/>
        </w:rPr>
        <w:t>11.32A</w:t>
      </w:r>
      <w:r w:rsidRPr="003E42A1">
        <w:rPr>
          <w:color w:val="000000"/>
          <w:lang w:val="fr-CH"/>
        </w:rPr>
        <w:t xml:space="preserve"> du RR sur la base du statut de l</w:t>
      </w:r>
      <w:r w:rsidR="00AD13F0">
        <w:rPr>
          <w:color w:val="000000"/>
          <w:lang w:val="fr-CH"/>
        </w:rPr>
        <w:t>'</w:t>
      </w:r>
      <w:r w:rsidRPr="003E42A1">
        <w:rPr>
          <w:color w:val="000000"/>
          <w:lang w:val="fr-CH"/>
        </w:rPr>
        <w:t>accord de coordination</w:t>
      </w:r>
      <w:r w:rsidRPr="003E42A1">
        <w:rPr>
          <w:lang w:val="fr-CH"/>
        </w:rPr>
        <w:t xml:space="preserve"> </w:t>
      </w:r>
      <w:r w:rsidRPr="003E42A1">
        <w:rPr>
          <w:color w:val="000000"/>
          <w:lang w:val="fr-CH"/>
        </w:rPr>
        <w:t>au niveau des groupes</w:t>
      </w:r>
      <w:r w:rsidRPr="003E42A1">
        <w:rPr>
          <w:lang w:val="fr-CH"/>
        </w:rPr>
        <w:t xml:space="preserve"> de f</w:t>
      </w:r>
      <w:r w:rsidRPr="003E42A1">
        <w:rPr>
          <w:color w:val="000000"/>
          <w:lang w:val="fr-CH"/>
        </w:rPr>
        <w:t>iches de notification de l</w:t>
      </w:r>
      <w:r w:rsidR="00AD13F0">
        <w:rPr>
          <w:color w:val="000000"/>
          <w:lang w:val="fr-CH"/>
        </w:rPr>
        <w:t>'</w:t>
      </w:r>
      <w:r w:rsidRPr="003E42A1">
        <w:rPr>
          <w:color w:val="000000"/>
          <w:lang w:val="fr-CH"/>
        </w:rPr>
        <w:t xml:space="preserve">Appendice </w:t>
      </w:r>
      <w:r w:rsidRPr="005105ED">
        <w:rPr>
          <w:b/>
          <w:bCs/>
          <w:color w:val="000000"/>
          <w:lang w:val="fr-CH"/>
        </w:rPr>
        <w:t>4</w:t>
      </w:r>
      <w:r w:rsidRPr="003E42A1">
        <w:rPr>
          <w:color w:val="000000"/>
          <w:lang w:val="fr-CH"/>
        </w:rPr>
        <w:t xml:space="preserve"> du RR</w:t>
      </w:r>
      <w:r w:rsidR="00F52C52">
        <w:rPr>
          <w:lang w:val="fr-CH"/>
        </w:rPr>
        <w:t xml:space="preserve"> </w:t>
      </w:r>
      <w:r w:rsidRPr="003E42A1">
        <w:rPr>
          <w:lang w:val="fr-CH"/>
        </w:rPr>
        <w:t>(§</w:t>
      </w:r>
      <w:r w:rsidR="005105ED">
        <w:rPr>
          <w:lang w:val="fr-CH"/>
        </w:rPr>
        <w:t> </w:t>
      </w:r>
      <w:r w:rsidRPr="003E42A1">
        <w:rPr>
          <w:lang w:val="fr-CH"/>
        </w:rPr>
        <w:t xml:space="preserve">3.1.4.2.1), </w:t>
      </w:r>
      <w:r>
        <w:rPr>
          <w:lang w:val="fr-CH"/>
        </w:rPr>
        <w:t xml:space="preserve">la </w:t>
      </w:r>
      <w:r w:rsidRPr="003E42A1">
        <w:rPr>
          <w:lang w:val="fr-CH"/>
        </w:rPr>
        <w:t xml:space="preserve">CEPT </w:t>
      </w:r>
      <w:r>
        <w:rPr>
          <w:lang w:val="fr-CH"/>
        </w:rPr>
        <w:t>appuie la mise au point par le Bureau d</w:t>
      </w:r>
      <w:r w:rsidR="00AD13F0">
        <w:rPr>
          <w:lang w:val="fr-CH"/>
        </w:rPr>
        <w:t>'</w:t>
      </w:r>
      <w:r>
        <w:rPr>
          <w:lang w:val="fr-CH"/>
        </w:rPr>
        <w:t xml:space="preserve">un outil logiciel </w:t>
      </w:r>
      <w:r w:rsidR="00D56210">
        <w:rPr>
          <w:lang w:val="fr-CH"/>
        </w:rPr>
        <w:t xml:space="preserve">destiné </w:t>
      </w:r>
      <w:r>
        <w:rPr>
          <w:lang w:val="fr-CH"/>
        </w:rPr>
        <w:t>à aider les administrations, lorsqu</w:t>
      </w:r>
      <w:r w:rsidR="00AD13F0">
        <w:rPr>
          <w:lang w:val="fr-CH"/>
        </w:rPr>
        <w:t>'</w:t>
      </w:r>
      <w:r>
        <w:rPr>
          <w:lang w:val="fr-CH"/>
        </w:rPr>
        <w:t>elles notifient leurs réseaux</w:t>
      </w:r>
      <w:r w:rsidR="00F52C52">
        <w:rPr>
          <w:lang w:val="fr-CH"/>
        </w:rPr>
        <w:t>,</w:t>
      </w:r>
      <w:r w:rsidRPr="003E42A1">
        <w:rPr>
          <w:lang w:val="fr-CH"/>
        </w:rPr>
        <w:t xml:space="preserve"> </w:t>
      </w:r>
      <w:r>
        <w:rPr>
          <w:lang w:val="fr-CH"/>
        </w:rPr>
        <w:t xml:space="preserve">à </w:t>
      </w:r>
      <w:r w:rsidRPr="00E63FF0">
        <w:rPr>
          <w:lang w:val="fr-CH"/>
        </w:rPr>
        <w:t>préciser le statut de la coordination vis-à-vis d</w:t>
      </w:r>
      <w:r w:rsidR="00AD13F0">
        <w:rPr>
          <w:lang w:val="fr-CH"/>
        </w:rPr>
        <w:t>'</w:t>
      </w:r>
      <w:r w:rsidRPr="00E63FF0">
        <w:rPr>
          <w:lang w:val="fr-CH"/>
        </w:rPr>
        <w:t>une administration affectée au niveau des groupes de la fiche de notification</w:t>
      </w:r>
      <w:r w:rsidR="00F52C52">
        <w:rPr>
          <w:lang w:val="fr-CH"/>
        </w:rPr>
        <w:t>,</w:t>
      </w:r>
      <w:r w:rsidR="00FE7DA8">
        <w:rPr>
          <w:lang w:val="fr-CH"/>
        </w:rPr>
        <w:t xml:space="preserve"> </w:t>
      </w:r>
      <w:r>
        <w:rPr>
          <w:lang w:val="fr-CH"/>
        </w:rPr>
        <w:t xml:space="preserve">en </w:t>
      </w:r>
      <w:r w:rsidRPr="003E42A1">
        <w:rPr>
          <w:lang w:val="fr-CH"/>
        </w:rPr>
        <w:t>indiqu</w:t>
      </w:r>
      <w:r>
        <w:rPr>
          <w:lang w:val="fr-CH"/>
        </w:rPr>
        <w:t>ant</w:t>
      </w:r>
      <w:r w:rsidRPr="003E42A1">
        <w:rPr>
          <w:lang w:val="fr-CH"/>
        </w:rPr>
        <w:t xml:space="preserve"> les réseaux à satellite pour lesquels elle a achevé ou non la coordination</w:t>
      </w:r>
      <w:r>
        <w:rPr>
          <w:lang w:val="fr-CH"/>
        </w:rPr>
        <w:t>. De plus, le statut de la coordination serait indiqué dans une publication.</w:t>
      </w:r>
    </w:p>
    <w:p w14:paraId="4EC5917A" w14:textId="2D7D4A1D" w:rsidR="00C00626" w:rsidRPr="00FB6F29" w:rsidRDefault="00C00626" w:rsidP="00D56210">
      <w:pPr>
        <w:rPr>
          <w:lang w:val="fr-CH"/>
        </w:rPr>
      </w:pPr>
      <w:r w:rsidRPr="00FB6F29">
        <w:rPr>
          <w:lang w:val="fr-CH"/>
        </w:rPr>
        <w:t>S</w:t>
      </w:r>
      <w:r w:rsidR="00AD13F0">
        <w:rPr>
          <w:lang w:val="fr-CH"/>
        </w:rPr>
        <w:t>'</w:t>
      </w:r>
      <w:r w:rsidRPr="00FB6F29">
        <w:rPr>
          <w:lang w:val="fr-CH"/>
        </w:rPr>
        <w:t>agissant des soumissions contenant des antennes dont les contours de gain d</w:t>
      </w:r>
      <w:r w:rsidR="00AD13F0">
        <w:rPr>
          <w:lang w:val="fr-CH"/>
        </w:rPr>
        <w:t>'</w:t>
      </w:r>
      <w:r w:rsidRPr="00FB6F29">
        <w:rPr>
          <w:lang w:val="fr-CH"/>
        </w:rPr>
        <w:t>antenne</w:t>
      </w:r>
      <w:r w:rsidR="00F52C52">
        <w:rPr>
          <w:lang w:val="fr-CH"/>
        </w:rPr>
        <w:t xml:space="preserve"> </w:t>
      </w:r>
      <w:r w:rsidRPr="00FB6F29">
        <w:rPr>
          <w:lang w:val="fr-CH"/>
        </w:rPr>
        <w:t>aboutissent à une valeur minimale du gain d</w:t>
      </w:r>
      <w:r w:rsidR="00AD13F0">
        <w:rPr>
          <w:lang w:val="fr-CH"/>
        </w:rPr>
        <w:t>'</w:t>
      </w:r>
      <w:r w:rsidRPr="00FB6F29">
        <w:rPr>
          <w:lang w:val="fr-CH"/>
        </w:rPr>
        <w:t xml:space="preserve">antenne absolu inférieure à –10 </w:t>
      </w:r>
      <w:proofErr w:type="spellStart"/>
      <w:r w:rsidRPr="00FB6F29">
        <w:rPr>
          <w:lang w:val="fr-CH"/>
        </w:rPr>
        <w:t>dBi</w:t>
      </w:r>
      <w:proofErr w:type="spellEnd"/>
      <w:r w:rsidRPr="00FB6F29">
        <w:rPr>
          <w:lang w:val="fr-CH"/>
        </w:rPr>
        <w:t xml:space="preserve"> (</w:t>
      </w:r>
      <w:r w:rsidR="005105ED">
        <w:rPr>
          <w:lang w:val="fr-CH"/>
        </w:rPr>
        <w:t xml:space="preserve">§ </w:t>
      </w:r>
      <w:r w:rsidRPr="00FB6F29">
        <w:rPr>
          <w:lang w:val="fr-CH"/>
        </w:rPr>
        <w:t xml:space="preserve">3.2.4.4), </w:t>
      </w:r>
      <w:r>
        <w:rPr>
          <w:lang w:val="fr-CH"/>
        </w:rPr>
        <w:t xml:space="preserve">la </w:t>
      </w:r>
      <w:r w:rsidRPr="00FB6F29">
        <w:rPr>
          <w:lang w:val="fr-CH"/>
        </w:rPr>
        <w:t>CEPT</w:t>
      </w:r>
      <w:r>
        <w:rPr>
          <w:lang w:val="fr-CH"/>
        </w:rPr>
        <w:t xml:space="preserve"> estime qu</w:t>
      </w:r>
      <w:r w:rsidR="00AD13F0">
        <w:rPr>
          <w:lang w:val="fr-CH"/>
        </w:rPr>
        <w:t>'</w:t>
      </w:r>
      <w:r>
        <w:rPr>
          <w:lang w:val="fr-CH"/>
        </w:rPr>
        <w:t>un complément d</w:t>
      </w:r>
      <w:r w:rsidR="00AD13F0">
        <w:rPr>
          <w:lang w:val="fr-CH"/>
        </w:rPr>
        <w:t>'</w:t>
      </w:r>
      <w:r>
        <w:rPr>
          <w:lang w:val="fr-CH"/>
        </w:rPr>
        <w:t>études est nécessaire.</w:t>
      </w:r>
      <w:r w:rsidR="00F52C52">
        <w:rPr>
          <w:lang w:val="fr-CH"/>
        </w:rPr>
        <w:t xml:space="preserve"> </w:t>
      </w:r>
      <w:r w:rsidRPr="00FB6F29">
        <w:rPr>
          <w:lang w:val="fr-CH"/>
        </w:rPr>
        <w:t>Dans le cas où il y a plusieurs stations terriennes par soumission dans les Appendices</w:t>
      </w:r>
      <w:r w:rsidR="00F52C52">
        <w:rPr>
          <w:lang w:val="fr-CH"/>
        </w:rPr>
        <w:t xml:space="preserve"> </w:t>
      </w:r>
      <w:r w:rsidRPr="00FB6F29">
        <w:rPr>
          <w:b/>
          <w:bCs/>
          <w:lang w:val="fr-CH"/>
        </w:rPr>
        <w:t xml:space="preserve">30 </w:t>
      </w:r>
      <w:r w:rsidRPr="005105ED">
        <w:rPr>
          <w:lang w:val="fr-CH"/>
        </w:rPr>
        <w:t>et</w:t>
      </w:r>
      <w:r w:rsidRPr="00FB6F29">
        <w:rPr>
          <w:b/>
          <w:bCs/>
          <w:lang w:val="fr-CH"/>
        </w:rPr>
        <w:t xml:space="preserve"> 30A</w:t>
      </w:r>
      <w:r w:rsidRPr="00FB6F29">
        <w:rPr>
          <w:bCs/>
          <w:lang w:val="fr-CH"/>
        </w:rPr>
        <w:t xml:space="preserve"> du RR</w:t>
      </w:r>
      <w:r w:rsidRPr="00FB6F29">
        <w:rPr>
          <w:b/>
          <w:bCs/>
          <w:lang w:val="fr-CH"/>
        </w:rPr>
        <w:t xml:space="preserve"> </w:t>
      </w:r>
      <w:r w:rsidRPr="00FB6F29">
        <w:rPr>
          <w:lang w:val="fr-CH"/>
        </w:rPr>
        <w:t>(</w:t>
      </w:r>
      <w:r w:rsidR="005105ED">
        <w:rPr>
          <w:lang w:val="fr-CH"/>
        </w:rPr>
        <w:t xml:space="preserve">§ </w:t>
      </w:r>
      <w:r w:rsidRPr="00FB6F29">
        <w:rPr>
          <w:lang w:val="fr-CH"/>
        </w:rPr>
        <w:t xml:space="preserve">3.2.4.5), la CEPT croit comprendre que la proposition du </w:t>
      </w:r>
      <w:r w:rsidR="00D56210">
        <w:rPr>
          <w:lang w:val="fr-CH"/>
        </w:rPr>
        <w:t>B</w:t>
      </w:r>
      <w:r w:rsidRPr="00FB6F29">
        <w:rPr>
          <w:lang w:val="fr-CH"/>
        </w:rPr>
        <w:t xml:space="preserve">ureau vise à limiter à </w:t>
      </w:r>
      <w:r w:rsidR="00D56210">
        <w:rPr>
          <w:lang w:val="fr-CH"/>
        </w:rPr>
        <w:t>3</w:t>
      </w:r>
      <w:r w:rsidRPr="00FB6F29">
        <w:rPr>
          <w:lang w:val="fr-CH"/>
        </w:rPr>
        <w:t xml:space="preserve"> le nombre d</w:t>
      </w:r>
      <w:r w:rsidR="00AD13F0">
        <w:rPr>
          <w:lang w:val="fr-CH"/>
        </w:rPr>
        <w:t>'</w:t>
      </w:r>
      <w:r w:rsidRPr="00FB6F29">
        <w:rPr>
          <w:lang w:val="fr-CH"/>
        </w:rPr>
        <w:t>antennes</w:t>
      </w:r>
      <w:r>
        <w:rPr>
          <w:lang w:val="fr-CH"/>
        </w:rPr>
        <w:t xml:space="preserve"> pour chaque soumission au titre</w:t>
      </w:r>
      <w:r w:rsidR="00F52C52">
        <w:rPr>
          <w:lang w:val="fr-CH"/>
        </w:rPr>
        <w:t xml:space="preserve"> </w:t>
      </w:r>
      <w:r w:rsidRPr="00FB6F29">
        <w:rPr>
          <w:lang w:val="fr-CH"/>
        </w:rPr>
        <w:t>des Appendices</w:t>
      </w:r>
      <w:r w:rsidR="00F52C52">
        <w:rPr>
          <w:lang w:val="fr-CH"/>
        </w:rPr>
        <w:t xml:space="preserve"> </w:t>
      </w:r>
      <w:r w:rsidRPr="00FB6F29">
        <w:rPr>
          <w:b/>
          <w:bCs/>
          <w:lang w:val="fr-CH"/>
        </w:rPr>
        <w:t xml:space="preserve">30 </w:t>
      </w:r>
      <w:r w:rsidRPr="005105ED">
        <w:rPr>
          <w:lang w:val="fr-CH"/>
        </w:rPr>
        <w:t>et</w:t>
      </w:r>
      <w:r w:rsidRPr="00FB6F29">
        <w:rPr>
          <w:b/>
          <w:bCs/>
          <w:lang w:val="fr-CH"/>
        </w:rPr>
        <w:t xml:space="preserve"> 30A </w:t>
      </w:r>
      <w:r w:rsidRPr="00FB6F29">
        <w:rPr>
          <w:bCs/>
          <w:lang w:val="fr-CH"/>
        </w:rPr>
        <w:t>du RR</w:t>
      </w:r>
      <w:r>
        <w:rPr>
          <w:bCs/>
          <w:lang w:val="fr-CH"/>
        </w:rPr>
        <w:t>; cependant, étant donné que certaines administrations établissent un lien entre les caractéristiques d</w:t>
      </w:r>
      <w:r w:rsidR="00AD13F0">
        <w:rPr>
          <w:bCs/>
          <w:lang w:val="fr-CH"/>
        </w:rPr>
        <w:t>'</w:t>
      </w:r>
      <w:r>
        <w:rPr>
          <w:bCs/>
          <w:lang w:val="fr-CH"/>
        </w:rPr>
        <w:t>antenne et les</w:t>
      </w:r>
      <w:r w:rsidR="00F52C52">
        <w:rPr>
          <w:bCs/>
          <w:lang w:val="fr-CH"/>
        </w:rPr>
        <w:t xml:space="preserve"> </w:t>
      </w:r>
      <w:r w:rsidRPr="00FB6F29">
        <w:rPr>
          <w:color w:val="000000"/>
          <w:lang w:val="fr-CH"/>
        </w:rPr>
        <w:t>droits d</w:t>
      </w:r>
      <w:r w:rsidR="00AD13F0">
        <w:rPr>
          <w:color w:val="000000"/>
          <w:lang w:val="fr-CH"/>
        </w:rPr>
        <w:t>'</w:t>
      </w:r>
      <w:r w:rsidRPr="00FB6F29">
        <w:rPr>
          <w:color w:val="000000"/>
          <w:lang w:val="fr-CH"/>
        </w:rPr>
        <w:t>atterrissement</w:t>
      </w:r>
      <w:r w:rsidRPr="00FB6F29">
        <w:rPr>
          <w:lang w:val="fr-CH"/>
        </w:rPr>
        <w:t xml:space="preserve"> (</w:t>
      </w:r>
      <w:r>
        <w:rPr>
          <w:lang w:val="fr-CH"/>
        </w:rPr>
        <w:t>elles</w:t>
      </w:r>
      <w:r w:rsidR="00F52C52">
        <w:rPr>
          <w:lang w:val="fr-CH"/>
        </w:rPr>
        <w:t xml:space="preserve"> </w:t>
      </w:r>
      <w:r>
        <w:rPr>
          <w:lang w:val="fr-CH"/>
        </w:rPr>
        <w:t>ont en effet besoin d</w:t>
      </w:r>
      <w:r w:rsidR="00AD13F0">
        <w:rPr>
          <w:lang w:val="fr-CH"/>
        </w:rPr>
        <w:t>'</w:t>
      </w:r>
      <w:r>
        <w:rPr>
          <w:lang w:val="fr-CH"/>
        </w:rPr>
        <w:t>une correspondance exacte</w:t>
      </w:r>
      <w:r w:rsidRPr="00FB6F29">
        <w:rPr>
          <w:lang w:val="fr-CH"/>
        </w:rPr>
        <w:t>),</w:t>
      </w:r>
      <w:r>
        <w:rPr>
          <w:lang w:val="fr-CH"/>
        </w:rPr>
        <w:t xml:space="preserve"> il</w:t>
      </w:r>
      <w:r w:rsidR="00D56210">
        <w:rPr>
          <w:lang w:val="fr-CH"/>
        </w:rPr>
        <w:t xml:space="preserve"> sera</w:t>
      </w:r>
      <w:r>
        <w:rPr>
          <w:lang w:val="fr-CH"/>
        </w:rPr>
        <w:t xml:space="preserve"> peut-être</w:t>
      </w:r>
      <w:r w:rsidR="00D56210">
        <w:rPr>
          <w:lang w:val="fr-CH"/>
        </w:rPr>
        <w:t xml:space="preserve"> nécessaire de</w:t>
      </w:r>
      <w:r>
        <w:rPr>
          <w:lang w:val="fr-CH"/>
        </w:rPr>
        <w:t xml:space="preserve"> porter à 5 </w:t>
      </w:r>
      <w:r w:rsidR="00D56210">
        <w:rPr>
          <w:lang w:val="fr-CH"/>
        </w:rPr>
        <w:t xml:space="preserve">au plus </w:t>
      </w:r>
      <w:r>
        <w:rPr>
          <w:lang w:val="fr-CH"/>
        </w:rPr>
        <w:t>le nombre maximal d</w:t>
      </w:r>
      <w:r w:rsidR="00AD13F0">
        <w:rPr>
          <w:lang w:val="fr-CH"/>
        </w:rPr>
        <w:t>'</w:t>
      </w:r>
      <w:r>
        <w:rPr>
          <w:lang w:val="fr-CH"/>
        </w:rPr>
        <w:t>antennes.</w:t>
      </w:r>
    </w:p>
    <w:p w14:paraId="0C6AC918" w14:textId="219CF600" w:rsidR="00C00626" w:rsidRPr="00D470DD" w:rsidRDefault="00C00626" w:rsidP="00D56210">
      <w:pPr>
        <w:rPr>
          <w:lang w:val="fr-CH"/>
        </w:rPr>
      </w:pPr>
      <w:r w:rsidRPr="00D470DD">
        <w:rPr>
          <w:lang w:val="fr-CH"/>
        </w:rPr>
        <w:t>En ce qui concerne l</w:t>
      </w:r>
      <w:r w:rsidR="00AD13F0">
        <w:rPr>
          <w:lang w:val="fr-CH"/>
        </w:rPr>
        <w:t>'</w:t>
      </w:r>
      <w:r w:rsidRPr="00D470DD">
        <w:rPr>
          <w:lang w:val="fr-CH"/>
        </w:rPr>
        <w:t>arc</w:t>
      </w:r>
      <w:r w:rsidR="00F52C52">
        <w:rPr>
          <w:lang w:val="fr-CH"/>
        </w:rPr>
        <w:t xml:space="preserve"> </w:t>
      </w:r>
      <w:r w:rsidRPr="00D470DD">
        <w:rPr>
          <w:lang w:val="fr-CH"/>
        </w:rPr>
        <w:t>de coordination pour l</w:t>
      </w:r>
      <w:r w:rsidR="00AD13F0">
        <w:rPr>
          <w:lang w:val="fr-CH"/>
        </w:rPr>
        <w:t>'</w:t>
      </w:r>
      <w:r w:rsidRPr="00D470DD">
        <w:rPr>
          <w:lang w:val="fr-CH"/>
        </w:rPr>
        <w:t>Article 2A dans la bande des 14 GHz</w:t>
      </w:r>
      <w:r w:rsidR="00F52C52">
        <w:rPr>
          <w:lang w:val="fr-CH"/>
        </w:rPr>
        <w:t xml:space="preserve"> </w:t>
      </w:r>
      <w:r w:rsidRPr="00D470DD">
        <w:rPr>
          <w:lang w:val="fr-CH"/>
        </w:rPr>
        <w:t>(</w:t>
      </w:r>
      <w:r w:rsidR="005105ED">
        <w:rPr>
          <w:lang w:val="fr-CH"/>
        </w:rPr>
        <w:t xml:space="preserve">§ </w:t>
      </w:r>
      <w:r w:rsidRPr="00D470DD">
        <w:rPr>
          <w:lang w:val="fr-CH"/>
        </w:rPr>
        <w:t xml:space="preserve">3.2.4.7), </w:t>
      </w:r>
      <w:r>
        <w:rPr>
          <w:lang w:val="fr-CH"/>
        </w:rPr>
        <w:t xml:space="preserve">la </w:t>
      </w:r>
      <w:r w:rsidRPr="00D470DD">
        <w:rPr>
          <w:lang w:val="fr-CH"/>
        </w:rPr>
        <w:t>CEPT</w:t>
      </w:r>
      <w:r>
        <w:rPr>
          <w:lang w:val="fr-CH"/>
        </w:rPr>
        <w:t xml:space="preserve"> est favorable à l</w:t>
      </w:r>
      <w:r w:rsidR="00AD13F0">
        <w:rPr>
          <w:lang w:val="fr-CH"/>
        </w:rPr>
        <w:t>'</w:t>
      </w:r>
      <w:r>
        <w:rPr>
          <w:lang w:val="fr-CH"/>
        </w:rPr>
        <w:t>idée d</w:t>
      </w:r>
      <w:r w:rsidR="00AD13F0">
        <w:rPr>
          <w:lang w:val="fr-CH"/>
        </w:rPr>
        <w:t>'</w:t>
      </w:r>
      <w:r>
        <w:rPr>
          <w:lang w:val="fr-CH"/>
        </w:rPr>
        <w:t xml:space="preserve">intégrer la </w:t>
      </w:r>
      <w:r w:rsidRPr="00D470DD">
        <w:rPr>
          <w:lang w:val="fr-CH"/>
        </w:rPr>
        <w:t xml:space="preserve">Règle de procédure </w:t>
      </w:r>
      <w:r>
        <w:rPr>
          <w:lang w:val="fr-CH"/>
        </w:rPr>
        <w:t xml:space="preserve">existante </w:t>
      </w:r>
      <w:r w:rsidRPr="00D470DD">
        <w:rPr>
          <w:lang w:val="fr-CH"/>
        </w:rPr>
        <w:t xml:space="preserve">relative au </w:t>
      </w:r>
      <w:r w:rsidR="005105ED">
        <w:rPr>
          <w:lang w:val="fr-CH"/>
        </w:rPr>
        <w:t xml:space="preserve">§ </w:t>
      </w:r>
      <w:r w:rsidRPr="00D470DD">
        <w:rPr>
          <w:lang w:val="fr-CH"/>
        </w:rPr>
        <w:t xml:space="preserve">2A.1.2 </w:t>
      </w:r>
      <w:r>
        <w:rPr>
          <w:lang w:val="fr-CH"/>
        </w:rPr>
        <w:t xml:space="preserve">de </w:t>
      </w:r>
      <w:r w:rsidRPr="00D470DD">
        <w:rPr>
          <w:lang w:val="fr-CH"/>
        </w:rPr>
        <w:t>l</w:t>
      </w:r>
      <w:r w:rsidR="00AD13F0">
        <w:rPr>
          <w:lang w:val="fr-CH"/>
        </w:rPr>
        <w:t>'</w:t>
      </w:r>
      <w:r w:rsidRPr="00D470DD">
        <w:rPr>
          <w:lang w:val="fr-CH"/>
        </w:rPr>
        <w:t>Appendice</w:t>
      </w:r>
      <w:r w:rsidR="00F52C52">
        <w:rPr>
          <w:lang w:val="fr-CH"/>
        </w:rPr>
        <w:t xml:space="preserve"> </w:t>
      </w:r>
      <w:r w:rsidRPr="00D470DD">
        <w:rPr>
          <w:b/>
          <w:lang w:val="fr-CH"/>
        </w:rPr>
        <w:t>30A</w:t>
      </w:r>
      <w:r w:rsidRPr="00D470DD">
        <w:rPr>
          <w:lang w:val="fr-CH"/>
        </w:rPr>
        <w:t xml:space="preserve"> </w:t>
      </w:r>
      <w:r w:rsidRPr="00D470DD">
        <w:rPr>
          <w:bCs/>
          <w:lang w:val="fr-CH"/>
        </w:rPr>
        <w:t>du RR</w:t>
      </w:r>
      <w:r>
        <w:rPr>
          <w:bCs/>
          <w:lang w:val="fr-CH"/>
        </w:rPr>
        <w:t xml:space="preserve"> dans le Règlement des radiocommunications. Pour ce qui est du calcul</w:t>
      </w:r>
      <w:r w:rsidR="00F52C52">
        <w:rPr>
          <w:lang w:val="fr-CH"/>
        </w:rPr>
        <w:t xml:space="preserve"> </w:t>
      </w:r>
      <w:r w:rsidRPr="00D470DD">
        <w:rPr>
          <w:lang w:val="fr-CH"/>
        </w:rPr>
        <w:t xml:space="preserve">du rapport </w:t>
      </w:r>
      <w:r w:rsidRPr="00CC7524">
        <w:t>Δ</w:t>
      </w:r>
      <w:r w:rsidRPr="00D470DD">
        <w:rPr>
          <w:lang w:val="fr-CH"/>
        </w:rPr>
        <w:t>T/T dans la Section 2 de l</w:t>
      </w:r>
      <w:r w:rsidR="00AD13F0">
        <w:rPr>
          <w:lang w:val="fr-CH"/>
        </w:rPr>
        <w:t>'</w:t>
      </w:r>
      <w:r w:rsidRPr="00D470DD">
        <w:rPr>
          <w:lang w:val="fr-CH"/>
        </w:rPr>
        <w:t>Annexe 4 de l</w:t>
      </w:r>
      <w:r w:rsidR="00AD13F0">
        <w:rPr>
          <w:lang w:val="fr-CH"/>
        </w:rPr>
        <w:t>'</w:t>
      </w:r>
      <w:r w:rsidRPr="00D470DD">
        <w:rPr>
          <w:lang w:val="fr-CH"/>
        </w:rPr>
        <w:t xml:space="preserve">Appendice </w:t>
      </w:r>
      <w:r w:rsidRPr="005105ED">
        <w:rPr>
          <w:b/>
          <w:bCs/>
          <w:lang w:val="fr-CH"/>
        </w:rPr>
        <w:t>30A</w:t>
      </w:r>
      <w:r w:rsidRPr="00D470DD">
        <w:rPr>
          <w:lang w:val="fr-CH"/>
        </w:rPr>
        <w:t xml:space="preserve"> du RR</w:t>
      </w:r>
      <w:r w:rsidR="00F52C52">
        <w:rPr>
          <w:b/>
          <w:lang w:val="fr-CH"/>
        </w:rPr>
        <w:t xml:space="preserve"> </w:t>
      </w:r>
      <w:r w:rsidRPr="00D470DD">
        <w:rPr>
          <w:lang w:val="fr-CH"/>
        </w:rPr>
        <w:t>(§</w:t>
      </w:r>
      <w:r w:rsidR="005105ED">
        <w:rPr>
          <w:lang w:val="fr-CH"/>
        </w:rPr>
        <w:t xml:space="preserve"> </w:t>
      </w:r>
      <w:r w:rsidRPr="00D470DD">
        <w:rPr>
          <w:lang w:val="fr-CH"/>
        </w:rPr>
        <w:t>3.2.4.9)</w:t>
      </w:r>
      <w:r>
        <w:rPr>
          <w:lang w:val="fr-CH"/>
        </w:rPr>
        <w:t>, la</w:t>
      </w:r>
      <w:r w:rsidR="00F52C52">
        <w:rPr>
          <w:lang w:val="fr-CH"/>
        </w:rPr>
        <w:t xml:space="preserve"> </w:t>
      </w:r>
      <w:r w:rsidRPr="00D470DD">
        <w:rPr>
          <w:lang w:val="fr-CH"/>
        </w:rPr>
        <w:t xml:space="preserve">CEPT </w:t>
      </w:r>
      <w:r>
        <w:rPr>
          <w:lang w:val="fr-CH"/>
        </w:rPr>
        <w:t>souscrit</w:t>
      </w:r>
      <w:r w:rsidR="00F52C52">
        <w:rPr>
          <w:lang w:val="fr-CH"/>
        </w:rPr>
        <w:t xml:space="preserve"> </w:t>
      </w:r>
      <w:r>
        <w:rPr>
          <w:lang w:val="fr-CH"/>
        </w:rPr>
        <w:t>à la modification que le Bureau propose d</w:t>
      </w:r>
      <w:r w:rsidR="00AD13F0">
        <w:rPr>
          <w:lang w:val="fr-CH"/>
        </w:rPr>
        <w:t>'</w:t>
      </w:r>
      <w:r>
        <w:rPr>
          <w:lang w:val="fr-CH"/>
        </w:rPr>
        <w:t>apporter à</w:t>
      </w:r>
      <w:r w:rsidR="00F52C52">
        <w:rPr>
          <w:lang w:val="fr-CH"/>
        </w:rPr>
        <w:t xml:space="preserve"> </w:t>
      </w:r>
      <w:r w:rsidRPr="00D470DD">
        <w:rPr>
          <w:bCs/>
          <w:lang w:val="fr-CH"/>
        </w:rPr>
        <w:t>la Section 2 de l</w:t>
      </w:r>
      <w:r w:rsidR="00AD13F0">
        <w:rPr>
          <w:bCs/>
          <w:lang w:val="fr-CH"/>
        </w:rPr>
        <w:t>'</w:t>
      </w:r>
      <w:r w:rsidRPr="00D470DD">
        <w:rPr>
          <w:bCs/>
          <w:lang w:val="fr-CH"/>
        </w:rPr>
        <w:t>Annexe 4 de l</w:t>
      </w:r>
      <w:r w:rsidR="00AD13F0">
        <w:rPr>
          <w:bCs/>
          <w:lang w:val="fr-CH"/>
        </w:rPr>
        <w:t>'</w:t>
      </w:r>
      <w:r w:rsidRPr="00D470DD">
        <w:rPr>
          <w:bCs/>
          <w:lang w:val="fr-CH"/>
        </w:rPr>
        <w:t>Appendice</w:t>
      </w:r>
      <w:r w:rsidRPr="00D470DD">
        <w:rPr>
          <w:b/>
          <w:lang w:val="fr-CH"/>
        </w:rPr>
        <w:t xml:space="preserve"> 30A</w:t>
      </w:r>
      <w:r w:rsidRPr="00D470DD">
        <w:rPr>
          <w:bCs/>
          <w:lang w:val="fr-CH"/>
        </w:rPr>
        <w:t xml:space="preserve"> du RR</w:t>
      </w:r>
      <w:r w:rsidRPr="00D470DD">
        <w:rPr>
          <w:rFonts w:asciiTheme="minorHAnsi" w:hAnsiTheme="minorHAnsi" w:cs="Arial"/>
          <w:bCs/>
          <w:sz w:val="22"/>
          <w:szCs w:val="22"/>
          <w:lang w:val="fr-CH"/>
        </w:rPr>
        <w:t>.</w:t>
      </w:r>
    </w:p>
    <w:p w14:paraId="77B1540A" w14:textId="4EE61C9C" w:rsidR="00C00626" w:rsidRPr="00773261" w:rsidRDefault="00C00626" w:rsidP="00D56210">
      <w:pPr>
        <w:rPr>
          <w:lang w:val="fr-CH"/>
        </w:rPr>
      </w:pPr>
      <w:r>
        <w:rPr>
          <w:lang w:val="fr-CH"/>
        </w:rPr>
        <w:t>S</w:t>
      </w:r>
      <w:r w:rsidR="00AD13F0">
        <w:rPr>
          <w:lang w:val="fr-CH"/>
        </w:rPr>
        <w:t>'</w:t>
      </w:r>
      <w:r>
        <w:rPr>
          <w:lang w:val="fr-CH"/>
        </w:rPr>
        <w:t>agissant de l</w:t>
      </w:r>
      <w:r w:rsidR="00AD13F0">
        <w:rPr>
          <w:lang w:val="fr-CH"/>
        </w:rPr>
        <w:t>'</w:t>
      </w:r>
      <w:r>
        <w:rPr>
          <w:lang w:val="fr-CH"/>
        </w:rPr>
        <w:t xml:space="preserve">utilisation </w:t>
      </w:r>
      <w:r w:rsidRPr="00773261">
        <w:rPr>
          <w:lang w:val="fr-CH"/>
        </w:rPr>
        <w:t>d</w:t>
      </w:r>
      <w:r w:rsidR="00D56210">
        <w:rPr>
          <w:lang w:val="fr-CH"/>
        </w:rPr>
        <w:t>es</w:t>
      </w:r>
      <w:r w:rsidRPr="00773261">
        <w:rPr>
          <w:lang w:val="fr-CH"/>
        </w:rPr>
        <w:t xml:space="preserve"> diagramme</w:t>
      </w:r>
      <w:r w:rsidR="00D56210">
        <w:rPr>
          <w:lang w:val="fr-CH"/>
        </w:rPr>
        <w:t>s</w:t>
      </w:r>
      <w:r w:rsidRPr="00773261">
        <w:rPr>
          <w:lang w:val="fr-CH"/>
        </w:rPr>
        <w:t xml:space="preserve"> de rayonnement d</w:t>
      </w:r>
      <w:r w:rsidR="00AD13F0">
        <w:rPr>
          <w:lang w:val="fr-CH"/>
        </w:rPr>
        <w:t>'</w:t>
      </w:r>
      <w:r w:rsidRPr="00773261">
        <w:rPr>
          <w:lang w:val="fr-CH"/>
        </w:rPr>
        <w:t>antenne d</w:t>
      </w:r>
      <w:r w:rsidR="00AD13F0">
        <w:rPr>
          <w:lang w:val="fr-CH"/>
        </w:rPr>
        <w:t>'</w:t>
      </w:r>
      <w:r w:rsidRPr="00773261">
        <w:rPr>
          <w:lang w:val="fr-CH"/>
        </w:rPr>
        <w:t>une station terrienne propre</w:t>
      </w:r>
      <w:r w:rsidR="00D56210">
        <w:rPr>
          <w:lang w:val="fr-CH"/>
        </w:rPr>
        <w:t>s</w:t>
      </w:r>
      <w:r w:rsidRPr="00773261">
        <w:rPr>
          <w:lang w:val="fr-CH"/>
        </w:rPr>
        <w:t xml:space="preserve"> aux Appendices </w:t>
      </w:r>
      <w:r w:rsidRPr="005105ED">
        <w:rPr>
          <w:b/>
          <w:bCs/>
          <w:lang w:val="fr-CH"/>
        </w:rPr>
        <w:t>30</w:t>
      </w:r>
      <w:r w:rsidRPr="00773261">
        <w:rPr>
          <w:lang w:val="fr-CH"/>
        </w:rPr>
        <w:t xml:space="preserve"> et </w:t>
      </w:r>
      <w:r w:rsidRPr="005105ED">
        <w:rPr>
          <w:b/>
          <w:bCs/>
          <w:lang w:val="fr-CH"/>
        </w:rPr>
        <w:t>30A</w:t>
      </w:r>
      <w:r w:rsidRPr="00773261">
        <w:rPr>
          <w:lang w:val="fr-CH"/>
        </w:rPr>
        <w:t xml:space="preserve"> du RR pour les soumissions au titre de l</w:t>
      </w:r>
      <w:r w:rsidR="00AD13F0">
        <w:rPr>
          <w:lang w:val="fr-CH"/>
        </w:rPr>
        <w:t>'</w:t>
      </w:r>
      <w:r w:rsidRPr="00773261">
        <w:rPr>
          <w:lang w:val="fr-CH"/>
        </w:rPr>
        <w:t xml:space="preserve">Appendice </w:t>
      </w:r>
      <w:r w:rsidRPr="005105ED">
        <w:rPr>
          <w:b/>
          <w:bCs/>
          <w:lang w:val="fr-CH"/>
        </w:rPr>
        <w:t>30B</w:t>
      </w:r>
      <w:r w:rsidRPr="00773261">
        <w:rPr>
          <w:lang w:val="fr-CH"/>
        </w:rPr>
        <w:t xml:space="preserve"> du RR</w:t>
      </w:r>
      <w:r w:rsidR="00F52C52">
        <w:rPr>
          <w:lang w:val="fr-CH"/>
        </w:rPr>
        <w:t xml:space="preserve"> </w:t>
      </w:r>
      <w:r w:rsidRPr="00773261">
        <w:rPr>
          <w:lang w:val="fr-CH"/>
        </w:rPr>
        <w:t>(</w:t>
      </w:r>
      <w:r w:rsidR="005105ED">
        <w:rPr>
          <w:lang w:val="fr-CH"/>
        </w:rPr>
        <w:t>§ </w:t>
      </w:r>
      <w:r w:rsidRPr="00773261">
        <w:rPr>
          <w:lang w:val="fr-CH"/>
        </w:rPr>
        <w:t xml:space="preserve">3.2.5.4), </w:t>
      </w:r>
      <w:r>
        <w:rPr>
          <w:lang w:val="fr-CH"/>
        </w:rPr>
        <w:t xml:space="preserve">la </w:t>
      </w:r>
      <w:r w:rsidRPr="00773261">
        <w:rPr>
          <w:lang w:val="fr-CH"/>
        </w:rPr>
        <w:t xml:space="preserve">CEPT </w:t>
      </w:r>
      <w:r>
        <w:rPr>
          <w:lang w:val="fr-CH"/>
        </w:rPr>
        <w:t>est d</w:t>
      </w:r>
      <w:r w:rsidR="00AD13F0">
        <w:rPr>
          <w:lang w:val="fr-CH"/>
        </w:rPr>
        <w:t>'</w:t>
      </w:r>
      <w:r>
        <w:rPr>
          <w:lang w:val="fr-CH"/>
        </w:rPr>
        <w:t>avis qu</w:t>
      </w:r>
      <w:r w:rsidR="00AD13F0">
        <w:rPr>
          <w:lang w:val="fr-CH"/>
        </w:rPr>
        <w:t>'</w:t>
      </w:r>
      <w:r>
        <w:rPr>
          <w:lang w:val="fr-CH"/>
        </w:rPr>
        <w:t xml:space="preserve">il convient de </w:t>
      </w:r>
      <w:r w:rsidRPr="00773261">
        <w:rPr>
          <w:rFonts w:cs="CG Times"/>
          <w:lang w:val="fr-CH" w:eastAsia="fr-FR"/>
        </w:rPr>
        <w:t>continuer d</w:t>
      </w:r>
      <w:r w:rsidR="00AD13F0">
        <w:rPr>
          <w:rFonts w:cs="CG Times"/>
          <w:lang w:val="fr-CH" w:eastAsia="fr-FR"/>
        </w:rPr>
        <w:t>'</w:t>
      </w:r>
      <w:r w:rsidRPr="00773261">
        <w:rPr>
          <w:rFonts w:cs="CG Times"/>
          <w:lang w:val="fr-CH" w:eastAsia="fr-FR"/>
        </w:rPr>
        <w:t>accepter</w:t>
      </w:r>
      <w:r>
        <w:rPr>
          <w:rFonts w:cs="CG Times"/>
          <w:lang w:val="fr-CH" w:eastAsia="fr-FR"/>
        </w:rPr>
        <w:t xml:space="preserve"> à titre provisoire</w:t>
      </w:r>
      <w:r w:rsidRPr="00773261">
        <w:rPr>
          <w:rFonts w:cs="CG Times"/>
          <w:lang w:val="fr-CH" w:eastAsia="fr-FR"/>
        </w:rPr>
        <w:t xml:space="preserve"> le diagramme d</w:t>
      </w:r>
      <w:r w:rsidR="00AD13F0">
        <w:rPr>
          <w:rFonts w:cs="CG Times"/>
          <w:lang w:val="fr-CH" w:eastAsia="fr-FR"/>
        </w:rPr>
        <w:t>'</w:t>
      </w:r>
      <w:r w:rsidRPr="00773261">
        <w:rPr>
          <w:rFonts w:cs="CG Times"/>
          <w:lang w:val="fr-CH" w:eastAsia="fr-FR"/>
        </w:rPr>
        <w:t xml:space="preserve">antenne </w:t>
      </w:r>
      <w:r w:rsidRPr="00773261">
        <w:rPr>
          <w:lang w:val="fr-CH" w:eastAsia="fr-FR"/>
        </w:rPr>
        <w:t>MODRES</w:t>
      </w:r>
      <w:r w:rsidRPr="00773261">
        <w:rPr>
          <w:rFonts w:cs="CG Times"/>
          <w:lang w:val="fr-CH" w:eastAsia="fr-FR"/>
        </w:rPr>
        <w:t xml:space="preserve"> dans les nouvelles soumissions au titre de</w:t>
      </w:r>
      <w:r w:rsidRPr="00773261">
        <w:rPr>
          <w:lang w:val="fr-CH" w:eastAsia="fr-FR"/>
        </w:rPr>
        <w:t xml:space="preserve"> </w:t>
      </w:r>
      <w:r w:rsidRPr="00773261">
        <w:rPr>
          <w:rFonts w:cs="CG Times"/>
          <w:lang w:val="fr-CH" w:eastAsia="fr-FR"/>
        </w:rPr>
        <w:t>l</w:t>
      </w:r>
      <w:r w:rsidR="00AD13F0">
        <w:rPr>
          <w:rFonts w:cs="CG Times"/>
          <w:lang w:val="fr-CH" w:eastAsia="fr-FR"/>
        </w:rPr>
        <w:t>'</w:t>
      </w:r>
      <w:r w:rsidRPr="00773261">
        <w:rPr>
          <w:rFonts w:cs="CG Times"/>
          <w:lang w:val="fr-CH" w:eastAsia="fr-FR"/>
        </w:rPr>
        <w:t xml:space="preserve">Appendice </w:t>
      </w:r>
      <w:r w:rsidRPr="00773261">
        <w:rPr>
          <w:rFonts w:cs="CG Times"/>
          <w:b/>
          <w:bCs/>
          <w:lang w:val="fr-CH" w:eastAsia="fr-FR"/>
        </w:rPr>
        <w:t>30B</w:t>
      </w:r>
      <w:r w:rsidRPr="00773261">
        <w:rPr>
          <w:rFonts w:cs="CG Times"/>
          <w:lang w:val="fr-CH" w:eastAsia="fr-FR"/>
        </w:rPr>
        <w:t xml:space="preserve"> du RR</w:t>
      </w:r>
      <w:r w:rsidR="00D56210">
        <w:rPr>
          <w:rFonts w:cs="CG Times"/>
          <w:lang w:val="fr-CH" w:eastAsia="fr-FR"/>
        </w:rPr>
        <w:t>,</w:t>
      </w:r>
      <w:r>
        <w:rPr>
          <w:rFonts w:cs="CG Times"/>
          <w:lang w:val="fr-CH" w:eastAsia="fr-FR"/>
        </w:rPr>
        <w:t xml:space="preserve"> jusqu</w:t>
      </w:r>
      <w:r w:rsidR="00AD13F0">
        <w:rPr>
          <w:rFonts w:cs="CG Times"/>
          <w:lang w:val="fr-CH" w:eastAsia="fr-FR"/>
        </w:rPr>
        <w:t>'</w:t>
      </w:r>
      <w:r>
        <w:rPr>
          <w:rFonts w:cs="CG Times"/>
          <w:lang w:val="fr-CH" w:eastAsia="fr-FR"/>
        </w:rPr>
        <w:t>à ce qu</w:t>
      </w:r>
      <w:r w:rsidR="00AD13F0">
        <w:rPr>
          <w:rFonts w:cs="CG Times"/>
          <w:lang w:val="fr-CH" w:eastAsia="fr-FR"/>
        </w:rPr>
        <w:t>'</w:t>
      </w:r>
      <w:r>
        <w:rPr>
          <w:rFonts w:cs="CG Times"/>
          <w:lang w:val="fr-CH" w:eastAsia="fr-FR"/>
        </w:rPr>
        <w:t xml:space="preserve">une modification de la Recommandation </w:t>
      </w:r>
      <w:r>
        <w:rPr>
          <w:lang w:val="fr-CH"/>
        </w:rPr>
        <w:t>UIT</w:t>
      </w:r>
      <w:r w:rsidRPr="00773261">
        <w:rPr>
          <w:lang w:val="fr-CH"/>
        </w:rPr>
        <w:t xml:space="preserve">-R BO.1213 </w:t>
      </w:r>
      <w:r w:rsidR="00D56210">
        <w:rPr>
          <w:rFonts w:cs="CG Times"/>
          <w:lang w:val="fr-CH" w:eastAsia="fr-FR"/>
        </w:rPr>
        <w:t xml:space="preserve">ait été </w:t>
      </w:r>
      <w:r>
        <w:rPr>
          <w:rFonts w:cs="CG Times"/>
          <w:lang w:val="fr-CH" w:eastAsia="fr-FR"/>
        </w:rPr>
        <w:t>approuvée.</w:t>
      </w:r>
      <w:r>
        <w:rPr>
          <w:lang w:val="fr-CH"/>
        </w:rPr>
        <w:t xml:space="preserve"> Le diagramme de rayonnement </w:t>
      </w:r>
      <w:r w:rsidRPr="00773261">
        <w:rPr>
          <w:lang w:val="fr-CH"/>
        </w:rPr>
        <w:t>MODRES</w:t>
      </w:r>
      <w:r>
        <w:rPr>
          <w:lang w:val="fr-CH"/>
        </w:rPr>
        <w:t xml:space="preserve"> est très utilisé, non seulement pour les soumissions au titre de</w:t>
      </w:r>
      <w:r w:rsidR="00F52C52">
        <w:rPr>
          <w:lang w:val="fr-CH"/>
        </w:rPr>
        <w:t xml:space="preserve"> </w:t>
      </w:r>
      <w:r w:rsidRPr="00773261">
        <w:rPr>
          <w:lang w:val="fr-CH"/>
        </w:rPr>
        <w:t>l</w:t>
      </w:r>
      <w:r w:rsidR="00AD13F0">
        <w:rPr>
          <w:lang w:val="fr-CH"/>
        </w:rPr>
        <w:t>'</w:t>
      </w:r>
      <w:r w:rsidRPr="00773261">
        <w:rPr>
          <w:lang w:val="fr-CH"/>
        </w:rPr>
        <w:t>Appendice</w:t>
      </w:r>
      <w:r w:rsidR="005105ED">
        <w:rPr>
          <w:lang w:val="fr-CH"/>
        </w:rPr>
        <w:t> </w:t>
      </w:r>
      <w:r w:rsidRPr="005105ED">
        <w:rPr>
          <w:b/>
          <w:bCs/>
          <w:lang w:val="fr-CH"/>
        </w:rPr>
        <w:t>30</w:t>
      </w:r>
      <w:r w:rsidRPr="00773261">
        <w:rPr>
          <w:lang w:val="fr-CH"/>
        </w:rPr>
        <w:t xml:space="preserve"> et </w:t>
      </w:r>
      <w:r w:rsidRPr="005105ED">
        <w:rPr>
          <w:b/>
          <w:bCs/>
          <w:lang w:val="fr-CH"/>
        </w:rPr>
        <w:t>30A</w:t>
      </w:r>
      <w:r>
        <w:rPr>
          <w:lang w:val="fr-CH"/>
        </w:rPr>
        <w:t>, mais aussi d</w:t>
      </w:r>
      <w:r w:rsidR="00AD13F0">
        <w:rPr>
          <w:lang w:val="fr-CH"/>
        </w:rPr>
        <w:t>'</w:t>
      </w:r>
      <w:r>
        <w:rPr>
          <w:lang w:val="fr-CH"/>
        </w:rPr>
        <w:t>une manière générale.</w:t>
      </w:r>
      <w:r w:rsidRPr="00773261">
        <w:rPr>
          <w:lang w:val="fr-CH"/>
        </w:rPr>
        <w:t xml:space="preserve"> </w:t>
      </w:r>
      <w:r w:rsidR="00D56210">
        <w:rPr>
          <w:lang w:val="fr-CH"/>
        </w:rPr>
        <w:t>O</w:t>
      </w:r>
      <w:r w:rsidRPr="00773261">
        <w:rPr>
          <w:lang w:val="fr-CH"/>
        </w:rPr>
        <w:t xml:space="preserve">n privilégie </w:t>
      </w:r>
      <w:r w:rsidR="00D56210">
        <w:rPr>
          <w:lang w:val="fr-CH"/>
        </w:rPr>
        <w:t xml:space="preserve">en effet </w:t>
      </w:r>
      <w:r w:rsidRPr="00773261">
        <w:rPr>
          <w:lang w:val="fr-CH"/>
        </w:rPr>
        <w:t xml:space="preserve">le diagramme de rayonnement MODRES </w:t>
      </w:r>
      <w:r w:rsidR="00D56210">
        <w:rPr>
          <w:lang w:val="fr-CH"/>
        </w:rPr>
        <w:t xml:space="preserve">tant </w:t>
      </w:r>
      <w:r w:rsidRPr="00773261">
        <w:rPr>
          <w:lang w:val="fr-CH"/>
        </w:rPr>
        <w:t>pour la réception par le SRS</w:t>
      </w:r>
      <w:r>
        <w:rPr>
          <w:lang w:val="fr-CH"/>
        </w:rPr>
        <w:t xml:space="preserve"> </w:t>
      </w:r>
      <w:r w:rsidR="00D56210">
        <w:rPr>
          <w:lang w:val="fr-CH"/>
        </w:rPr>
        <w:t>que</w:t>
      </w:r>
      <w:r>
        <w:rPr>
          <w:lang w:val="fr-CH"/>
        </w:rPr>
        <w:t xml:space="preserve"> pour la réception </w:t>
      </w:r>
      <w:r w:rsidRPr="00773261">
        <w:rPr>
          <w:lang w:val="fr-CH"/>
        </w:rPr>
        <w:t xml:space="preserve">DTH </w:t>
      </w:r>
      <w:r>
        <w:rPr>
          <w:lang w:val="fr-CH"/>
        </w:rPr>
        <w:t>en général</w:t>
      </w:r>
      <w:r w:rsidR="00D56210">
        <w:rPr>
          <w:lang w:val="fr-CH"/>
        </w:rPr>
        <w:t>.</w:t>
      </w:r>
    </w:p>
    <w:p w14:paraId="68F1F7EB" w14:textId="4992B5C0" w:rsidR="00C00626" w:rsidRPr="00D91261" w:rsidRDefault="00C00626" w:rsidP="00D56210">
      <w:pPr>
        <w:rPr>
          <w:lang w:val="fr-CH"/>
        </w:rPr>
      </w:pPr>
      <w:r w:rsidRPr="00D91261">
        <w:rPr>
          <w:lang w:val="fr-CH"/>
        </w:rPr>
        <w:t>S</w:t>
      </w:r>
      <w:r w:rsidR="00AD13F0">
        <w:rPr>
          <w:lang w:val="fr-CH"/>
        </w:rPr>
        <w:t>'</w:t>
      </w:r>
      <w:r w:rsidRPr="00D91261">
        <w:rPr>
          <w:lang w:val="fr-CH"/>
        </w:rPr>
        <w:t>agissant de la possibilité d</w:t>
      </w:r>
      <w:r w:rsidR="00AD13F0">
        <w:rPr>
          <w:lang w:val="fr-CH"/>
        </w:rPr>
        <w:t>'</w:t>
      </w:r>
      <w:r w:rsidRPr="00D91261">
        <w:rPr>
          <w:lang w:val="fr-CH"/>
        </w:rPr>
        <w:t>aligner</w:t>
      </w:r>
      <w:r w:rsidR="00F52C52">
        <w:rPr>
          <w:lang w:val="fr-CH"/>
        </w:rPr>
        <w:t xml:space="preserve"> </w:t>
      </w:r>
      <w:r w:rsidRPr="00D91261">
        <w:rPr>
          <w:lang w:val="fr-CH"/>
        </w:rPr>
        <w:t>la zone de couverture et</w:t>
      </w:r>
      <w:r w:rsidR="00F52C52">
        <w:rPr>
          <w:lang w:val="fr-CH"/>
        </w:rPr>
        <w:t xml:space="preserve"> </w:t>
      </w:r>
      <w:r w:rsidRPr="00D91261">
        <w:rPr>
          <w:lang w:val="fr-CH"/>
        </w:rPr>
        <w:t>la zone de service pour les soumissions au titre de l</w:t>
      </w:r>
      <w:r w:rsidR="00AD13F0">
        <w:rPr>
          <w:lang w:val="fr-CH"/>
        </w:rPr>
        <w:t>'</w:t>
      </w:r>
      <w:r w:rsidRPr="00D91261">
        <w:rPr>
          <w:lang w:val="fr-CH"/>
        </w:rPr>
        <w:t xml:space="preserve">Appendice </w:t>
      </w:r>
      <w:r w:rsidRPr="005105ED">
        <w:rPr>
          <w:b/>
          <w:bCs/>
          <w:lang w:val="fr-CH"/>
        </w:rPr>
        <w:t>30B</w:t>
      </w:r>
      <w:r w:rsidRPr="00D91261">
        <w:rPr>
          <w:lang w:val="fr-CH"/>
        </w:rPr>
        <w:t xml:space="preserve"> du RR</w:t>
      </w:r>
      <w:r w:rsidR="00F52C52">
        <w:rPr>
          <w:lang w:val="fr-CH"/>
        </w:rPr>
        <w:t xml:space="preserve"> </w:t>
      </w:r>
      <w:r w:rsidRPr="00D91261">
        <w:rPr>
          <w:lang w:val="fr-CH"/>
        </w:rPr>
        <w:t>(</w:t>
      </w:r>
      <w:r w:rsidR="005105ED">
        <w:rPr>
          <w:lang w:val="fr-CH"/>
        </w:rPr>
        <w:t xml:space="preserve">§ </w:t>
      </w:r>
      <w:r w:rsidRPr="00D91261">
        <w:rPr>
          <w:lang w:val="fr-CH"/>
        </w:rPr>
        <w:t>3.2.5.5) et de la modification en conséquence de l</w:t>
      </w:r>
      <w:r w:rsidR="00AD13F0">
        <w:rPr>
          <w:lang w:val="fr-CH"/>
        </w:rPr>
        <w:t>'</w:t>
      </w:r>
      <w:r w:rsidRPr="00D91261">
        <w:rPr>
          <w:lang w:val="fr-CH"/>
        </w:rPr>
        <w:t>élément</w:t>
      </w:r>
      <w:r w:rsidR="00D56210">
        <w:rPr>
          <w:lang w:val="fr-CH"/>
        </w:rPr>
        <w:t xml:space="preserve"> de données</w:t>
      </w:r>
      <w:r w:rsidRPr="00D91261">
        <w:rPr>
          <w:lang w:val="fr-CH"/>
        </w:rPr>
        <w:t xml:space="preserve"> B.3.b.1 de l</w:t>
      </w:r>
      <w:r w:rsidR="00AD13F0">
        <w:rPr>
          <w:lang w:val="fr-CH"/>
        </w:rPr>
        <w:t>'</w:t>
      </w:r>
      <w:r w:rsidRPr="00D91261">
        <w:rPr>
          <w:lang w:val="fr-CH"/>
        </w:rPr>
        <w:t>Annexe 2 de l</w:t>
      </w:r>
      <w:r w:rsidR="00AD13F0">
        <w:rPr>
          <w:lang w:val="fr-CH"/>
        </w:rPr>
        <w:t>'</w:t>
      </w:r>
      <w:r w:rsidRPr="00D91261">
        <w:rPr>
          <w:lang w:val="fr-CH"/>
        </w:rPr>
        <w:t xml:space="preserve">Appendice </w:t>
      </w:r>
      <w:r w:rsidRPr="00D91261">
        <w:rPr>
          <w:b/>
          <w:bCs/>
          <w:lang w:val="fr-CH"/>
        </w:rPr>
        <w:t>4</w:t>
      </w:r>
      <w:r w:rsidRPr="00D91261">
        <w:rPr>
          <w:lang w:val="fr-CH"/>
        </w:rPr>
        <w:t xml:space="preserve"> du</w:t>
      </w:r>
      <w:r w:rsidR="00F52C52">
        <w:rPr>
          <w:lang w:val="fr-CH"/>
        </w:rPr>
        <w:t xml:space="preserve"> </w:t>
      </w:r>
      <w:r w:rsidRPr="00D91261">
        <w:rPr>
          <w:bCs/>
          <w:lang w:val="fr-CH"/>
        </w:rPr>
        <w:t>RR</w:t>
      </w:r>
      <w:r w:rsidRPr="00D91261">
        <w:rPr>
          <w:lang w:val="fr-CH"/>
        </w:rPr>
        <w:t xml:space="preserve">, </w:t>
      </w:r>
      <w:r>
        <w:rPr>
          <w:lang w:val="fr-CH"/>
        </w:rPr>
        <w:t xml:space="preserve">la </w:t>
      </w:r>
      <w:r w:rsidRPr="00D91261">
        <w:rPr>
          <w:lang w:val="fr-CH"/>
        </w:rPr>
        <w:t xml:space="preserve">CEPT </w:t>
      </w:r>
      <w:r>
        <w:rPr>
          <w:lang w:val="fr-CH"/>
        </w:rPr>
        <w:t>ne voit pas la nécessité d</w:t>
      </w:r>
      <w:r w:rsidR="00AD13F0">
        <w:rPr>
          <w:lang w:val="fr-CH"/>
        </w:rPr>
        <w:t>'</w:t>
      </w:r>
      <w:r>
        <w:rPr>
          <w:lang w:val="fr-CH"/>
        </w:rPr>
        <w:t xml:space="preserve">aligner la zone de couverture et la zone de service </w:t>
      </w:r>
      <w:r w:rsidRPr="00D91261">
        <w:rPr>
          <w:lang w:val="fr-CH"/>
        </w:rPr>
        <w:t>pour les soumissions au titre de l</w:t>
      </w:r>
      <w:r w:rsidR="00AD13F0">
        <w:rPr>
          <w:lang w:val="fr-CH"/>
        </w:rPr>
        <w:t>'</w:t>
      </w:r>
      <w:r w:rsidRPr="00D91261">
        <w:rPr>
          <w:lang w:val="fr-CH"/>
        </w:rPr>
        <w:t xml:space="preserve">Appendice </w:t>
      </w:r>
      <w:r w:rsidRPr="005105ED">
        <w:rPr>
          <w:b/>
          <w:bCs/>
          <w:lang w:val="fr-CH"/>
        </w:rPr>
        <w:t>30B</w:t>
      </w:r>
      <w:r w:rsidRPr="00D91261">
        <w:rPr>
          <w:lang w:val="fr-CH"/>
        </w:rPr>
        <w:t xml:space="preserve"> du RR</w:t>
      </w:r>
      <w:r w:rsidR="00F52C52">
        <w:rPr>
          <w:lang w:val="fr-CH"/>
        </w:rPr>
        <w:t xml:space="preserve"> </w:t>
      </w:r>
      <w:r w:rsidRPr="00D91261">
        <w:rPr>
          <w:bCs/>
          <w:lang w:val="fr-CH"/>
        </w:rPr>
        <w:t>et préfère qu</w:t>
      </w:r>
      <w:r w:rsidR="00AD13F0">
        <w:rPr>
          <w:bCs/>
          <w:lang w:val="fr-CH"/>
        </w:rPr>
        <w:t>'</w:t>
      </w:r>
      <w:r w:rsidRPr="00D91261">
        <w:rPr>
          <w:bCs/>
          <w:lang w:val="fr-CH"/>
        </w:rPr>
        <w:t>une certaine souplesse soit conservée pour la définition des zones de couverture de</w:t>
      </w:r>
      <w:r w:rsidR="00E97902">
        <w:rPr>
          <w:bCs/>
          <w:lang w:val="fr-CH"/>
        </w:rPr>
        <w:t>s</w:t>
      </w:r>
      <w:r w:rsidRPr="00D91261">
        <w:rPr>
          <w:bCs/>
          <w:lang w:val="fr-CH"/>
        </w:rPr>
        <w:t xml:space="preserve"> faisceau</w:t>
      </w:r>
      <w:r>
        <w:rPr>
          <w:bCs/>
          <w:lang w:val="fr-CH"/>
        </w:rPr>
        <w:t>x</w:t>
      </w:r>
      <w:r w:rsidRPr="00D91261">
        <w:rPr>
          <w:bCs/>
          <w:lang w:val="fr-CH"/>
        </w:rPr>
        <w:t xml:space="preserve"> fixe</w:t>
      </w:r>
      <w:r>
        <w:rPr>
          <w:bCs/>
          <w:lang w:val="fr-CH"/>
        </w:rPr>
        <w:t>s</w:t>
      </w:r>
      <w:r w:rsidRPr="00D91261">
        <w:rPr>
          <w:bCs/>
          <w:lang w:val="fr-CH"/>
        </w:rPr>
        <w:t xml:space="preserve"> dans les soumissions au</w:t>
      </w:r>
      <w:r w:rsidR="00F52C52">
        <w:rPr>
          <w:bCs/>
          <w:lang w:val="fr-CH"/>
        </w:rPr>
        <w:t xml:space="preserve"> </w:t>
      </w:r>
      <w:r w:rsidRPr="00D91261">
        <w:rPr>
          <w:bCs/>
          <w:lang w:val="fr-CH"/>
        </w:rPr>
        <w:t>BR</w:t>
      </w:r>
      <w:r>
        <w:rPr>
          <w:bCs/>
          <w:lang w:val="fr-CH"/>
        </w:rPr>
        <w:t xml:space="preserve">. </w:t>
      </w:r>
      <w:r w:rsidRPr="00D91261">
        <w:rPr>
          <w:bCs/>
          <w:lang w:val="fr-CH"/>
        </w:rPr>
        <w:t>De surcroît, il convient de souligner que les modifications susceptibles d</w:t>
      </w:r>
      <w:r w:rsidR="00AD13F0">
        <w:rPr>
          <w:bCs/>
          <w:lang w:val="fr-CH"/>
        </w:rPr>
        <w:t>'</w:t>
      </w:r>
      <w:r w:rsidRPr="00D91261">
        <w:rPr>
          <w:bCs/>
          <w:lang w:val="fr-CH"/>
        </w:rPr>
        <w:t>être apportée</w:t>
      </w:r>
      <w:r>
        <w:rPr>
          <w:bCs/>
          <w:lang w:val="fr-CH"/>
        </w:rPr>
        <w:t>s</w:t>
      </w:r>
      <w:r w:rsidRPr="00D91261">
        <w:rPr>
          <w:bCs/>
          <w:lang w:val="fr-CH"/>
        </w:rPr>
        <w:t xml:space="preserve"> à cet élément</w:t>
      </w:r>
      <w:r>
        <w:rPr>
          <w:bCs/>
          <w:lang w:val="fr-CH"/>
        </w:rPr>
        <w:t xml:space="preserve"> </w:t>
      </w:r>
      <w:r w:rsidR="00D56210">
        <w:rPr>
          <w:bCs/>
          <w:lang w:val="fr-CH"/>
        </w:rPr>
        <w:t xml:space="preserve">de données </w:t>
      </w:r>
      <w:r>
        <w:rPr>
          <w:bCs/>
          <w:lang w:val="fr-CH"/>
        </w:rPr>
        <w:t>auraient des répercussions plus vastes, qui ne se limiteraient pas aux soumissions futures au titre de</w:t>
      </w:r>
      <w:r w:rsidR="00F52C52">
        <w:rPr>
          <w:b/>
          <w:lang w:val="fr-CH"/>
        </w:rPr>
        <w:t xml:space="preserve"> </w:t>
      </w:r>
      <w:r w:rsidRPr="00D91261">
        <w:rPr>
          <w:lang w:val="fr-CH"/>
        </w:rPr>
        <w:t>l</w:t>
      </w:r>
      <w:r w:rsidR="00AD13F0">
        <w:rPr>
          <w:lang w:val="fr-CH"/>
        </w:rPr>
        <w:t>'</w:t>
      </w:r>
      <w:r w:rsidRPr="00D91261">
        <w:rPr>
          <w:lang w:val="fr-CH"/>
        </w:rPr>
        <w:t>Appendice</w:t>
      </w:r>
      <w:r w:rsidR="00F52C52">
        <w:rPr>
          <w:lang w:val="fr-CH"/>
        </w:rPr>
        <w:t xml:space="preserve"> </w:t>
      </w:r>
      <w:r w:rsidRPr="00D91261">
        <w:rPr>
          <w:b/>
          <w:lang w:val="fr-CH"/>
        </w:rPr>
        <w:t>30B</w:t>
      </w:r>
      <w:r w:rsidRPr="00D91261">
        <w:rPr>
          <w:bCs/>
          <w:lang w:val="fr-CH"/>
        </w:rPr>
        <w:t xml:space="preserve"> du RR</w:t>
      </w:r>
      <w:r w:rsidR="009327E9">
        <w:rPr>
          <w:lang w:val="fr-CH"/>
        </w:rPr>
        <w:t>.</w:t>
      </w:r>
    </w:p>
    <w:p w14:paraId="25C0EEFB" w14:textId="260DFCED" w:rsidR="00C00626" w:rsidRPr="00D91261" w:rsidRDefault="00C00626" w:rsidP="00D56210">
      <w:pPr>
        <w:rPr>
          <w:lang w:val="fr-CH"/>
        </w:rPr>
      </w:pPr>
      <w:r w:rsidRPr="00D91261">
        <w:rPr>
          <w:lang w:val="fr-CH"/>
        </w:rPr>
        <w:t>Pour ce qui est des propositions</w:t>
      </w:r>
      <w:r w:rsidR="00F52C52">
        <w:rPr>
          <w:lang w:val="fr-CH"/>
        </w:rPr>
        <w:t xml:space="preserve"> </w:t>
      </w:r>
      <w:r w:rsidRPr="00D91261">
        <w:rPr>
          <w:lang w:val="fr-CH"/>
        </w:rPr>
        <w:t>de modification du § 6.21 de l</w:t>
      </w:r>
      <w:r w:rsidR="00AD13F0">
        <w:rPr>
          <w:lang w:val="fr-CH"/>
        </w:rPr>
        <w:t>'</w:t>
      </w:r>
      <w:r w:rsidRPr="00D91261">
        <w:rPr>
          <w:lang w:val="fr-CH"/>
        </w:rPr>
        <w:t xml:space="preserve">Appendice </w:t>
      </w:r>
      <w:r w:rsidRPr="005105ED">
        <w:rPr>
          <w:b/>
          <w:lang w:val="fr-CH"/>
        </w:rPr>
        <w:t>30B</w:t>
      </w:r>
      <w:r w:rsidRPr="00D91261">
        <w:rPr>
          <w:lang w:val="fr-CH"/>
        </w:rPr>
        <w:t xml:space="preserve"> </w:t>
      </w:r>
      <w:r w:rsidRPr="00D91261">
        <w:rPr>
          <w:bCs/>
          <w:lang w:val="fr-CH"/>
        </w:rPr>
        <w:t>du RR</w:t>
      </w:r>
      <w:r w:rsidRPr="00D91261">
        <w:rPr>
          <w:lang w:val="fr-CH"/>
        </w:rPr>
        <w:t xml:space="preserve"> (</w:t>
      </w:r>
      <w:r w:rsidR="005105ED">
        <w:rPr>
          <w:lang w:val="fr-CH"/>
        </w:rPr>
        <w:t xml:space="preserve">§ </w:t>
      </w:r>
      <w:r w:rsidRPr="00D91261">
        <w:rPr>
          <w:lang w:val="fr-CH"/>
        </w:rPr>
        <w:t>3.2.5.8), la CEPT est favorable à la suggestion du Bureau visant à modifier le</w:t>
      </w:r>
      <w:r w:rsidR="00F52C52">
        <w:rPr>
          <w:lang w:val="fr-CH"/>
        </w:rPr>
        <w:t xml:space="preserve"> </w:t>
      </w:r>
      <w:r w:rsidRPr="00D91261">
        <w:rPr>
          <w:lang w:val="fr-CH"/>
        </w:rPr>
        <w:t xml:space="preserve">§ 6.21 </w:t>
      </w:r>
      <w:r>
        <w:rPr>
          <w:lang w:val="fr-CH"/>
        </w:rPr>
        <w:t>de</w:t>
      </w:r>
      <w:r w:rsidRPr="00D91261">
        <w:rPr>
          <w:lang w:val="fr-CH"/>
        </w:rPr>
        <w:t xml:space="preserve"> l</w:t>
      </w:r>
      <w:r w:rsidR="00AD13F0">
        <w:rPr>
          <w:lang w:val="fr-CH"/>
        </w:rPr>
        <w:t>'</w:t>
      </w:r>
      <w:r w:rsidRPr="00D91261">
        <w:rPr>
          <w:lang w:val="fr-CH"/>
        </w:rPr>
        <w:t>Appendice</w:t>
      </w:r>
      <w:r w:rsidR="00F52C52">
        <w:rPr>
          <w:lang w:val="fr-CH"/>
        </w:rPr>
        <w:t xml:space="preserve"> </w:t>
      </w:r>
      <w:r w:rsidRPr="00D91261">
        <w:rPr>
          <w:b/>
          <w:lang w:val="fr-CH"/>
        </w:rPr>
        <w:t>30B</w:t>
      </w:r>
      <w:r w:rsidRPr="00D91261">
        <w:rPr>
          <w:lang w:val="fr-CH"/>
        </w:rPr>
        <w:t xml:space="preserve"> </w:t>
      </w:r>
      <w:r w:rsidRPr="00D91261">
        <w:rPr>
          <w:bCs/>
          <w:lang w:val="fr-CH"/>
        </w:rPr>
        <w:t>du RR</w:t>
      </w:r>
      <w:r w:rsidR="00F52C52">
        <w:rPr>
          <w:b/>
          <w:lang w:val="fr-CH"/>
        </w:rPr>
        <w:t>,</w:t>
      </w:r>
      <w:r>
        <w:rPr>
          <w:b/>
          <w:lang w:val="fr-CH"/>
        </w:rPr>
        <w:t xml:space="preserve"> </w:t>
      </w:r>
      <w:r w:rsidRPr="00D91261">
        <w:rPr>
          <w:bCs/>
          <w:lang w:val="fr-CH"/>
        </w:rPr>
        <w:t>afin de tenir compte également des réseaux à l</w:t>
      </w:r>
      <w:r w:rsidR="00AD13F0">
        <w:rPr>
          <w:bCs/>
          <w:lang w:val="fr-CH"/>
        </w:rPr>
        <w:t>'</w:t>
      </w:r>
      <w:r w:rsidRPr="00D91261">
        <w:rPr>
          <w:bCs/>
          <w:lang w:val="fr-CH"/>
        </w:rPr>
        <w:t>examen qui n</w:t>
      </w:r>
      <w:r w:rsidR="00AD13F0">
        <w:rPr>
          <w:bCs/>
          <w:lang w:val="fr-CH"/>
        </w:rPr>
        <w:t>'</w:t>
      </w:r>
      <w:r w:rsidRPr="00D91261">
        <w:rPr>
          <w:bCs/>
          <w:lang w:val="fr-CH"/>
        </w:rPr>
        <w:t>ont pas été identifiés comme étant affectés au titre du</w:t>
      </w:r>
      <w:r>
        <w:rPr>
          <w:lang w:val="fr-CH"/>
        </w:rPr>
        <w:t xml:space="preserve"> </w:t>
      </w:r>
      <w:r w:rsidRPr="00D91261">
        <w:rPr>
          <w:lang w:val="fr-CH"/>
        </w:rPr>
        <w:t xml:space="preserve">§ 6.5 </w:t>
      </w:r>
      <w:r>
        <w:rPr>
          <w:lang w:val="fr-CH"/>
        </w:rPr>
        <w:t>de</w:t>
      </w:r>
      <w:r w:rsidRPr="00D91261">
        <w:rPr>
          <w:lang w:val="fr-CH"/>
        </w:rPr>
        <w:t xml:space="preserve"> l</w:t>
      </w:r>
      <w:r w:rsidR="00AD13F0">
        <w:rPr>
          <w:lang w:val="fr-CH"/>
        </w:rPr>
        <w:t>'</w:t>
      </w:r>
      <w:r w:rsidRPr="00D91261">
        <w:rPr>
          <w:lang w:val="fr-CH"/>
        </w:rPr>
        <w:t>Appendice</w:t>
      </w:r>
      <w:r w:rsidR="00F52C52">
        <w:rPr>
          <w:lang w:val="fr-CH"/>
        </w:rPr>
        <w:t xml:space="preserve"> </w:t>
      </w:r>
      <w:r w:rsidRPr="00D91261">
        <w:rPr>
          <w:b/>
          <w:lang w:val="fr-CH"/>
        </w:rPr>
        <w:t>30B</w:t>
      </w:r>
      <w:r w:rsidRPr="00D91261">
        <w:rPr>
          <w:bCs/>
          <w:lang w:val="fr-CH"/>
        </w:rPr>
        <w:t xml:space="preserve"> du RR</w:t>
      </w:r>
      <w:r w:rsidRPr="00D91261">
        <w:rPr>
          <w:lang w:val="fr-CH"/>
        </w:rPr>
        <w:t>.</w:t>
      </w:r>
    </w:p>
    <w:p w14:paraId="759CC947" w14:textId="5E41B445" w:rsidR="00C00626" w:rsidRPr="001D19B7" w:rsidRDefault="00C00626" w:rsidP="00D56210">
      <w:pPr>
        <w:rPr>
          <w:lang w:val="fr-CH"/>
        </w:rPr>
      </w:pPr>
      <w:r w:rsidRPr="001D19B7">
        <w:rPr>
          <w:lang w:val="fr-CH"/>
        </w:rPr>
        <w:t>Concernant les assignations</w:t>
      </w:r>
      <w:r w:rsidR="00F52C52">
        <w:rPr>
          <w:lang w:val="fr-CH"/>
        </w:rPr>
        <w:t xml:space="preserve"> </w:t>
      </w:r>
      <w:r w:rsidRPr="001D19B7">
        <w:rPr>
          <w:rFonts w:eastAsia="SimSun"/>
          <w:lang w:val="fr-CH"/>
        </w:rPr>
        <w:t>ayant une couverture mondiale ou régionale, mais une petite zone de service dans l</w:t>
      </w:r>
      <w:r w:rsidR="00AD13F0">
        <w:rPr>
          <w:rFonts w:eastAsia="SimSun"/>
          <w:lang w:val="fr-CH"/>
        </w:rPr>
        <w:t>'</w:t>
      </w:r>
      <w:r w:rsidRPr="001D19B7">
        <w:rPr>
          <w:rFonts w:eastAsia="SimSun"/>
          <w:lang w:val="fr-CH"/>
        </w:rPr>
        <w:t xml:space="preserve">Appendice </w:t>
      </w:r>
      <w:r w:rsidRPr="005105ED">
        <w:rPr>
          <w:rFonts w:eastAsia="SimSun"/>
          <w:b/>
          <w:bCs/>
          <w:lang w:val="fr-CH"/>
        </w:rPr>
        <w:t>30B</w:t>
      </w:r>
      <w:r w:rsidR="00F52C52">
        <w:rPr>
          <w:lang w:val="fr-CH"/>
        </w:rPr>
        <w:t xml:space="preserve"> </w:t>
      </w:r>
      <w:r w:rsidRPr="001D19B7">
        <w:rPr>
          <w:bCs/>
          <w:lang w:val="fr-CH"/>
        </w:rPr>
        <w:t>du RR</w:t>
      </w:r>
      <w:r w:rsidRPr="001D19B7">
        <w:rPr>
          <w:lang w:val="fr-CH"/>
        </w:rPr>
        <w:t xml:space="preserve"> (</w:t>
      </w:r>
      <w:r w:rsidR="005105ED">
        <w:rPr>
          <w:lang w:val="fr-CH"/>
        </w:rPr>
        <w:t xml:space="preserve">§ </w:t>
      </w:r>
      <w:r w:rsidRPr="001D19B7">
        <w:rPr>
          <w:lang w:val="fr-CH"/>
        </w:rPr>
        <w:t>3.2.5.9)</w:t>
      </w:r>
      <w:r w:rsidR="00F52C52">
        <w:rPr>
          <w:lang w:val="fr-CH"/>
        </w:rPr>
        <w:t>,</w:t>
      </w:r>
      <w:r w:rsidRPr="001D19B7">
        <w:rPr>
          <w:lang w:val="fr-CH"/>
        </w:rPr>
        <w:t xml:space="preserve"> la CEPT </w:t>
      </w:r>
      <w:r>
        <w:rPr>
          <w:lang w:val="fr-CH"/>
        </w:rPr>
        <w:t xml:space="preserve">insiste sur le fait que cette question est délicate, en ce sens que les administrations doivent </w:t>
      </w:r>
      <w:r w:rsidR="00D56210">
        <w:rPr>
          <w:lang w:val="fr-CH"/>
        </w:rPr>
        <w:t xml:space="preserve">expressément </w:t>
      </w:r>
      <w:r>
        <w:rPr>
          <w:lang w:val="fr-CH"/>
        </w:rPr>
        <w:t>donner</w:t>
      </w:r>
      <w:r w:rsidR="00F52C52">
        <w:rPr>
          <w:color w:val="000000"/>
          <w:lang w:val="fr-CH"/>
        </w:rPr>
        <w:t xml:space="preserve"> </w:t>
      </w:r>
      <w:r w:rsidRPr="001D19B7">
        <w:rPr>
          <w:color w:val="000000"/>
          <w:lang w:val="fr-CH"/>
        </w:rPr>
        <w:t>leur accord en vue d</w:t>
      </w:r>
      <w:r w:rsidR="00AD13F0">
        <w:rPr>
          <w:color w:val="000000"/>
          <w:lang w:val="fr-CH"/>
        </w:rPr>
        <w:t>'</w:t>
      </w:r>
      <w:r w:rsidRPr="001D19B7">
        <w:rPr>
          <w:color w:val="000000"/>
          <w:lang w:val="fr-CH"/>
        </w:rPr>
        <w:t>être incluses dans la zone de service.</w:t>
      </w:r>
      <w:r w:rsidR="00F52C52">
        <w:rPr>
          <w:lang w:val="fr-CH"/>
        </w:rPr>
        <w:t xml:space="preserve"> </w:t>
      </w:r>
      <w:r w:rsidRPr="001D19B7">
        <w:rPr>
          <w:lang w:val="fr-CH"/>
        </w:rPr>
        <w:t>Étant donné qu</w:t>
      </w:r>
      <w:r w:rsidR="00AD13F0">
        <w:rPr>
          <w:lang w:val="fr-CH"/>
        </w:rPr>
        <w:t>'</w:t>
      </w:r>
      <w:r w:rsidRPr="001D19B7">
        <w:rPr>
          <w:lang w:val="fr-CH"/>
        </w:rPr>
        <w:t>un satellite doit être commandé 3 ou 4 ans avant l</w:t>
      </w:r>
      <w:r w:rsidR="00AD13F0">
        <w:rPr>
          <w:lang w:val="fr-CH"/>
        </w:rPr>
        <w:t>'</w:t>
      </w:r>
      <w:r w:rsidRPr="001D19B7">
        <w:rPr>
          <w:lang w:val="fr-CH"/>
        </w:rPr>
        <w:t>expiration du délai de 8 ans, il est difficile de savoir à l</w:t>
      </w:r>
      <w:r w:rsidR="00AD13F0">
        <w:rPr>
          <w:lang w:val="fr-CH"/>
        </w:rPr>
        <w:t>'</w:t>
      </w:r>
      <w:r w:rsidRPr="001D19B7">
        <w:rPr>
          <w:lang w:val="fr-CH"/>
        </w:rPr>
        <w:t>avance quels pays donneront en définitive leur accord pour être inclus dans la zone de service</w:t>
      </w:r>
      <w:r w:rsidR="00F52C52">
        <w:rPr>
          <w:lang w:val="fr-CH"/>
        </w:rPr>
        <w:t>.</w:t>
      </w:r>
      <w:r>
        <w:rPr>
          <w:lang w:val="fr-CH"/>
        </w:rPr>
        <w:t xml:space="preserve"> En conséquence,</w:t>
      </w:r>
      <w:r w:rsidR="00F52C52">
        <w:rPr>
          <w:lang w:val="fr-CH"/>
        </w:rPr>
        <w:t xml:space="preserve"> </w:t>
      </w:r>
      <w:r w:rsidRPr="001D19B7">
        <w:rPr>
          <w:lang w:val="fr-CH"/>
        </w:rPr>
        <w:t xml:space="preserve">la CEPT </w:t>
      </w:r>
      <w:r>
        <w:rPr>
          <w:lang w:val="fr-CH"/>
        </w:rPr>
        <w:t>ne souscrit pas à la suggestion du Bureau.</w:t>
      </w:r>
    </w:p>
    <w:p w14:paraId="1AE2AE8B" w14:textId="32985812" w:rsidR="00C00626" w:rsidRPr="001D19B7" w:rsidRDefault="00C00626" w:rsidP="00D56210">
      <w:pPr>
        <w:rPr>
          <w:lang w:val="fr-CH"/>
        </w:rPr>
      </w:pPr>
      <w:r w:rsidRPr="001D19B7">
        <w:rPr>
          <w:lang w:val="fr-CH"/>
        </w:rPr>
        <w:t>Pour ce qui est de la mise à jour éventuel</w:t>
      </w:r>
      <w:r>
        <w:rPr>
          <w:lang w:val="fr-CH"/>
        </w:rPr>
        <w:t>le</w:t>
      </w:r>
      <w:r w:rsidRPr="001D19B7">
        <w:rPr>
          <w:lang w:val="fr-CH"/>
        </w:rPr>
        <w:t xml:space="preserve"> de </w:t>
      </w:r>
      <w:r w:rsidRPr="001D19B7">
        <w:rPr>
          <w:rFonts w:eastAsia="SimSun"/>
          <w:lang w:val="fr-CH"/>
        </w:rPr>
        <w:t>l</w:t>
      </w:r>
      <w:r w:rsidR="00AD13F0">
        <w:rPr>
          <w:rFonts w:eastAsia="SimSun"/>
          <w:lang w:val="fr-CH"/>
        </w:rPr>
        <w:t>'</w:t>
      </w:r>
      <w:r w:rsidRPr="001D19B7">
        <w:rPr>
          <w:rFonts w:eastAsia="SimSun"/>
          <w:lang w:val="fr-CH"/>
        </w:rPr>
        <w:t>Article 10 de l</w:t>
      </w:r>
      <w:r w:rsidR="00AD13F0">
        <w:rPr>
          <w:rFonts w:eastAsia="SimSun"/>
          <w:lang w:val="fr-CH"/>
        </w:rPr>
        <w:t>'</w:t>
      </w:r>
      <w:r w:rsidRPr="001D19B7">
        <w:rPr>
          <w:rFonts w:eastAsia="SimSun"/>
          <w:lang w:val="fr-CH"/>
        </w:rPr>
        <w:t>Appendice </w:t>
      </w:r>
      <w:r w:rsidRPr="005105ED">
        <w:rPr>
          <w:rFonts w:eastAsia="SimSun"/>
          <w:b/>
          <w:bCs/>
          <w:lang w:val="fr-CH"/>
        </w:rPr>
        <w:t>30B</w:t>
      </w:r>
      <w:r w:rsidR="00F52C52">
        <w:rPr>
          <w:lang w:val="fr-CH"/>
        </w:rPr>
        <w:t xml:space="preserve"> </w:t>
      </w:r>
      <w:r w:rsidRPr="001D19B7">
        <w:rPr>
          <w:bCs/>
          <w:lang w:val="fr-CH"/>
        </w:rPr>
        <w:t>du RR</w:t>
      </w:r>
      <w:r w:rsidRPr="001D19B7">
        <w:rPr>
          <w:b/>
          <w:lang w:val="fr-CH"/>
        </w:rPr>
        <w:t xml:space="preserve"> </w:t>
      </w:r>
      <w:r w:rsidRPr="001D19B7">
        <w:rPr>
          <w:lang w:val="fr-CH"/>
        </w:rPr>
        <w:t>(</w:t>
      </w:r>
      <w:r w:rsidR="005105ED">
        <w:rPr>
          <w:lang w:val="fr-CH"/>
        </w:rPr>
        <w:t xml:space="preserve">§ </w:t>
      </w:r>
      <w:r w:rsidRPr="001D19B7">
        <w:rPr>
          <w:lang w:val="fr-CH"/>
        </w:rPr>
        <w:t>3.2.5.10), la CEPT</w:t>
      </w:r>
      <w:r w:rsidR="00F52C52">
        <w:rPr>
          <w:lang w:val="fr-CH"/>
        </w:rPr>
        <w:t xml:space="preserve"> </w:t>
      </w:r>
      <w:r>
        <w:rPr>
          <w:lang w:val="fr-CH"/>
        </w:rPr>
        <w:t>appuie la suggestion du Bureau</w:t>
      </w:r>
      <w:r w:rsidR="009327E9">
        <w:rPr>
          <w:lang w:val="fr-CH"/>
        </w:rPr>
        <w:t>.</w:t>
      </w:r>
    </w:p>
    <w:p w14:paraId="054EC6D1" w14:textId="794F60EB" w:rsidR="00C00626" w:rsidRPr="001D19B7" w:rsidRDefault="005105ED" w:rsidP="00D56210">
      <w:pPr>
        <w:rPr>
          <w:lang w:val="fr-CH"/>
        </w:rPr>
      </w:pPr>
      <w:r>
        <w:rPr>
          <w:lang w:val="fr-CH"/>
        </w:rPr>
        <w:t>S'agissant</w:t>
      </w:r>
      <w:r w:rsidR="00C00626" w:rsidRPr="001D19B7">
        <w:rPr>
          <w:lang w:val="fr-CH"/>
        </w:rPr>
        <w:t xml:space="preserve"> de la révision éventuelle de l</w:t>
      </w:r>
      <w:r w:rsidR="00AD13F0">
        <w:rPr>
          <w:lang w:val="fr-CH"/>
        </w:rPr>
        <w:t>'</w:t>
      </w:r>
      <w:r w:rsidR="00C00626" w:rsidRPr="001D19B7">
        <w:rPr>
          <w:lang w:val="fr-CH"/>
        </w:rPr>
        <w:t xml:space="preserve">application du numéro </w:t>
      </w:r>
      <w:r w:rsidR="00C00626" w:rsidRPr="005105ED">
        <w:rPr>
          <w:b/>
          <w:bCs/>
          <w:lang w:val="fr-CH"/>
        </w:rPr>
        <w:t>11.47</w:t>
      </w:r>
      <w:r w:rsidR="00C00626" w:rsidRPr="001D19B7">
        <w:rPr>
          <w:lang w:val="fr-CH"/>
        </w:rPr>
        <w:t xml:space="preserve"> </w:t>
      </w:r>
      <w:r w:rsidR="00C00626" w:rsidRPr="001D19B7">
        <w:rPr>
          <w:bCs/>
          <w:lang w:val="fr-CH"/>
        </w:rPr>
        <w:t>du RR</w:t>
      </w:r>
      <w:r w:rsidR="00C00626" w:rsidRPr="001D19B7">
        <w:rPr>
          <w:b/>
          <w:lang w:val="fr-CH"/>
        </w:rPr>
        <w:t xml:space="preserve"> </w:t>
      </w:r>
      <w:r w:rsidR="00C00626" w:rsidRPr="001D19B7">
        <w:rPr>
          <w:lang w:val="fr-CH"/>
        </w:rPr>
        <w:t>en ce qui concerne les inscriptions provisoires</w:t>
      </w:r>
      <w:r w:rsidR="00F52C52">
        <w:rPr>
          <w:lang w:val="fr-CH"/>
        </w:rPr>
        <w:t xml:space="preserve"> </w:t>
      </w:r>
      <w:r w:rsidR="00C00626" w:rsidRPr="001D19B7">
        <w:rPr>
          <w:lang w:val="fr-CH"/>
        </w:rPr>
        <w:t>(</w:t>
      </w:r>
      <w:r>
        <w:rPr>
          <w:lang w:val="fr-CH"/>
        </w:rPr>
        <w:t xml:space="preserve">§ </w:t>
      </w:r>
      <w:r w:rsidR="00C00626" w:rsidRPr="001D19B7">
        <w:rPr>
          <w:lang w:val="fr-CH"/>
        </w:rPr>
        <w:t>3.1.4.3)</w:t>
      </w:r>
      <w:r w:rsidR="00C00626">
        <w:rPr>
          <w:lang w:val="fr-CH"/>
        </w:rPr>
        <w:t>,</w:t>
      </w:r>
      <w:r w:rsidR="00C00626" w:rsidRPr="001D19B7">
        <w:rPr>
          <w:lang w:val="fr-CH"/>
        </w:rPr>
        <w:t xml:space="preserve"> la CEPT </w:t>
      </w:r>
      <w:r w:rsidR="00C00626">
        <w:rPr>
          <w:lang w:val="fr-CH"/>
        </w:rPr>
        <w:t>est favorable à la suggestion du Bureau visant à supprimer l</w:t>
      </w:r>
      <w:r w:rsidR="00AD13F0">
        <w:rPr>
          <w:lang w:val="fr-CH"/>
        </w:rPr>
        <w:t>'</w:t>
      </w:r>
      <w:r w:rsidR="00C00626">
        <w:rPr>
          <w:lang w:val="fr-CH"/>
        </w:rPr>
        <w:t>obligation de soumettre, au titre de l</w:t>
      </w:r>
      <w:r w:rsidR="00AD13F0">
        <w:rPr>
          <w:lang w:val="fr-CH"/>
        </w:rPr>
        <w:t>'</w:t>
      </w:r>
      <w:r w:rsidR="00C00626">
        <w:rPr>
          <w:lang w:val="fr-CH"/>
        </w:rPr>
        <w:t>élément de données</w:t>
      </w:r>
      <w:r w:rsidR="00C00626" w:rsidRPr="001D19B7">
        <w:rPr>
          <w:lang w:val="fr-CH"/>
        </w:rPr>
        <w:t xml:space="preserve"> A.2.a</w:t>
      </w:r>
      <w:r w:rsidR="00C00626">
        <w:rPr>
          <w:lang w:val="fr-CH"/>
        </w:rPr>
        <w:t>, une date prévue de mise en service</w:t>
      </w:r>
      <w:r w:rsidR="00F52C52">
        <w:rPr>
          <w:lang w:val="fr-CH"/>
        </w:rPr>
        <w:t xml:space="preserve"> </w:t>
      </w:r>
      <w:r w:rsidR="00C00626" w:rsidRPr="001D19B7">
        <w:rPr>
          <w:lang w:val="fr-CH"/>
        </w:rPr>
        <w:t>(</w:t>
      </w:r>
      <w:r w:rsidR="00C00626">
        <w:rPr>
          <w:lang w:val="fr-CH"/>
        </w:rPr>
        <w:t>c</w:t>
      </w:r>
      <w:r w:rsidR="00AD13F0">
        <w:rPr>
          <w:lang w:val="fr-CH"/>
        </w:rPr>
        <w:t>'</w:t>
      </w:r>
      <w:r w:rsidR="00C00626">
        <w:rPr>
          <w:lang w:val="fr-CH"/>
        </w:rPr>
        <w:t xml:space="preserve">est-à-dire une date </w:t>
      </w:r>
      <w:r w:rsidR="00C00626" w:rsidRPr="001D19B7">
        <w:rPr>
          <w:lang w:val="fr-CH"/>
        </w:rPr>
        <w:t xml:space="preserve">ultérieure à la date de réception de la fiche </w:t>
      </w:r>
      <w:r w:rsidR="00C00626">
        <w:rPr>
          <w:lang w:val="fr-CH"/>
        </w:rPr>
        <w:t xml:space="preserve">de </w:t>
      </w:r>
      <w:proofErr w:type="gramStart"/>
      <w:r w:rsidR="00C00626">
        <w:rPr>
          <w:lang w:val="fr-CH"/>
        </w:rPr>
        <w:t>notification</w:t>
      </w:r>
      <w:r w:rsidR="00F52C52">
        <w:rPr>
          <w:lang w:val="fr-CH"/>
        </w:rPr>
        <w:t xml:space="preserve"> </w:t>
      </w:r>
      <w:r w:rsidR="00C00626" w:rsidRPr="001D19B7">
        <w:rPr>
          <w:lang w:val="fr-CH"/>
        </w:rPr>
        <w:t>)</w:t>
      </w:r>
      <w:proofErr w:type="gramEnd"/>
      <w:r w:rsidR="00C00626" w:rsidRPr="001D19B7">
        <w:rPr>
          <w:lang w:val="fr-CH"/>
        </w:rPr>
        <w:t>.</w:t>
      </w:r>
    </w:p>
    <w:p w14:paraId="3A2DFBDE" w14:textId="01106631" w:rsidR="00C00626" w:rsidRPr="00362A0A" w:rsidRDefault="00C00626" w:rsidP="00D56210">
      <w:pPr>
        <w:rPr>
          <w:lang w:val="fr-CH"/>
        </w:rPr>
      </w:pPr>
      <w:r w:rsidRPr="00362A0A">
        <w:rPr>
          <w:lang w:val="fr-CH"/>
        </w:rPr>
        <w:t>En ce qui concerne le problème des petits trous et d</w:t>
      </w:r>
      <w:r>
        <w:rPr>
          <w:lang w:val="fr-CH"/>
        </w:rPr>
        <w:t xml:space="preserve">es </w:t>
      </w:r>
      <w:r w:rsidRPr="00362A0A">
        <w:rPr>
          <w:lang w:val="fr-CH"/>
        </w:rPr>
        <w:t>contours de gain irréalistes dans les diagrammes de gain d</w:t>
      </w:r>
      <w:r w:rsidR="00AD13F0">
        <w:rPr>
          <w:lang w:val="fr-CH"/>
        </w:rPr>
        <w:t>'</w:t>
      </w:r>
      <w:r w:rsidRPr="00362A0A">
        <w:rPr>
          <w:lang w:val="fr-CH"/>
        </w:rPr>
        <w:t>antenne de satellite visant à éviter la coordination</w:t>
      </w:r>
      <w:r>
        <w:rPr>
          <w:lang w:val="fr-CH"/>
        </w:rPr>
        <w:t xml:space="preserve"> </w:t>
      </w:r>
      <w:r w:rsidRPr="00362A0A">
        <w:rPr>
          <w:lang w:val="fr-CH"/>
        </w:rPr>
        <w:t>(§ 3.2.6)</w:t>
      </w:r>
      <w:r w:rsidR="00F52C52">
        <w:rPr>
          <w:lang w:val="fr-CH"/>
        </w:rPr>
        <w:t>,</w:t>
      </w:r>
      <w:r>
        <w:rPr>
          <w:lang w:val="fr-CH"/>
        </w:rPr>
        <w:t xml:space="preserve"> </w:t>
      </w:r>
      <w:r w:rsidRPr="00362A0A">
        <w:rPr>
          <w:lang w:val="fr-CH"/>
        </w:rPr>
        <w:t>la CEPT</w:t>
      </w:r>
      <w:r>
        <w:rPr>
          <w:lang w:val="fr-CH"/>
        </w:rPr>
        <w:t xml:space="preserve"> tient à souligner qu</w:t>
      </w:r>
      <w:r w:rsidR="00AD13F0">
        <w:rPr>
          <w:lang w:val="fr-CH"/>
        </w:rPr>
        <w:t>'</w:t>
      </w:r>
      <w:r>
        <w:rPr>
          <w:lang w:val="fr-CH"/>
        </w:rPr>
        <w:t>il s</w:t>
      </w:r>
      <w:r w:rsidR="00AD13F0">
        <w:rPr>
          <w:lang w:val="fr-CH"/>
        </w:rPr>
        <w:t>'</w:t>
      </w:r>
      <w:r>
        <w:rPr>
          <w:lang w:val="fr-CH"/>
        </w:rPr>
        <w:t>agit d</w:t>
      </w:r>
      <w:r w:rsidR="00AD13F0">
        <w:rPr>
          <w:lang w:val="fr-CH"/>
        </w:rPr>
        <w:t>'</w:t>
      </w:r>
      <w:r>
        <w:rPr>
          <w:lang w:val="fr-CH"/>
        </w:rPr>
        <w:t>une question délicate et qu</w:t>
      </w:r>
      <w:r w:rsidR="00AD13F0">
        <w:rPr>
          <w:lang w:val="fr-CH"/>
        </w:rPr>
        <w:t>'</w:t>
      </w:r>
      <w:r>
        <w:rPr>
          <w:lang w:val="fr-CH"/>
        </w:rPr>
        <w:t>elle encourage les administrations à soumettre des contributions sur cette question durant la prochaine période d</w:t>
      </w:r>
      <w:r w:rsidR="00AD13F0">
        <w:rPr>
          <w:lang w:val="fr-CH"/>
        </w:rPr>
        <w:t>'</w:t>
      </w:r>
      <w:r>
        <w:rPr>
          <w:lang w:val="fr-CH"/>
        </w:rPr>
        <w:t>études.</w:t>
      </w:r>
    </w:p>
    <w:p w14:paraId="1124597B" w14:textId="28397FDA" w:rsidR="00C00626" w:rsidRPr="0097362B" w:rsidRDefault="00314986" w:rsidP="00D56210">
      <w:pPr>
        <w:rPr>
          <w:lang w:val="fr-CH"/>
        </w:rPr>
      </w:pPr>
      <w:r>
        <w:rPr>
          <w:lang w:val="fr-CH"/>
        </w:rPr>
        <w:t>A propos</w:t>
      </w:r>
      <w:r w:rsidR="00C00626">
        <w:rPr>
          <w:lang w:val="fr-CH"/>
        </w:rPr>
        <w:t xml:space="preserve"> de</w:t>
      </w:r>
      <w:r w:rsidR="00C00626" w:rsidRPr="00362A0A">
        <w:rPr>
          <w:lang w:val="fr-CH"/>
        </w:rPr>
        <w:t xml:space="preserve"> la question</w:t>
      </w:r>
      <w:r w:rsidR="00C00626">
        <w:rPr>
          <w:lang w:val="fr-CH"/>
        </w:rPr>
        <w:t xml:space="preserve"> relative à la </w:t>
      </w:r>
      <w:r w:rsidR="00C00626" w:rsidRPr="00362A0A">
        <w:rPr>
          <w:lang w:val="fr-CH"/>
        </w:rPr>
        <w:t xml:space="preserve">Résolution </w:t>
      </w:r>
      <w:r w:rsidR="00C00626" w:rsidRPr="00314986">
        <w:rPr>
          <w:b/>
          <w:bCs/>
          <w:lang w:val="fr-CH"/>
        </w:rPr>
        <w:t>55 (Rév.CMR-15)</w:t>
      </w:r>
      <w:r w:rsidR="00F52C52">
        <w:rPr>
          <w:lang w:val="fr-CH"/>
        </w:rPr>
        <w:t xml:space="preserve"> </w:t>
      </w:r>
      <w:r w:rsidR="00C00626" w:rsidRPr="00362A0A">
        <w:rPr>
          <w:lang w:val="fr-CH"/>
        </w:rPr>
        <w:t>(</w:t>
      </w:r>
      <w:r w:rsidRPr="00362A0A">
        <w:rPr>
          <w:lang w:val="fr-CH"/>
        </w:rPr>
        <w:t xml:space="preserve">§ </w:t>
      </w:r>
      <w:r w:rsidR="00C00626" w:rsidRPr="00362A0A">
        <w:rPr>
          <w:lang w:val="fr-CH"/>
        </w:rPr>
        <w:t>3.3.2)</w:t>
      </w:r>
      <w:r w:rsidR="00F52C52">
        <w:rPr>
          <w:lang w:val="fr-CH"/>
        </w:rPr>
        <w:t>,</w:t>
      </w:r>
      <w:r>
        <w:rPr>
          <w:lang w:val="fr-CH"/>
        </w:rPr>
        <w:t xml:space="preserve"> </w:t>
      </w:r>
      <w:r w:rsidR="00C00626" w:rsidRPr="00362A0A">
        <w:rPr>
          <w:lang w:val="fr-CH"/>
        </w:rPr>
        <w:t>la CEPT</w:t>
      </w:r>
      <w:r w:rsidR="00F52C52">
        <w:rPr>
          <w:lang w:val="fr-CH"/>
        </w:rPr>
        <w:t xml:space="preserve"> </w:t>
      </w:r>
      <w:r w:rsidR="00C00626">
        <w:rPr>
          <w:lang w:val="fr-CH"/>
        </w:rPr>
        <w:t>souscrit à l</w:t>
      </w:r>
      <w:r w:rsidR="00AD13F0">
        <w:rPr>
          <w:lang w:val="fr-CH"/>
        </w:rPr>
        <w:t>'</w:t>
      </w:r>
      <w:r w:rsidR="00C00626">
        <w:rPr>
          <w:lang w:val="fr-CH"/>
        </w:rPr>
        <w:t>idée du Bureau visant à supprimer la possibilité de soumettre les</w:t>
      </w:r>
      <w:r w:rsidR="00F52C52">
        <w:rPr>
          <w:lang w:val="fr-CH"/>
        </w:rPr>
        <w:t xml:space="preserve"> </w:t>
      </w:r>
      <w:r w:rsidR="00C00626" w:rsidRPr="00362A0A">
        <w:rPr>
          <w:lang w:val="fr-CH"/>
        </w:rPr>
        <w:t>graphiques sous forme papier.</w:t>
      </w:r>
      <w:r w:rsidR="00C00626" w:rsidRPr="0097362B">
        <w:rPr>
          <w:lang w:val="fr-CH"/>
        </w:rPr>
        <w:t xml:space="preserve"> Concernant</w:t>
      </w:r>
      <w:r w:rsidR="00F52C52">
        <w:rPr>
          <w:lang w:val="fr-CH"/>
        </w:rPr>
        <w:t xml:space="preserve"> </w:t>
      </w:r>
      <w:r w:rsidR="00C00626" w:rsidRPr="0097362B">
        <w:rPr>
          <w:lang w:val="fr-CH"/>
        </w:rPr>
        <w:t xml:space="preserve">la Résolution </w:t>
      </w:r>
      <w:r w:rsidR="00C00626" w:rsidRPr="0097362B">
        <w:rPr>
          <w:b/>
          <w:bCs/>
          <w:lang w:val="fr-CH"/>
        </w:rPr>
        <w:t>554 (CMR-12)</w:t>
      </w:r>
      <w:r w:rsidR="00F52C52">
        <w:rPr>
          <w:lang w:val="fr-CH"/>
        </w:rPr>
        <w:t xml:space="preserve"> </w:t>
      </w:r>
      <w:r w:rsidR="00C00626" w:rsidRPr="0097362B">
        <w:rPr>
          <w:lang w:val="fr-CH"/>
        </w:rPr>
        <w:t>(§ 3.3.3)</w:t>
      </w:r>
      <w:r w:rsidR="00F52C52">
        <w:rPr>
          <w:lang w:val="fr-CH"/>
        </w:rPr>
        <w:t>,</w:t>
      </w:r>
      <w:r w:rsidR="00C00626" w:rsidRPr="0097362B">
        <w:rPr>
          <w:lang w:val="fr-CH"/>
        </w:rPr>
        <w:t xml:space="preserve"> la CEPT approuve la suggestion du Bureau visant à préciser</w:t>
      </w:r>
      <w:r w:rsidR="00F52C52">
        <w:rPr>
          <w:lang w:val="fr-CH"/>
        </w:rPr>
        <w:t xml:space="preserve"> </w:t>
      </w:r>
      <w:r w:rsidR="00C00626" w:rsidRPr="0097362B">
        <w:rPr>
          <w:lang w:val="fr-CH"/>
        </w:rPr>
        <w:t>que les gabarits de puissance surfacique ne s</w:t>
      </w:r>
      <w:r w:rsidR="00AD13F0">
        <w:rPr>
          <w:lang w:val="fr-CH"/>
        </w:rPr>
        <w:t>'</w:t>
      </w:r>
      <w:r w:rsidR="00C00626" w:rsidRPr="0097362B">
        <w:rPr>
          <w:lang w:val="fr-CH"/>
        </w:rPr>
        <w:t>appliquent qu</w:t>
      </w:r>
      <w:r w:rsidR="00AD13F0">
        <w:rPr>
          <w:lang w:val="fr-CH"/>
        </w:rPr>
        <w:t>'</w:t>
      </w:r>
      <w:r w:rsidR="00C00626" w:rsidRPr="0097362B">
        <w:rPr>
          <w:lang w:val="fr-CH"/>
        </w:rPr>
        <w:t>à la zone de service des assignations de fréquence des réseaux à satellite existants et que les niveaux de puissance surfacique ne devraient pas être évalués dans la zone de service d</w:t>
      </w:r>
      <w:r w:rsidR="00AD13F0">
        <w:rPr>
          <w:lang w:val="fr-CH"/>
        </w:rPr>
        <w:t>'</w:t>
      </w:r>
      <w:r w:rsidR="00C00626" w:rsidRPr="0097362B">
        <w:rPr>
          <w:lang w:val="fr-CH"/>
        </w:rPr>
        <w:t>une nouvelle assignation.</w:t>
      </w:r>
    </w:p>
    <w:p w14:paraId="3A897164" w14:textId="175D0C38" w:rsidR="00C00626" w:rsidRPr="00C82376" w:rsidRDefault="00C00626" w:rsidP="00D56210">
      <w:pPr>
        <w:rPr>
          <w:lang w:val="fr-CH"/>
        </w:rPr>
      </w:pPr>
      <w:r w:rsidRPr="00C82376">
        <w:rPr>
          <w:lang w:val="fr-CH"/>
        </w:rPr>
        <w:t xml:space="preserve">En outre, la CEPT </w:t>
      </w:r>
      <w:r w:rsidR="00D56210">
        <w:rPr>
          <w:lang w:val="fr-CH"/>
        </w:rPr>
        <w:t>fait sienne</w:t>
      </w:r>
      <w:r w:rsidRPr="00C82376">
        <w:rPr>
          <w:lang w:val="fr-CH"/>
        </w:rPr>
        <w:t xml:space="preserve"> la suggestion du Bureau visant à indiquer clairement que la Résolution </w:t>
      </w:r>
      <w:r w:rsidRPr="00C82376">
        <w:rPr>
          <w:b/>
          <w:bCs/>
          <w:lang w:val="fr-CH"/>
        </w:rPr>
        <w:t>762 (CMR-15)</w:t>
      </w:r>
      <w:r w:rsidRPr="00C82376">
        <w:rPr>
          <w:lang w:val="fr-CH"/>
        </w:rPr>
        <w:t xml:space="preserve"> (§ 3.3.4) devrait être utilisée uniquement pour déterminer la probabilité</w:t>
      </w:r>
      <w:r w:rsidR="00D56210">
        <w:rPr>
          <w:lang w:val="fr-CH"/>
        </w:rPr>
        <w:t xml:space="preserve"> pour</w:t>
      </w:r>
      <w:r w:rsidRPr="00C82376">
        <w:rPr>
          <w:lang w:val="fr-CH"/>
        </w:rPr>
        <w:t xml:space="preserve"> que des brouillages préjudiciables soient causés dans les sens de transmission espace vers Terre et Terre vers espace</w:t>
      </w:r>
      <w:r>
        <w:rPr>
          <w:lang w:val="fr-CH"/>
        </w:rPr>
        <w:t xml:space="preserve"> et souscrit à la proposition de modification</w:t>
      </w:r>
      <w:r w:rsidRPr="00C82376">
        <w:rPr>
          <w:lang w:val="fr-CH"/>
        </w:rPr>
        <w:t xml:space="preserve"> </w:t>
      </w:r>
      <w:r>
        <w:rPr>
          <w:lang w:val="fr-CH"/>
        </w:rPr>
        <w:t>du numéro</w:t>
      </w:r>
      <w:r w:rsidR="00F52C52">
        <w:rPr>
          <w:lang w:val="fr-CH"/>
        </w:rPr>
        <w:t xml:space="preserve"> </w:t>
      </w:r>
      <w:r w:rsidRPr="00C82376">
        <w:rPr>
          <w:b/>
          <w:lang w:val="fr-CH"/>
        </w:rPr>
        <w:t>11.32A.2</w:t>
      </w:r>
      <w:r w:rsidRPr="00C82376">
        <w:rPr>
          <w:bCs/>
          <w:lang w:val="fr-CH"/>
        </w:rPr>
        <w:t xml:space="preserve"> du RR</w:t>
      </w:r>
      <w:r w:rsidRPr="00C82376">
        <w:rPr>
          <w:lang w:val="fr-CH"/>
        </w:rPr>
        <w:t>.</w:t>
      </w:r>
    </w:p>
    <w:p w14:paraId="45CFDB86" w14:textId="77777777" w:rsidR="00C00626" w:rsidRPr="00C82376" w:rsidRDefault="00C00626" w:rsidP="00D56210">
      <w:pPr>
        <w:rPr>
          <w:lang w:val="fr-CH"/>
        </w:rPr>
      </w:pPr>
    </w:p>
    <w:p w14:paraId="5225877C" w14:textId="627BCE06" w:rsidR="00C00626" w:rsidRDefault="00C00626" w:rsidP="00D56210">
      <w:pPr>
        <w:jc w:val="center"/>
      </w:pPr>
      <w:r>
        <w:t>______________</w:t>
      </w:r>
    </w:p>
    <w:p w14:paraId="429B9E1C" w14:textId="77777777" w:rsidR="00D56210" w:rsidRDefault="00D56210" w:rsidP="00D56210"/>
    <w:sectPr w:rsidR="00D56210">
      <w:headerReference w:type="default" r:id="rId8"/>
      <w:footerReference w:type="even" r:id="rId9"/>
      <w:footerReference w:type="default" r:id="rId10"/>
      <w:footerReference w:type="first" r:id="rId11"/>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2F7B4" w14:textId="77777777" w:rsidR="002011E3" w:rsidRDefault="002011E3">
      <w:r>
        <w:separator/>
      </w:r>
    </w:p>
  </w:endnote>
  <w:endnote w:type="continuationSeparator" w:id="0">
    <w:p w14:paraId="558F58F8" w14:textId="77777777" w:rsidR="002011E3" w:rsidRDefault="00201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EBD1D" w14:textId="542954A2" w:rsidR="00936D25" w:rsidRDefault="00936D25">
    <w:pPr>
      <w:rPr>
        <w:lang w:val="en-US"/>
      </w:rPr>
    </w:pPr>
    <w:r>
      <w:fldChar w:fldCharType="begin"/>
    </w:r>
    <w:r>
      <w:rPr>
        <w:lang w:val="en-US"/>
      </w:rPr>
      <w:instrText xml:space="preserve"> FILENAME \p  \* MERGEFORMAT </w:instrText>
    </w:r>
    <w:r>
      <w:fldChar w:fldCharType="separate"/>
    </w:r>
    <w:r w:rsidR="00D367DC">
      <w:rPr>
        <w:noProof/>
        <w:lang w:val="en-US"/>
      </w:rPr>
      <w:t>P:\FRA\ITU-R\CONF-R\CMR19\000\016ADD22F.docx</w:t>
    </w:r>
    <w:r>
      <w:fldChar w:fldCharType="end"/>
    </w:r>
    <w:r>
      <w:rPr>
        <w:lang w:val="en-US"/>
      </w:rPr>
      <w:tab/>
    </w:r>
    <w:r>
      <w:fldChar w:fldCharType="begin"/>
    </w:r>
    <w:r>
      <w:instrText xml:space="preserve"> SAVEDATE \@ DD.MM.YY </w:instrText>
    </w:r>
    <w:r>
      <w:fldChar w:fldCharType="separate"/>
    </w:r>
    <w:r w:rsidR="00D367DC">
      <w:rPr>
        <w:noProof/>
      </w:rPr>
      <w:t>20.10.19</w:t>
    </w:r>
    <w:r>
      <w:fldChar w:fldCharType="end"/>
    </w:r>
    <w:r>
      <w:rPr>
        <w:lang w:val="en-US"/>
      </w:rPr>
      <w:tab/>
    </w:r>
    <w:r>
      <w:fldChar w:fldCharType="begin"/>
    </w:r>
    <w:r>
      <w:instrText xml:space="preserve"> PRINTDATE \@ DD.MM.YY </w:instrText>
    </w:r>
    <w:r>
      <w:fldChar w:fldCharType="separate"/>
    </w:r>
    <w:r w:rsidR="00D367DC">
      <w:rPr>
        <w:noProof/>
      </w:rPr>
      <w:t>20.10.19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A77F8" w14:textId="4141E4CA" w:rsidR="00936D25" w:rsidRDefault="00D367DC" w:rsidP="00BA21B0">
    <w:pPr>
      <w:pStyle w:val="Footer"/>
      <w:rPr>
        <w:lang w:val="en-US"/>
      </w:rPr>
    </w:pPr>
    <w:r>
      <w:fldChar w:fldCharType="begin"/>
    </w:r>
    <w:r>
      <w:instrText xml:space="preserve"> FILENAME \p  \* MERGEFORMAT </w:instrText>
    </w:r>
    <w:r>
      <w:fldChar w:fldCharType="separate"/>
    </w:r>
    <w:r>
      <w:t>P:\FRA\ITU-R\CONF-R\CMR19\000\016ADD22F.docx</w:t>
    </w:r>
    <w:r>
      <w:fldChar w:fldCharType="end"/>
    </w:r>
    <w:r w:rsidR="00BA21B0">
      <w:t xml:space="preserve"> (461940)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718CF" w14:textId="5B30A87E" w:rsidR="00936D25" w:rsidRDefault="00BA21B0" w:rsidP="003E5E3D">
    <w:pPr>
      <w:pStyle w:val="Footer"/>
      <w:rPr>
        <w:lang w:val="en-US"/>
      </w:rPr>
    </w:pPr>
    <w:fldSimple w:instr=" FILENAME \p  \* MERGEFORMAT ">
      <w:r w:rsidR="00D367DC">
        <w:t>P:\FRA\ITU-R\CONF-R\CMR19\000\016ADD22F.docx</w:t>
      </w:r>
    </w:fldSimple>
    <w:r>
      <w:t xml:space="preserve"> (461940)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31150" w14:textId="77777777" w:rsidR="002011E3" w:rsidRDefault="002011E3">
      <w:r>
        <w:rPr>
          <w:b/>
        </w:rPr>
        <w:t>_______________</w:t>
      </w:r>
    </w:p>
  </w:footnote>
  <w:footnote w:type="continuationSeparator" w:id="0">
    <w:p w14:paraId="3CB4106B" w14:textId="77777777" w:rsidR="002011E3" w:rsidRDefault="002011E3">
      <w:r>
        <w:continuationSeparator/>
      </w:r>
    </w:p>
  </w:footnote>
  <w:footnote w:id="1">
    <w:p w14:paraId="223D422B" w14:textId="5F25F491" w:rsidR="00C00626" w:rsidRPr="00440DDC" w:rsidRDefault="00C00626" w:rsidP="00C00626">
      <w:pPr>
        <w:pStyle w:val="FootnoteText"/>
        <w:rPr>
          <w:lang w:val="fr-CH"/>
        </w:rPr>
      </w:pPr>
      <w:r w:rsidRPr="00440DDC">
        <w:rPr>
          <w:rStyle w:val="FootnoteReference"/>
          <w:lang w:val="fr-CH"/>
        </w:rPr>
        <w:t>*</w:t>
      </w:r>
      <w:r w:rsidRPr="00440DDC">
        <w:rPr>
          <w:lang w:val="fr-CH"/>
        </w:rPr>
        <w:t xml:space="preserve"> </w:t>
      </w:r>
      <w:r w:rsidRPr="00440DDC">
        <w:rPr>
          <w:lang w:val="fr-CH"/>
        </w:rPr>
        <w:tab/>
      </w:r>
      <w:r w:rsidRPr="00440DDC">
        <w:rPr>
          <w:color w:val="000000"/>
          <w:lang w:val="fr-CH"/>
        </w:rPr>
        <w:t>Ce point de l'ordre du jour ne concerne que le Rapport du Directeur sur les difficultés rencontrées ou les incohérences constatées dans l'application du Règlement des radiocommunications et les observations formulées par les administrations.</w:t>
      </w:r>
      <w:r w:rsidR="00F52C52">
        <w:rPr>
          <w:lang w:val="fr-C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97234" w14:textId="77777777" w:rsidR="004F1F8E" w:rsidRDefault="004F1F8E" w:rsidP="004F1F8E">
    <w:pPr>
      <w:pStyle w:val="Header"/>
    </w:pPr>
    <w:r>
      <w:fldChar w:fldCharType="begin"/>
    </w:r>
    <w:r>
      <w:instrText xml:space="preserve"> PAGE </w:instrText>
    </w:r>
    <w:r>
      <w:fldChar w:fldCharType="separate"/>
    </w:r>
    <w:r w:rsidR="003E5E3D">
      <w:rPr>
        <w:noProof/>
      </w:rPr>
      <w:t>2</w:t>
    </w:r>
    <w:r>
      <w:fldChar w:fldCharType="end"/>
    </w:r>
  </w:p>
  <w:p w14:paraId="266EE812" w14:textId="21D3E83F" w:rsidR="004F1F8E" w:rsidRDefault="004F1F8E" w:rsidP="00587A4E">
    <w:pPr>
      <w:pStyle w:val="Header"/>
    </w:pPr>
    <w:r>
      <w:t>CMR1</w:t>
    </w:r>
    <w:r w:rsidR="00587A4E">
      <w:t>9</w:t>
    </w:r>
    <w:r>
      <w:t>/</w:t>
    </w:r>
    <w:r w:rsidR="00AD13F0">
      <w:t>16(Add.</w:t>
    </w:r>
    <w:proofErr w:type="gramStart"/>
    <w:r w:rsidR="00AD13F0">
      <w:t>22)</w:t>
    </w:r>
    <w:r>
      <w:t>-</w:t>
    </w:r>
    <w:proofErr w:type="gramEnd"/>
    <w:r>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1E3"/>
    <w:rsid w:val="00016648"/>
    <w:rsid w:val="0003522F"/>
    <w:rsid w:val="00080E2C"/>
    <w:rsid w:val="000A4755"/>
    <w:rsid w:val="000B2E0C"/>
    <w:rsid w:val="000B3D0C"/>
    <w:rsid w:val="000D469E"/>
    <w:rsid w:val="001167B9"/>
    <w:rsid w:val="001267A0"/>
    <w:rsid w:val="00134655"/>
    <w:rsid w:val="00160C64"/>
    <w:rsid w:val="0019352B"/>
    <w:rsid w:val="001960D0"/>
    <w:rsid w:val="001966E8"/>
    <w:rsid w:val="002011E3"/>
    <w:rsid w:val="00232FD2"/>
    <w:rsid w:val="002A4622"/>
    <w:rsid w:val="002B17E5"/>
    <w:rsid w:val="002C0EBF"/>
    <w:rsid w:val="002C5FCD"/>
    <w:rsid w:val="00314986"/>
    <w:rsid w:val="00315AFE"/>
    <w:rsid w:val="003606A6"/>
    <w:rsid w:val="0036650C"/>
    <w:rsid w:val="003A583E"/>
    <w:rsid w:val="003E112B"/>
    <w:rsid w:val="003E5E3D"/>
    <w:rsid w:val="00416F68"/>
    <w:rsid w:val="00450005"/>
    <w:rsid w:val="00457428"/>
    <w:rsid w:val="00466211"/>
    <w:rsid w:val="004D01FC"/>
    <w:rsid w:val="004E28C3"/>
    <w:rsid w:val="004F1F8E"/>
    <w:rsid w:val="004F6B5C"/>
    <w:rsid w:val="005105ED"/>
    <w:rsid w:val="00584FF8"/>
    <w:rsid w:val="00586CF2"/>
    <w:rsid w:val="00587A4E"/>
    <w:rsid w:val="005C3768"/>
    <w:rsid w:val="005C6C3F"/>
    <w:rsid w:val="00613635"/>
    <w:rsid w:val="0062093D"/>
    <w:rsid w:val="00637ECF"/>
    <w:rsid w:val="00647B59"/>
    <w:rsid w:val="00654E39"/>
    <w:rsid w:val="006B15C2"/>
    <w:rsid w:val="00701BAE"/>
    <w:rsid w:val="00730E95"/>
    <w:rsid w:val="00774362"/>
    <w:rsid w:val="007A04E8"/>
    <w:rsid w:val="0084553F"/>
    <w:rsid w:val="008A3120"/>
    <w:rsid w:val="008C000E"/>
    <w:rsid w:val="008D41BE"/>
    <w:rsid w:val="008D58D3"/>
    <w:rsid w:val="00923064"/>
    <w:rsid w:val="009327E9"/>
    <w:rsid w:val="00936D25"/>
    <w:rsid w:val="00941EA5"/>
    <w:rsid w:val="00966C16"/>
    <w:rsid w:val="009765A8"/>
    <w:rsid w:val="0098732F"/>
    <w:rsid w:val="009C7E7C"/>
    <w:rsid w:val="00A00473"/>
    <w:rsid w:val="00A03C9B"/>
    <w:rsid w:val="00A45B26"/>
    <w:rsid w:val="00A606C3"/>
    <w:rsid w:val="00A83B09"/>
    <w:rsid w:val="00A84541"/>
    <w:rsid w:val="00AD13F0"/>
    <w:rsid w:val="00AE36A0"/>
    <w:rsid w:val="00AF1D93"/>
    <w:rsid w:val="00B00294"/>
    <w:rsid w:val="00B64FD0"/>
    <w:rsid w:val="00BA21B0"/>
    <w:rsid w:val="00BF26E7"/>
    <w:rsid w:val="00C00626"/>
    <w:rsid w:val="00C01C69"/>
    <w:rsid w:val="00C06FF1"/>
    <w:rsid w:val="00C814B9"/>
    <w:rsid w:val="00CD516F"/>
    <w:rsid w:val="00CD5C5D"/>
    <w:rsid w:val="00CE2C8D"/>
    <w:rsid w:val="00CE6A1C"/>
    <w:rsid w:val="00D119A7"/>
    <w:rsid w:val="00D25FBA"/>
    <w:rsid w:val="00D367DC"/>
    <w:rsid w:val="00D56210"/>
    <w:rsid w:val="00D66EAC"/>
    <w:rsid w:val="00D718A8"/>
    <w:rsid w:val="00D730DF"/>
    <w:rsid w:val="00D772F0"/>
    <w:rsid w:val="00D77BDC"/>
    <w:rsid w:val="00D8241C"/>
    <w:rsid w:val="00DC402B"/>
    <w:rsid w:val="00DE0932"/>
    <w:rsid w:val="00E049F1"/>
    <w:rsid w:val="00E324E4"/>
    <w:rsid w:val="00E37A25"/>
    <w:rsid w:val="00E70A31"/>
    <w:rsid w:val="00E977A2"/>
    <w:rsid w:val="00E97902"/>
    <w:rsid w:val="00EA3F38"/>
    <w:rsid w:val="00EA5AB6"/>
    <w:rsid w:val="00EB0AD7"/>
    <w:rsid w:val="00EC7615"/>
    <w:rsid w:val="00ED16AA"/>
    <w:rsid w:val="00EF662E"/>
    <w:rsid w:val="00F148F1"/>
    <w:rsid w:val="00F52C52"/>
    <w:rsid w:val="00F9722E"/>
    <w:rsid w:val="00FA3BBF"/>
    <w:rsid w:val="00FC0101"/>
    <w:rsid w:val="00FC41F8"/>
    <w:rsid w:val="00FC4ADC"/>
    <w:rsid w:val="00FE7DA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B46F84"/>
  <w15:docId w15:val="{975F73C3-83B8-4D92-A4A5-16D64532C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4ADC"/>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FC4ADC"/>
    <w:pPr>
      <w:keepNext/>
      <w:keepLines/>
      <w:spacing w:before="280"/>
      <w:ind w:left="1134" w:hanging="1134"/>
      <w:outlineLvl w:val="0"/>
    </w:pPr>
    <w:rPr>
      <w:b/>
      <w:sz w:val="28"/>
    </w:rPr>
  </w:style>
  <w:style w:type="paragraph" w:styleId="Heading2">
    <w:name w:val="heading 2"/>
    <w:basedOn w:val="Heading1"/>
    <w:next w:val="Normal"/>
    <w:qFormat/>
    <w:rsid w:val="00FC4ADC"/>
    <w:pPr>
      <w:spacing w:before="200"/>
      <w:outlineLvl w:val="1"/>
    </w:pPr>
    <w:rPr>
      <w:sz w:val="24"/>
    </w:rPr>
  </w:style>
  <w:style w:type="paragraph" w:styleId="Heading3">
    <w:name w:val="heading 3"/>
    <w:basedOn w:val="Heading1"/>
    <w:next w:val="Normal"/>
    <w:qFormat/>
    <w:rsid w:val="00FC4ADC"/>
    <w:pPr>
      <w:tabs>
        <w:tab w:val="clear" w:pos="1134"/>
      </w:tabs>
      <w:spacing w:before="200"/>
      <w:outlineLvl w:val="2"/>
    </w:pPr>
    <w:rPr>
      <w:sz w:val="24"/>
    </w:rPr>
  </w:style>
  <w:style w:type="paragraph" w:styleId="Heading4">
    <w:name w:val="heading 4"/>
    <w:basedOn w:val="Heading3"/>
    <w:next w:val="Normal"/>
    <w:qFormat/>
    <w:rsid w:val="00FC4ADC"/>
    <w:pPr>
      <w:outlineLvl w:val="3"/>
    </w:pPr>
  </w:style>
  <w:style w:type="paragraph" w:styleId="Heading5">
    <w:name w:val="heading 5"/>
    <w:basedOn w:val="Heading4"/>
    <w:next w:val="Normal"/>
    <w:qFormat/>
    <w:rsid w:val="00FC4ADC"/>
    <w:pPr>
      <w:outlineLvl w:val="4"/>
    </w:pPr>
  </w:style>
  <w:style w:type="paragraph" w:styleId="Heading6">
    <w:name w:val="heading 6"/>
    <w:basedOn w:val="Heading4"/>
    <w:next w:val="Normal"/>
    <w:qFormat/>
    <w:rsid w:val="00FC4ADC"/>
    <w:pPr>
      <w:outlineLvl w:val="5"/>
    </w:pPr>
  </w:style>
  <w:style w:type="paragraph" w:styleId="Heading7">
    <w:name w:val="heading 7"/>
    <w:basedOn w:val="Heading6"/>
    <w:next w:val="Normal"/>
    <w:qFormat/>
    <w:rsid w:val="00FC4ADC"/>
    <w:pPr>
      <w:outlineLvl w:val="6"/>
    </w:pPr>
  </w:style>
  <w:style w:type="paragraph" w:styleId="Heading8">
    <w:name w:val="heading 8"/>
    <w:basedOn w:val="Heading6"/>
    <w:next w:val="Normal"/>
    <w:qFormat/>
    <w:rsid w:val="00FC4ADC"/>
    <w:pPr>
      <w:outlineLvl w:val="7"/>
    </w:pPr>
  </w:style>
  <w:style w:type="paragraph" w:styleId="Heading9">
    <w:name w:val="heading 9"/>
    <w:basedOn w:val="Heading6"/>
    <w:next w:val="Normal"/>
    <w:qFormat/>
    <w:rsid w:val="00FC4AD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rsid w:val="00FC4ADC"/>
    <w:pPr>
      <w:keepNext/>
      <w:keepLines/>
      <w:spacing w:before="480" w:after="80"/>
      <w:jc w:val="center"/>
    </w:pPr>
    <w:rPr>
      <w:caps/>
      <w:sz w:val="28"/>
    </w:rPr>
  </w:style>
  <w:style w:type="paragraph" w:customStyle="1" w:styleId="Annexref">
    <w:name w:val="Annex_ref"/>
    <w:basedOn w:val="Normal"/>
    <w:next w:val="Annextitle"/>
    <w:rsid w:val="00FC4ADC"/>
    <w:pPr>
      <w:keepNext/>
      <w:keepLines/>
      <w:spacing w:after="280"/>
      <w:jc w:val="center"/>
    </w:pPr>
  </w:style>
  <w:style w:type="paragraph" w:customStyle="1" w:styleId="Annextitle">
    <w:name w:val="Annex_title"/>
    <w:basedOn w:val="Normal"/>
    <w:next w:val="Normalaftertitle"/>
    <w:rsid w:val="00FC4ADC"/>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FC4ADC"/>
  </w:style>
  <w:style w:type="paragraph" w:customStyle="1" w:styleId="Appendixref">
    <w:name w:val="Appendix_ref"/>
    <w:basedOn w:val="Annexref"/>
    <w:next w:val="Annextitle"/>
    <w:rsid w:val="00FC4ADC"/>
  </w:style>
  <w:style w:type="paragraph" w:customStyle="1" w:styleId="Appendixtitle">
    <w:name w:val="Appendix_title"/>
    <w:basedOn w:val="Annextitle"/>
    <w:next w:val="Normalaftertitle"/>
    <w:rsid w:val="00FC4ADC"/>
  </w:style>
  <w:style w:type="paragraph" w:customStyle="1" w:styleId="Artheading">
    <w:name w:val="Art_heading"/>
    <w:basedOn w:val="Normal"/>
    <w:next w:val="Normalaftertitle"/>
    <w:rsid w:val="00FC4ADC"/>
    <w:pPr>
      <w:spacing w:before="480"/>
      <w:jc w:val="center"/>
    </w:pPr>
    <w:rPr>
      <w:rFonts w:ascii="Times New Roman Bold" w:hAnsi="Times New Roman Bold"/>
      <w:b/>
      <w:sz w:val="28"/>
    </w:rPr>
  </w:style>
  <w:style w:type="paragraph" w:customStyle="1" w:styleId="ArtNo">
    <w:name w:val="Art_No"/>
    <w:basedOn w:val="Normal"/>
    <w:next w:val="Arttitle"/>
    <w:rsid w:val="00FC4ADC"/>
    <w:pPr>
      <w:keepNext/>
      <w:keepLines/>
      <w:spacing w:before="480"/>
      <w:jc w:val="center"/>
    </w:pPr>
    <w:rPr>
      <w:caps/>
      <w:sz w:val="28"/>
    </w:rPr>
  </w:style>
  <w:style w:type="paragraph" w:customStyle="1" w:styleId="Arttitle">
    <w:name w:val="Art_title"/>
    <w:basedOn w:val="Normal"/>
    <w:next w:val="Normalaftertitle"/>
    <w:rsid w:val="00FC4ADC"/>
    <w:pPr>
      <w:keepNext/>
      <w:keepLines/>
      <w:spacing w:before="240"/>
      <w:jc w:val="center"/>
    </w:pPr>
    <w:rPr>
      <w:b/>
      <w:sz w:val="28"/>
    </w:rPr>
  </w:style>
  <w:style w:type="paragraph" w:customStyle="1" w:styleId="Call">
    <w:name w:val="Call"/>
    <w:basedOn w:val="Normal"/>
    <w:next w:val="Normal"/>
    <w:rsid w:val="00FC4ADC"/>
    <w:pPr>
      <w:keepNext/>
      <w:keepLines/>
      <w:spacing w:before="160"/>
      <w:ind w:left="1134"/>
    </w:pPr>
    <w:rPr>
      <w:i/>
    </w:rPr>
  </w:style>
  <w:style w:type="paragraph" w:customStyle="1" w:styleId="ChapNo">
    <w:name w:val="Chap_No"/>
    <w:basedOn w:val="ArtNo"/>
    <w:next w:val="Chaptitle"/>
    <w:rsid w:val="00FC4ADC"/>
    <w:rPr>
      <w:rFonts w:ascii="Times New Roman Bold" w:hAnsi="Times New Roman Bold"/>
      <w:b/>
    </w:rPr>
  </w:style>
  <w:style w:type="paragraph" w:customStyle="1" w:styleId="Chaptitle">
    <w:name w:val="Chap_title"/>
    <w:basedOn w:val="Arttitle"/>
    <w:next w:val="Normalaftertitle"/>
    <w:rsid w:val="00FC4ADC"/>
  </w:style>
  <w:style w:type="paragraph" w:customStyle="1" w:styleId="ddate">
    <w:name w:val="ddate"/>
    <w:basedOn w:val="Normal"/>
    <w:rsid w:val="00FC4ADC"/>
    <w:pPr>
      <w:framePr w:hSpace="181" w:wrap="around" w:vAnchor="page" w:hAnchor="margin" w:y="852"/>
      <w:shd w:val="solid" w:color="FFFFFF" w:fill="FFFFFF"/>
      <w:spacing w:before="0"/>
    </w:pPr>
    <w:rPr>
      <w:b/>
      <w:bCs/>
    </w:rPr>
  </w:style>
  <w:style w:type="paragraph" w:customStyle="1" w:styleId="dnum">
    <w:name w:val="dnum"/>
    <w:basedOn w:val="Normal"/>
    <w:rsid w:val="00FC4ADC"/>
    <w:pPr>
      <w:framePr w:hSpace="181" w:wrap="around" w:vAnchor="page" w:hAnchor="margin" w:y="852"/>
      <w:shd w:val="solid" w:color="FFFFFF" w:fill="FFFFFF"/>
    </w:pPr>
    <w:rPr>
      <w:b/>
      <w:bCs/>
    </w:rPr>
  </w:style>
  <w:style w:type="paragraph" w:customStyle="1" w:styleId="dorlang">
    <w:name w:val="dorlang"/>
    <w:basedOn w:val="Normal"/>
    <w:rsid w:val="00FC4ADC"/>
    <w:pPr>
      <w:framePr w:hSpace="181" w:wrap="around" w:vAnchor="page" w:hAnchor="margin" w:y="852"/>
      <w:shd w:val="solid" w:color="FFFFFF" w:fill="FFFFFF"/>
      <w:spacing w:before="0"/>
    </w:pPr>
    <w:rPr>
      <w:b/>
      <w:bCs/>
    </w:rPr>
  </w:style>
  <w:style w:type="character" w:styleId="EndnoteReference">
    <w:name w:val="endnote reference"/>
    <w:semiHidden/>
    <w:rsid w:val="00FC4ADC"/>
    <w:rPr>
      <w:vertAlign w:val="superscript"/>
    </w:rPr>
  </w:style>
  <w:style w:type="paragraph" w:customStyle="1" w:styleId="enumlev1">
    <w:name w:val="enumlev1"/>
    <w:basedOn w:val="Normal"/>
    <w:rsid w:val="00FC4ADC"/>
    <w:pPr>
      <w:tabs>
        <w:tab w:val="clear" w:pos="2268"/>
        <w:tab w:val="left" w:pos="2608"/>
        <w:tab w:val="left" w:pos="3345"/>
      </w:tabs>
      <w:spacing w:before="80"/>
      <w:ind w:left="1134" w:hanging="1134"/>
    </w:pPr>
  </w:style>
  <w:style w:type="paragraph" w:customStyle="1" w:styleId="enumlev2">
    <w:name w:val="enumlev2"/>
    <w:basedOn w:val="enumlev1"/>
    <w:rsid w:val="00FC4ADC"/>
    <w:pPr>
      <w:ind w:left="1871" w:hanging="737"/>
    </w:pPr>
  </w:style>
  <w:style w:type="paragraph" w:customStyle="1" w:styleId="enumlev3">
    <w:name w:val="enumlev3"/>
    <w:basedOn w:val="enumlev2"/>
    <w:rsid w:val="00FC4ADC"/>
    <w:pPr>
      <w:ind w:left="2268" w:hanging="397"/>
    </w:pPr>
  </w:style>
  <w:style w:type="paragraph" w:customStyle="1" w:styleId="Equation">
    <w:name w:val="Equation"/>
    <w:basedOn w:val="Normal"/>
    <w:rsid w:val="00FC4ADC"/>
    <w:pPr>
      <w:tabs>
        <w:tab w:val="clear" w:pos="1871"/>
        <w:tab w:val="clear" w:pos="2268"/>
        <w:tab w:val="center" w:pos="4820"/>
        <w:tab w:val="right" w:pos="9639"/>
      </w:tabs>
    </w:pPr>
  </w:style>
  <w:style w:type="paragraph" w:styleId="NormalIndent">
    <w:name w:val="Normal Indent"/>
    <w:basedOn w:val="Normal"/>
    <w:rsid w:val="00FC4ADC"/>
    <w:pPr>
      <w:ind w:left="1134"/>
    </w:pPr>
  </w:style>
  <w:style w:type="paragraph" w:customStyle="1" w:styleId="Equationlegend">
    <w:name w:val="Equation_legend"/>
    <w:basedOn w:val="NormalIndent"/>
    <w:rsid w:val="00FC4ADC"/>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FC4ADC"/>
    <w:pPr>
      <w:keepNext/>
      <w:keepLines/>
      <w:spacing w:before="20" w:after="20"/>
    </w:pPr>
    <w:rPr>
      <w:sz w:val="18"/>
    </w:rPr>
  </w:style>
  <w:style w:type="paragraph" w:customStyle="1" w:styleId="FigureNo">
    <w:name w:val="Figure_No"/>
    <w:basedOn w:val="Normal"/>
    <w:next w:val="Figuretitle"/>
    <w:rsid w:val="00FC4ADC"/>
    <w:pPr>
      <w:keepNext/>
      <w:keepLines/>
      <w:spacing w:before="480" w:after="120"/>
      <w:jc w:val="center"/>
    </w:pPr>
    <w:rPr>
      <w:caps/>
      <w:sz w:val="20"/>
    </w:rPr>
  </w:style>
  <w:style w:type="paragraph" w:customStyle="1" w:styleId="Figuretitle">
    <w:name w:val="Figure_title"/>
    <w:basedOn w:val="Normal"/>
    <w:next w:val="Normal"/>
    <w:rsid w:val="00FC4ADC"/>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rsid w:val="00FC4ADC"/>
    <w:pPr>
      <w:keepNext w:val="0"/>
    </w:pPr>
  </w:style>
  <w:style w:type="paragraph" w:styleId="Footer">
    <w:name w:val="footer"/>
    <w:basedOn w:val="Normal"/>
    <w:rsid w:val="00FC4ADC"/>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FC4ADC"/>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FC4ADC"/>
    <w:rPr>
      <w:position w:val="6"/>
      <w:sz w:val="18"/>
    </w:rPr>
  </w:style>
  <w:style w:type="paragraph" w:styleId="FootnoteText">
    <w:name w:val="footnote text"/>
    <w:basedOn w:val="Normal"/>
    <w:link w:val="FootnoteTextChar"/>
    <w:rsid w:val="00FC4ADC"/>
    <w:pPr>
      <w:keepLines/>
      <w:tabs>
        <w:tab w:val="left" w:pos="255"/>
      </w:tabs>
    </w:pPr>
  </w:style>
  <w:style w:type="paragraph" w:styleId="Header">
    <w:name w:val="header"/>
    <w:basedOn w:val="Normal"/>
    <w:link w:val="HeaderChar"/>
    <w:rsid w:val="00FC4ADC"/>
    <w:pPr>
      <w:spacing w:before="0"/>
      <w:jc w:val="center"/>
    </w:pPr>
    <w:rPr>
      <w:sz w:val="18"/>
    </w:rPr>
  </w:style>
  <w:style w:type="paragraph" w:customStyle="1" w:styleId="Headingb">
    <w:name w:val="Heading_b"/>
    <w:basedOn w:val="Normal"/>
    <w:next w:val="Normal"/>
    <w:qFormat/>
    <w:rsid w:val="00FC4ADC"/>
    <w:pPr>
      <w:keepNext/>
      <w:spacing w:before="160"/>
    </w:pPr>
    <w:rPr>
      <w:b/>
    </w:rPr>
  </w:style>
  <w:style w:type="paragraph" w:customStyle="1" w:styleId="Headingi">
    <w:name w:val="Heading_i"/>
    <w:basedOn w:val="Normal"/>
    <w:next w:val="Normal"/>
    <w:rsid w:val="00FC4ADC"/>
    <w:pPr>
      <w:keepNext/>
      <w:spacing w:before="160"/>
    </w:pPr>
    <w:rPr>
      <w:rFonts w:ascii="Times" w:hAnsi="Times"/>
      <w:i/>
    </w:rPr>
  </w:style>
  <w:style w:type="paragraph" w:styleId="Index1">
    <w:name w:val="index 1"/>
    <w:basedOn w:val="Normal"/>
    <w:next w:val="Normal"/>
    <w:semiHidden/>
    <w:rsid w:val="00FC4ADC"/>
  </w:style>
  <w:style w:type="paragraph" w:styleId="Index2">
    <w:name w:val="index 2"/>
    <w:basedOn w:val="Normal"/>
    <w:next w:val="Normal"/>
    <w:semiHidden/>
    <w:rsid w:val="00FC4ADC"/>
    <w:pPr>
      <w:ind w:left="283"/>
    </w:pPr>
  </w:style>
  <w:style w:type="paragraph" w:styleId="Index3">
    <w:name w:val="index 3"/>
    <w:basedOn w:val="Normal"/>
    <w:next w:val="Normal"/>
    <w:semiHidden/>
    <w:rsid w:val="00FC4ADC"/>
    <w:pPr>
      <w:ind w:left="566"/>
    </w:pPr>
  </w:style>
  <w:style w:type="paragraph" w:styleId="Index4">
    <w:name w:val="index 4"/>
    <w:basedOn w:val="Normal"/>
    <w:next w:val="Normal"/>
    <w:semiHidden/>
    <w:rsid w:val="00FC4ADC"/>
    <w:pPr>
      <w:ind w:left="849"/>
    </w:pPr>
  </w:style>
  <w:style w:type="paragraph" w:styleId="Index5">
    <w:name w:val="index 5"/>
    <w:basedOn w:val="Normal"/>
    <w:next w:val="Normal"/>
    <w:semiHidden/>
    <w:rsid w:val="00FC4ADC"/>
    <w:pPr>
      <w:ind w:left="1132"/>
    </w:pPr>
  </w:style>
  <w:style w:type="paragraph" w:styleId="Index6">
    <w:name w:val="index 6"/>
    <w:basedOn w:val="Normal"/>
    <w:next w:val="Normal"/>
    <w:semiHidden/>
    <w:rsid w:val="00FC4ADC"/>
    <w:pPr>
      <w:ind w:left="1415"/>
    </w:pPr>
  </w:style>
  <w:style w:type="paragraph" w:styleId="Index7">
    <w:name w:val="index 7"/>
    <w:basedOn w:val="Normal"/>
    <w:next w:val="Normal"/>
    <w:semiHidden/>
    <w:rsid w:val="00FC4ADC"/>
    <w:pPr>
      <w:ind w:left="1698"/>
    </w:pPr>
  </w:style>
  <w:style w:type="paragraph" w:styleId="IndexHeading">
    <w:name w:val="index heading"/>
    <w:basedOn w:val="Normal"/>
    <w:next w:val="Index1"/>
    <w:semiHidden/>
    <w:rsid w:val="00FC4ADC"/>
  </w:style>
  <w:style w:type="character" w:styleId="LineNumber">
    <w:name w:val="line number"/>
    <w:basedOn w:val="DefaultParagraphFont"/>
    <w:rsid w:val="00FC4ADC"/>
  </w:style>
  <w:style w:type="paragraph" w:customStyle="1" w:styleId="Normalaftertitle">
    <w:name w:val="Normal after title"/>
    <w:basedOn w:val="Normal"/>
    <w:next w:val="Normal"/>
    <w:rsid w:val="00FC4ADC"/>
    <w:pPr>
      <w:spacing w:before="280"/>
    </w:pPr>
  </w:style>
  <w:style w:type="character" w:customStyle="1" w:styleId="Appdef">
    <w:name w:val="App_def"/>
    <w:rsid w:val="00FC4ADC"/>
    <w:rPr>
      <w:rFonts w:ascii="Times New Roman" w:hAnsi="Times New Roman"/>
      <w:b/>
    </w:rPr>
  </w:style>
  <w:style w:type="character" w:customStyle="1" w:styleId="Appref">
    <w:name w:val="App_ref"/>
    <w:basedOn w:val="DefaultParagraphFont"/>
    <w:rsid w:val="00FC4ADC"/>
  </w:style>
  <w:style w:type="character" w:customStyle="1" w:styleId="Artdef">
    <w:name w:val="Art_def"/>
    <w:rsid w:val="00FC4ADC"/>
    <w:rPr>
      <w:rFonts w:ascii="Times New Roman" w:hAnsi="Times New Roman"/>
      <w:b/>
    </w:rPr>
  </w:style>
  <w:style w:type="character" w:customStyle="1" w:styleId="Artref">
    <w:name w:val="Art_ref"/>
    <w:basedOn w:val="DefaultParagraphFont"/>
    <w:rsid w:val="00FC4ADC"/>
  </w:style>
  <w:style w:type="paragraph" w:customStyle="1" w:styleId="Border">
    <w:name w:val="Border"/>
    <w:basedOn w:val="Normal"/>
    <w:rsid w:val="00FC4ADC"/>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rsid w:val="00FC4ADC"/>
    <w:pPr>
      <w:keepNext/>
      <w:keepLines/>
      <w:jc w:val="center"/>
    </w:pPr>
  </w:style>
  <w:style w:type="paragraph" w:customStyle="1" w:styleId="Agendaitem">
    <w:name w:val="Agenda_item"/>
    <w:basedOn w:val="Normal"/>
    <w:next w:val="Normalaftertitle"/>
    <w:qFormat/>
    <w:rsid w:val="00FC4ADC"/>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FC4ADC"/>
  </w:style>
  <w:style w:type="paragraph" w:customStyle="1" w:styleId="ApptoAnnex">
    <w:name w:val="App_to_Annex"/>
    <w:basedOn w:val="AppendixNo"/>
    <w:qFormat/>
    <w:rsid w:val="00FC4ADC"/>
  </w:style>
  <w:style w:type="paragraph" w:customStyle="1" w:styleId="Note">
    <w:name w:val="Note"/>
    <w:basedOn w:val="Normal"/>
    <w:rsid w:val="00FC4ADC"/>
    <w:pPr>
      <w:tabs>
        <w:tab w:val="left" w:pos="284"/>
      </w:tabs>
      <w:spacing w:before="80"/>
    </w:pPr>
  </w:style>
  <w:style w:type="character" w:styleId="PageNumber">
    <w:name w:val="page number"/>
    <w:basedOn w:val="DefaultParagraphFont"/>
    <w:rsid w:val="00FC4ADC"/>
  </w:style>
  <w:style w:type="paragraph" w:customStyle="1" w:styleId="Proposal">
    <w:name w:val="Proposal"/>
    <w:basedOn w:val="Normal"/>
    <w:next w:val="Normal"/>
    <w:rsid w:val="00FC4ADC"/>
    <w:pPr>
      <w:keepNext/>
      <w:spacing w:before="240"/>
    </w:pPr>
    <w:rPr>
      <w:rFonts w:hAnsi="Times New Roman Bold"/>
      <w:b/>
    </w:rPr>
  </w:style>
  <w:style w:type="paragraph" w:customStyle="1" w:styleId="Part1">
    <w:name w:val="Part_1"/>
    <w:basedOn w:val="Normal"/>
    <w:next w:val="Normal"/>
    <w:qFormat/>
    <w:rsid w:val="00FC4ADC"/>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FC4ADC"/>
  </w:style>
  <w:style w:type="paragraph" w:customStyle="1" w:styleId="Parttitle">
    <w:name w:val="Part_title"/>
    <w:basedOn w:val="Annextitle"/>
    <w:next w:val="Normalaftertitle"/>
    <w:rsid w:val="00FC4ADC"/>
  </w:style>
  <w:style w:type="paragraph" w:styleId="TOC1">
    <w:name w:val="toc 1"/>
    <w:basedOn w:val="Normal"/>
    <w:rsid w:val="00FC4AD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C4ADC"/>
    <w:pPr>
      <w:spacing w:before="120"/>
    </w:pPr>
  </w:style>
  <w:style w:type="paragraph" w:styleId="TOC3">
    <w:name w:val="toc 3"/>
    <w:basedOn w:val="TOC2"/>
    <w:rsid w:val="00FC4ADC"/>
  </w:style>
  <w:style w:type="paragraph" w:styleId="TOC4">
    <w:name w:val="toc 4"/>
    <w:basedOn w:val="TOC3"/>
    <w:rsid w:val="00FC4ADC"/>
  </w:style>
  <w:style w:type="paragraph" w:styleId="TOC5">
    <w:name w:val="toc 5"/>
    <w:basedOn w:val="TOC4"/>
    <w:rsid w:val="00FC4ADC"/>
  </w:style>
  <w:style w:type="paragraph" w:styleId="TOC6">
    <w:name w:val="toc 6"/>
    <w:basedOn w:val="TOC4"/>
    <w:rsid w:val="00FC4ADC"/>
  </w:style>
  <w:style w:type="paragraph" w:styleId="TOC7">
    <w:name w:val="toc 7"/>
    <w:basedOn w:val="TOC4"/>
    <w:rsid w:val="00FC4ADC"/>
  </w:style>
  <w:style w:type="paragraph" w:styleId="TOC8">
    <w:name w:val="toc 8"/>
    <w:basedOn w:val="TOC4"/>
    <w:rsid w:val="00FC4ADC"/>
  </w:style>
  <w:style w:type="paragraph" w:customStyle="1" w:styleId="Title1">
    <w:name w:val="Title 1"/>
    <w:basedOn w:val="Normal"/>
    <w:next w:val="Normal"/>
    <w:rsid w:val="00FC4ADC"/>
    <w:pPr>
      <w:tabs>
        <w:tab w:val="left" w:pos="567"/>
        <w:tab w:val="left" w:pos="1701"/>
        <w:tab w:val="left" w:pos="2835"/>
      </w:tabs>
      <w:spacing w:before="240"/>
      <w:jc w:val="center"/>
    </w:pPr>
    <w:rPr>
      <w:caps/>
      <w:sz w:val="28"/>
    </w:rPr>
  </w:style>
  <w:style w:type="paragraph" w:customStyle="1" w:styleId="Title2">
    <w:name w:val="Title 2"/>
    <w:basedOn w:val="Normal"/>
    <w:next w:val="Normal"/>
    <w:rsid w:val="00FC4ADC"/>
    <w:pPr>
      <w:overflowPunct/>
      <w:autoSpaceDE/>
      <w:autoSpaceDN/>
      <w:adjustRightInd/>
      <w:spacing w:before="480"/>
      <w:jc w:val="center"/>
      <w:textAlignment w:val="auto"/>
    </w:pPr>
    <w:rPr>
      <w:caps/>
      <w:sz w:val="28"/>
    </w:rPr>
  </w:style>
  <w:style w:type="paragraph" w:customStyle="1" w:styleId="Title3">
    <w:name w:val="Title 3"/>
    <w:basedOn w:val="Title2"/>
    <w:next w:val="Normal"/>
    <w:rsid w:val="00FC4ADC"/>
    <w:pPr>
      <w:spacing w:before="240"/>
    </w:pPr>
    <w:rPr>
      <w:caps w:val="0"/>
    </w:rPr>
  </w:style>
  <w:style w:type="paragraph" w:customStyle="1" w:styleId="Title4">
    <w:name w:val="Title 4"/>
    <w:basedOn w:val="Title3"/>
    <w:next w:val="Heading1"/>
    <w:rsid w:val="00FC4ADC"/>
    <w:rPr>
      <w:b/>
    </w:rPr>
  </w:style>
  <w:style w:type="paragraph" w:customStyle="1" w:styleId="toc0">
    <w:name w:val="toc 0"/>
    <w:basedOn w:val="Normal"/>
    <w:next w:val="TOC1"/>
    <w:rsid w:val="00FC4ADC"/>
    <w:pPr>
      <w:tabs>
        <w:tab w:val="clear" w:pos="1134"/>
        <w:tab w:val="clear" w:pos="1871"/>
        <w:tab w:val="clear" w:pos="2268"/>
        <w:tab w:val="right" w:pos="9781"/>
      </w:tabs>
    </w:pPr>
    <w:rPr>
      <w:b/>
    </w:rPr>
  </w:style>
  <w:style w:type="paragraph" w:customStyle="1" w:styleId="RecNo">
    <w:name w:val="Rec_No"/>
    <w:basedOn w:val="Normal"/>
    <w:next w:val="Normal"/>
    <w:rsid w:val="00FC4ADC"/>
    <w:pPr>
      <w:keepNext/>
      <w:keepLines/>
      <w:spacing w:before="480"/>
      <w:jc w:val="center"/>
    </w:pPr>
    <w:rPr>
      <w:caps/>
      <w:sz w:val="28"/>
    </w:rPr>
  </w:style>
  <w:style w:type="paragraph" w:customStyle="1" w:styleId="Rectitle">
    <w:name w:val="Rec_title"/>
    <w:basedOn w:val="RecNo"/>
    <w:next w:val="Normal"/>
    <w:rsid w:val="00FC4ADC"/>
    <w:pPr>
      <w:spacing w:before="240"/>
    </w:pPr>
    <w:rPr>
      <w:rFonts w:ascii="Times New Roman Bold" w:hAnsi="Times New Roman Bold"/>
      <w:b/>
      <w:caps w:val="0"/>
    </w:rPr>
  </w:style>
  <w:style w:type="paragraph" w:customStyle="1" w:styleId="Recdate">
    <w:name w:val="Rec_date"/>
    <w:basedOn w:val="Normal"/>
    <w:next w:val="Normalaftertitle"/>
    <w:rsid w:val="00FC4ADC"/>
    <w:pPr>
      <w:keepNext/>
      <w:keepLines/>
      <w:jc w:val="right"/>
    </w:pPr>
    <w:rPr>
      <w:sz w:val="22"/>
    </w:rPr>
  </w:style>
  <w:style w:type="paragraph" w:customStyle="1" w:styleId="Questiondate">
    <w:name w:val="Question_date"/>
    <w:basedOn w:val="Recdate"/>
    <w:next w:val="Normalaftertitle"/>
    <w:rsid w:val="00FC4ADC"/>
  </w:style>
  <w:style w:type="paragraph" w:customStyle="1" w:styleId="QuestionNo">
    <w:name w:val="Question_No"/>
    <w:basedOn w:val="RecNo"/>
    <w:next w:val="Normal"/>
    <w:rsid w:val="00FC4ADC"/>
  </w:style>
  <w:style w:type="paragraph" w:customStyle="1" w:styleId="Questiontitle">
    <w:name w:val="Question_title"/>
    <w:basedOn w:val="Rectitle"/>
    <w:next w:val="Normal"/>
    <w:rsid w:val="00FC4ADC"/>
  </w:style>
  <w:style w:type="paragraph" w:customStyle="1" w:styleId="Reasons">
    <w:name w:val="Reasons"/>
    <w:basedOn w:val="Normal"/>
    <w:rsid w:val="00FC4ADC"/>
    <w:pPr>
      <w:tabs>
        <w:tab w:val="clear" w:pos="1871"/>
        <w:tab w:val="clear" w:pos="2268"/>
        <w:tab w:val="left" w:pos="1588"/>
        <w:tab w:val="left" w:pos="1985"/>
      </w:tabs>
    </w:pPr>
  </w:style>
  <w:style w:type="character" w:customStyle="1" w:styleId="Recdef">
    <w:name w:val="Rec_def"/>
    <w:rsid w:val="00FC4ADC"/>
    <w:rPr>
      <w:b/>
    </w:rPr>
  </w:style>
  <w:style w:type="paragraph" w:customStyle="1" w:styleId="Reftext">
    <w:name w:val="Ref_text"/>
    <w:basedOn w:val="Normal"/>
    <w:rsid w:val="00FC4ADC"/>
    <w:pPr>
      <w:ind w:left="1134" w:hanging="1134"/>
    </w:pPr>
  </w:style>
  <w:style w:type="paragraph" w:customStyle="1" w:styleId="Reftitle">
    <w:name w:val="Ref_title"/>
    <w:basedOn w:val="Normal"/>
    <w:next w:val="Reftext"/>
    <w:rsid w:val="00FC4ADC"/>
    <w:pPr>
      <w:spacing w:before="480"/>
      <w:jc w:val="center"/>
    </w:pPr>
    <w:rPr>
      <w:caps/>
    </w:rPr>
  </w:style>
  <w:style w:type="paragraph" w:customStyle="1" w:styleId="Repdate">
    <w:name w:val="Rep_date"/>
    <w:basedOn w:val="Recdate"/>
    <w:next w:val="Normalaftertitle"/>
    <w:rsid w:val="00FC4ADC"/>
  </w:style>
  <w:style w:type="paragraph" w:customStyle="1" w:styleId="RepNo">
    <w:name w:val="Rep_No"/>
    <w:basedOn w:val="RecNo"/>
    <w:next w:val="Normal"/>
    <w:rsid w:val="00FC4ADC"/>
  </w:style>
  <w:style w:type="paragraph" w:customStyle="1" w:styleId="Repref">
    <w:name w:val="Rep_ref"/>
    <w:basedOn w:val="Normal"/>
    <w:next w:val="Repdate"/>
    <w:rsid w:val="00FC4ADC"/>
    <w:pPr>
      <w:keepNext/>
      <w:keepLines/>
      <w:jc w:val="center"/>
    </w:pPr>
  </w:style>
  <w:style w:type="paragraph" w:customStyle="1" w:styleId="Reptitle">
    <w:name w:val="Rep_title"/>
    <w:basedOn w:val="Rectitle"/>
    <w:next w:val="Repref"/>
    <w:rsid w:val="00FC4ADC"/>
  </w:style>
  <w:style w:type="paragraph" w:customStyle="1" w:styleId="Resdate">
    <w:name w:val="Res_date"/>
    <w:basedOn w:val="Recdate"/>
    <w:next w:val="Normalaftertitle"/>
    <w:rsid w:val="00FC4ADC"/>
  </w:style>
  <w:style w:type="character" w:customStyle="1" w:styleId="Resdef">
    <w:name w:val="Res_def"/>
    <w:rsid w:val="00FC4ADC"/>
    <w:rPr>
      <w:rFonts w:ascii="Times New Roman" w:hAnsi="Times New Roman"/>
      <w:b/>
    </w:rPr>
  </w:style>
  <w:style w:type="paragraph" w:customStyle="1" w:styleId="ResNo">
    <w:name w:val="Res_No"/>
    <w:basedOn w:val="RecNo"/>
    <w:next w:val="Normal"/>
    <w:rsid w:val="00FC4ADC"/>
  </w:style>
  <w:style w:type="paragraph" w:customStyle="1" w:styleId="Restitle">
    <w:name w:val="Res_title"/>
    <w:basedOn w:val="Rectitle"/>
    <w:next w:val="Normal"/>
    <w:rsid w:val="00FC4ADC"/>
  </w:style>
  <w:style w:type="paragraph" w:customStyle="1" w:styleId="Section1">
    <w:name w:val="Section_1"/>
    <w:basedOn w:val="Normal"/>
    <w:rsid w:val="00FC4ADC"/>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C4ADC"/>
    <w:rPr>
      <w:b w:val="0"/>
      <w:i/>
    </w:rPr>
  </w:style>
  <w:style w:type="paragraph" w:customStyle="1" w:styleId="Section3">
    <w:name w:val="Section_3"/>
    <w:basedOn w:val="Section1"/>
    <w:rsid w:val="00FC4ADC"/>
    <w:rPr>
      <w:b w:val="0"/>
    </w:rPr>
  </w:style>
  <w:style w:type="paragraph" w:customStyle="1" w:styleId="SectionNo">
    <w:name w:val="Section_No"/>
    <w:basedOn w:val="AnnexNo"/>
    <w:next w:val="Normal"/>
    <w:rsid w:val="00FC4ADC"/>
  </w:style>
  <w:style w:type="paragraph" w:customStyle="1" w:styleId="Sectiontitle">
    <w:name w:val="Section_title"/>
    <w:basedOn w:val="Annextitle"/>
    <w:next w:val="Normalaftertitle"/>
    <w:rsid w:val="00FC4ADC"/>
  </w:style>
  <w:style w:type="paragraph" w:customStyle="1" w:styleId="Source">
    <w:name w:val="Source"/>
    <w:basedOn w:val="Normal"/>
    <w:next w:val="Normal"/>
    <w:rsid w:val="00FC4ADC"/>
    <w:pPr>
      <w:spacing w:before="840"/>
      <w:jc w:val="center"/>
    </w:pPr>
    <w:rPr>
      <w:b/>
      <w:sz w:val="28"/>
    </w:rPr>
  </w:style>
  <w:style w:type="paragraph" w:customStyle="1" w:styleId="SpecialFooter">
    <w:name w:val="Special Footer"/>
    <w:basedOn w:val="Footer"/>
    <w:rsid w:val="00FC4ADC"/>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FC4ADC"/>
  </w:style>
  <w:style w:type="character" w:customStyle="1" w:styleId="Tablefreq">
    <w:name w:val="Table_freq"/>
    <w:rsid w:val="00FC4ADC"/>
    <w:rPr>
      <w:b/>
      <w:color w:val="auto"/>
      <w:sz w:val="20"/>
    </w:rPr>
  </w:style>
  <w:style w:type="paragraph" w:customStyle="1" w:styleId="Tabletext">
    <w:name w:val="Table_text"/>
    <w:basedOn w:val="Normal"/>
    <w:rsid w:val="00FC4A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FC4ADC"/>
    <w:pPr>
      <w:keepNext/>
      <w:spacing w:before="80" w:after="80"/>
      <w:jc w:val="center"/>
    </w:pPr>
    <w:rPr>
      <w:b/>
    </w:rPr>
  </w:style>
  <w:style w:type="paragraph" w:customStyle="1" w:styleId="Tablelegend">
    <w:name w:val="Table_legend"/>
    <w:basedOn w:val="Tabletext"/>
    <w:rsid w:val="00FC4ADC"/>
    <w:pPr>
      <w:tabs>
        <w:tab w:val="clear" w:pos="284"/>
      </w:tabs>
      <w:spacing w:before="120"/>
    </w:pPr>
  </w:style>
  <w:style w:type="paragraph" w:customStyle="1" w:styleId="TableNo">
    <w:name w:val="Table_No"/>
    <w:basedOn w:val="Normal"/>
    <w:next w:val="Normal"/>
    <w:rsid w:val="00FC4ADC"/>
    <w:pPr>
      <w:keepNext/>
      <w:spacing w:before="560" w:after="120"/>
      <w:jc w:val="center"/>
    </w:pPr>
    <w:rPr>
      <w:caps/>
      <w:sz w:val="20"/>
    </w:rPr>
  </w:style>
  <w:style w:type="paragraph" w:customStyle="1" w:styleId="TableTextS5">
    <w:name w:val="Table_TextS5"/>
    <w:basedOn w:val="Normal"/>
    <w:rsid w:val="00FC0101"/>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FC4ADC"/>
    <w:pPr>
      <w:keepNext/>
      <w:keepLines/>
      <w:spacing w:before="0" w:after="120"/>
      <w:jc w:val="center"/>
    </w:pPr>
    <w:rPr>
      <w:rFonts w:ascii="Times New Roman Bold" w:hAnsi="Times New Roman Bold"/>
      <w:b/>
      <w:sz w:val="20"/>
    </w:rPr>
  </w:style>
  <w:style w:type="table" w:styleId="TableGrid">
    <w:name w:val="Table Grid"/>
    <w:basedOn w:val="TableNormal"/>
    <w:rsid w:val="00FC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FC4ADC"/>
    <w:rPr>
      <w:rFonts w:ascii="Times New Roman" w:hAnsi="Times New Roman"/>
      <w:sz w:val="18"/>
      <w:lang w:val="fr-FR" w:eastAsia="en-US"/>
    </w:rPr>
  </w:style>
  <w:style w:type="paragraph" w:customStyle="1" w:styleId="AppArttitle">
    <w:name w:val="App_Art_title"/>
    <w:basedOn w:val="Arttitle"/>
    <w:next w:val="Normalaftertitle"/>
    <w:qFormat/>
    <w:rsid w:val="00FC4ADC"/>
    <w:rPr>
      <w:lang w:val="fr-CH"/>
    </w:rPr>
  </w:style>
  <w:style w:type="paragraph" w:customStyle="1" w:styleId="AppArtNo">
    <w:name w:val="App_Art_No"/>
    <w:basedOn w:val="ArtNo"/>
    <w:next w:val="AppArttitle"/>
    <w:qFormat/>
    <w:rsid w:val="00FC4ADC"/>
  </w:style>
  <w:style w:type="paragraph" w:customStyle="1" w:styleId="Headingsplit">
    <w:name w:val="Heading_split"/>
    <w:basedOn w:val="Headingi"/>
    <w:qFormat/>
    <w:rsid w:val="00FC4ADC"/>
  </w:style>
  <w:style w:type="paragraph" w:customStyle="1" w:styleId="Normalsplit">
    <w:name w:val="Normal_split"/>
    <w:basedOn w:val="Normal"/>
    <w:next w:val="Normal"/>
    <w:qFormat/>
    <w:rsid w:val="00FC4ADC"/>
  </w:style>
  <w:style w:type="character" w:customStyle="1" w:styleId="Provsplit">
    <w:name w:val="Prov_split"/>
    <w:basedOn w:val="DefaultParagraphFont"/>
    <w:uiPriority w:val="1"/>
    <w:qFormat/>
    <w:rsid w:val="00FC4ADC"/>
  </w:style>
  <w:style w:type="paragraph" w:customStyle="1" w:styleId="Tablesplit">
    <w:name w:val="Table_split"/>
    <w:basedOn w:val="Normal"/>
    <w:qFormat/>
    <w:rsid w:val="00FC4ADC"/>
    <w:pPr>
      <w:tabs>
        <w:tab w:val="clear" w:pos="1134"/>
        <w:tab w:val="clear" w:pos="1871"/>
        <w:tab w:val="clear" w:pos="2268"/>
        <w:tab w:val="left" w:pos="7825"/>
      </w:tabs>
      <w:spacing w:before="40" w:after="40"/>
    </w:pPr>
    <w:rPr>
      <w:b/>
      <w:sz w:val="20"/>
      <w:lang w:val="en-GB"/>
    </w:rPr>
  </w:style>
  <w:style w:type="paragraph" w:customStyle="1" w:styleId="Committee">
    <w:name w:val="Committee"/>
    <w:basedOn w:val="Normal"/>
    <w:qFormat/>
    <w:rsid w:val="00FC4ADC"/>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MethodHeadingb">
    <w:name w:val="Method_Headingb"/>
    <w:basedOn w:val="Headingb"/>
    <w:qFormat/>
    <w:rsid w:val="00FC4ADC"/>
  </w:style>
  <w:style w:type="paragraph" w:customStyle="1" w:styleId="Methodheading1">
    <w:name w:val="Method_heading1"/>
    <w:basedOn w:val="Heading1"/>
    <w:next w:val="Normal"/>
    <w:qFormat/>
    <w:rsid w:val="00FC4ADC"/>
  </w:style>
  <w:style w:type="paragraph" w:customStyle="1" w:styleId="Methodheading2">
    <w:name w:val="Method_heading2"/>
    <w:basedOn w:val="Heading2"/>
    <w:next w:val="Normal"/>
    <w:qFormat/>
    <w:rsid w:val="00FC4ADC"/>
  </w:style>
  <w:style w:type="paragraph" w:customStyle="1" w:styleId="Methodheading3">
    <w:name w:val="Method_heading3"/>
    <w:basedOn w:val="Heading3"/>
    <w:next w:val="Normal"/>
    <w:qFormat/>
    <w:rsid w:val="00FC4ADC"/>
  </w:style>
  <w:style w:type="paragraph" w:customStyle="1" w:styleId="Methodheading4">
    <w:name w:val="Method_heading4"/>
    <w:basedOn w:val="Heading4"/>
    <w:next w:val="Normal"/>
    <w:qFormat/>
    <w:rsid w:val="00FC4ADC"/>
  </w:style>
  <w:style w:type="paragraph" w:customStyle="1" w:styleId="Volumetitle">
    <w:name w:val="Volume_title"/>
    <w:basedOn w:val="ArtNo"/>
    <w:qFormat/>
    <w:rsid w:val="00FC4ADC"/>
    <w:rPr>
      <w:lang w:val="fr-CH"/>
    </w:rPr>
  </w:style>
  <w:style w:type="character" w:customStyle="1" w:styleId="FootnoteTextChar">
    <w:name w:val="Footnote Text Char"/>
    <w:basedOn w:val="DefaultParagraphFont"/>
    <w:link w:val="FootnoteText"/>
    <w:rsid w:val="00C00626"/>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onge\AppData\Roaming\Microsoft\Templates\POOL%20F%20-%20ITU\PF_WRC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PF_WRC19.dotx</Template>
  <TotalTime>72</TotalTime>
  <Pages>5</Pages>
  <Words>2430</Words>
  <Characters>12639</Characters>
  <Application>Microsoft Office Word</Application>
  <DocSecurity>0</DocSecurity>
  <Lines>197</Lines>
  <Paragraphs>63</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15006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Conférence mondiale des radiocommunications - 2019</dc:subject>
  <dc:creator>French1</dc:creator>
  <cp:keywords/>
  <cp:lastModifiedBy>French</cp:lastModifiedBy>
  <cp:revision>20</cp:revision>
  <cp:lastPrinted>2019-10-20T11:28:00Z</cp:lastPrinted>
  <dcterms:created xsi:type="dcterms:W3CDTF">2019-10-18T09:19:00Z</dcterms:created>
  <dcterms:modified xsi:type="dcterms:W3CDTF">2019-10-20T11:28:00Z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