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5646BA7" w14:textId="77777777">
        <w:trPr>
          <w:cantSplit/>
        </w:trPr>
        <w:tc>
          <w:tcPr>
            <w:tcW w:w="6911" w:type="dxa"/>
          </w:tcPr>
          <w:p w14:paraId="2A3FF41C"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284A2BF" w14:textId="77777777" w:rsidR="00A066F1" w:rsidRDefault="005F04D8" w:rsidP="003B2284">
            <w:pPr>
              <w:spacing w:before="0" w:line="240" w:lineRule="atLeast"/>
              <w:jc w:val="right"/>
            </w:pPr>
            <w:r>
              <w:rPr>
                <w:noProof/>
                <w:lang w:val="en-US" w:eastAsia="zh-CN"/>
              </w:rPr>
              <w:drawing>
                <wp:inline distT="0" distB="0" distL="0" distR="0" wp14:anchorId="0837BF8B" wp14:editId="5DBBD98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46AB7BA" w14:textId="77777777">
        <w:trPr>
          <w:cantSplit/>
        </w:trPr>
        <w:tc>
          <w:tcPr>
            <w:tcW w:w="6911" w:type="dxa"/>
            <w:tcBorders>
              <w:bottom w:val="single" w:sz="12" w:space="0" w:color="auto"/>
            </w:tcBorders>
          </w:tcPr>
          <w:p w14:paraId="5882BFA8"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2AFF6FA4" w14:textId="77777777" w:rsidR="00A066F1" w:rsidRPr="00617BE4" w:rsidRDefault="00A066F1" w:rsidP="00A066F1">
            <w:pPr>
              <w:spacing w:before="0" w:line="240" w:lineRule="atLeast"/>
              <w:rPr>
                <w:rFonts w:ascii="Verdana" w:hAnsi="Verdana"/>
                <w:szCs w:val="24"/>
              </w:rPr>
            </w:pPr>
          </w:p>
        </w:tc>
      </w:tr>
      <w:tr w:rsidR="00A066F1" w:rsidRPr="00C324A8" w14:paraId="10333E2C" w14:textId="77777777">
        <w:trPr>
          <w:cantSplit/>
        </w:trPr>
        <w:tc>
          <w:tcPr>
            <w:tcW w:w="6911" w:type="dxa"/>
            <w:tcBorders>
              <w:top w:val="single" w:sz="12" w:space="0" w:color="auto"/>
            </w:tcBorders>
          </w:tcPr>
          <w:p w14:paraId="2D17298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CA1A491" w14:textId="77777777" w:rsidR="00A066F1" w:rsidRPr="00C324A8" w:rsidRDefault="00A066F1" w:rsidP="00A066F1">
            <w:pPr>
              <w:spacing w:before="0" w:line="240" w:lineRule="atLeast"/>
              <w:rPr>
                <w:rFonts w:ascii="Verdana" w:hAnsi="Verdana"/>
                <w:sz w:val="20"/>
              </w:rPr>
            </w:pPr>
          </w:p>
        </w:tc>
      </w:tr>
      <w:tr w:rsidR="00A066F1" w:rsidRPr="00C324A8" w14:paraId="6CC6B0C6" w14:textId="77777777">
        <w:trPr>
          <w:cantSplit/>
          <w:trHeight w:val="23"/>
        </w:trPr>
        <w:tc>
          <w:tcPr>
            <w:tcW w:w="6911" w:type="dxa"/>
            <w:shd w:val="clear" w:color="auto" w:fill="auto"/>
          </w:tcPr>
          <w:p w14:paraId="18E4DC41"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1EE25AE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8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00BE29C7" w14:textId="77777777">
        <w:trPr>
          <w:cantSplit/>
          <w:trHeight w:val="23"/>
        </w:trPr>
        <w:tc>
          <w:tcPr>
            <w:tcW w:w="6911" w:type="dxa"/>
            <w:shd w:val="clear" w:color="auto" w:fill="auto"/>
          </w:tcPr>
          <w:p w14:paraId="1D78A01B"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7A2EF2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76F55E05" w14:textId="77777777">
        <w:trPr>
          <w:cantSplit/>
          <w:trHeight w:val="23"/>
        </w:trPr>
        <w:tc>
          <w:tcPr>
            <w:tcW w:w="6911" w:type="dxa"/>
            <w:shd w:val="clear" w:color="auto" w:fill="auto"/>
          </w:tcPr>
          <w:p w14:paraId="1A557303"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B2A0B03"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97C356C" w14:textId="77777777" w:rsidTr="00025864">
        <w:trPr>
          <w:cantSplit/>
          <w:trHeight w:val="23"/>
        </w:trPr>
        <w:tc>
          <w:tcPr>
            <w:tcW w:w="10031" w:type="dxa"/>
            <w:gridSpan w:val="2"/>
            <w:shd w:val="clear" w:color="auto" w:fill="auto"/>
          </w:tcPr>
          <w:p w14:paraId="3E24EBF0" w14:textId="77777777" w:rsidR="00A066F1" w:rsidRPr="00C324A8" w:rsidRDefault="00A066F1" w:rsidP="00A066F1">
            <w:pPr>
              <w:tabs>
                <w:tab w:val="left" w:pos="993"/>
              </w:tabs>
              <w:spacing w:before="0"/>
              <w:rPr>
                <w:rFonts w:ascii="Verdana" w:hAnsi="Verdana"/>
                <w:b/>
                <w:sz w:val="20"/>
              </w:rPr>
            </w:pPr>
          </w:p>
        </w:tc>
      </w:tr>
      <w:tr w:rsidR="00E55816" w:rsidRPr="00C324A8" w14:paraId="13D23580" w14:textId="77777777" w:rsidTr="00025864">
        <w:trPr>
          <w:cantSplit/>
          <w:trHeight w:val="23"/>
        </w:trPr>
        <w:tc>
          <w:tcPr>
            <w:tcW w:w="10031" w:type="dxa"/>
            <w:gridSpan w:val="2"/>
            <w:shd w:val="clear" w:color="auto" w:fill="auto"/>
          </w:tcPr>
          <w:p w14:paraId="1D1A44E8" w14:textId="77777777" w:rsidR="00E55816" w:rsidRDefault="00884D60" w:rsidP="00E55816">
            <w:pPr>
              <w:pStyle w:val="Source"/>
            </w:pPr>
            <w:r>
              <w:t>European Common Proposals</w:t>
            </w:r>
          </w:p>
        </w:tc>
      </w:tr>
      <w:tr w:rsidR="00E55816" w:rsidRPr="00C324A8" w14:paraId="7FA6E7FA" w14:textId="77777777" w:rsidTr="00025864">
        <w:trPr>
          <w:cantSplit/>
          <w:trHeight w:val="23"/>
        </w:trPr>
        <w:tc>
          <w:tcPr>
            <w:tcW w:w="10031" w:type="dxa"/>
            <w:gridSpan w:val="2"/>
            <w:shd w:val="clear" w:color="auto" w:fill="auto"/>
          </w:tcPr>
          <w:p w14:paraId="025B3257" w14:textId="77777777" w:rsidR="00E55816" w:rsidRDefault="007D5320" w:rsidP="00E55816">
            <w:pPr>
              <w:pStyle w:val="Title1"/>
            </w:pPr>
            <w:r>
              <w:t>Proposals for the work of the conference</w:t>
            </w:r>
          </w:p>
        </w:tc>
      </w:tr>
      <w:tr w:rsidR="00E55816" w:rsidRPr="00C324A8" w14:paraId="45728B21" w14:textId="77777777" w:rsidTr="00025864">
        <w:trPr>
          <w:cantSplit/>
          <w:trHeight w:val="23"/>
        </w:trPr>
        <w:tc>
          <w:tcPr>
            <w:tcW w:w="10031" w:type="dxa"/>
            <w:gridSpan w:val="2"/>
            <w:shd w:val="clear" w:color="auto" w:fill="auto"/>
          </w:tcPr>
          <w:p w14:paraId="411E60C0" w14:textId="77777777" w:rsidR="00E55816" w:rsidRDefault="00E55816" w:rsidP="00E55816">
            <w:pPr>
              <w:pStyle w:val="Title2"/>
            </w:pPr>
          </w:p>
        </w:tc>
      </w:tr>
      <w:tr w:rsidR="00A538A6" w:rsidRPr="00C324A8" w14:paraId="5FF1E898" w14:textId="77777777" w:rsidTr="00025864">
        <w:trPr>
          <w:cantSplit/>
          <w:trHeight w:val="23"/>
        </w:trPr>
        <w:tc>
          <w:tcPr>
            <w:tcW w:w="10031" w:type="dxa"/>
            <w:gridSpan w:val="2"/>
            <w:shd w:val="clear" w:color="auto" w:fill="auto"/>
          </w:tcPr>
          <w:p w14:paraId="5650419C" w14:textId="77777777" w:rsidR="00A538A6" w:rsidRDefault="004B13CB" w:rsidP="004B13CB">
            <w:pPr>
              <w:pStyle w:val="Agendaitem"/>
            </w:pPr>
            <w:r>
              <w:t>Agenda item 9.1(9.1.8)</w:t>
            </w:r>
          </w:p>
        </w:tc>
      </w:tr>
    </w:tbl>
    <w:bookmarkEnd w:id="6"/>
    <w:bookmarkEnd w:id="7"/>
    <w:p w14:paraId="5E74F0C6" w14:textId="77777777" w:rsidR="005118F7" w:rsidRPr="00EC5386" w:rsidRDefault="002E376D"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4745C8CD" w14:textId="77777777" w:rsidR="005118F7" w:rsidRPr="00EC5386" w:rsidRDefault="002E376D"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5B353763" w14:textId="77777777" w:rsidR="005118F7" w:rsidRPr="005B1C49" w:rsidRDefault="002E376D" w:rsidP="006B0FCC">
      <w:r>
        <w:rPr>
          <w:rFonts w:cstheme="majorBidi"/>
          <w:color w:val="000000"/>
          <w:szCs w:val="24"/>
          <w:lang w:eastAsia="zh-CN"/>
        </w:rPr>
        <w:t>9.1 (</w:t>
      </w:r>
      <w:r>
        <w:rPr>
          <w:rFonts w:hint="eastAsia"/>
          <w:lang w:val="en-US" w:eastAsia="zh-CN"/>
        </w:rPr>
        <w:t>9.1.</w:t>
      </w:r>
      <w:r>
        <w:rPr>
          <w:lang w:val="en-US" w:eastAsia="zh-CN"/>
        </w:rPr>
        <w:t>8)</w:t>
      </w:r>
      <w:r>
        <w:rPr>
          <w:lang w:val="en-US"/>
        </w:rPr>
        <w:t xml:space="preserve"> </w:t>
      </w:r>
      <w:r>
        <w:rPr>
          <w:lang w:val="en-US"/>
        </w:rPr>
        <w:tab/>
      </w:r>
      <w:r w:rsidRPr="006B0FCC">
        <w:rPr>
          <w:lang w:val="en-US"/>
        </w:rPr>
        <w:t xml:space="preserve">Resolution </w:t>
      </w:r>
      <w:r w:rsidRPr="00DE11D1">
        <w:rPr>
          <w:b/>
          <w:bCs/>
          <w:lang w:val="en-US"/>
        </w:rPr>
        <w:t>958 (WRC-15)</w:t>
      </w:r>
      <w:r w:rsidRPr="006B0FCC">
        <w:rPr>
          <w:lang w:val="en-US"/>
        </w:rPr>
        <w:t xml:space="preserve"> – Annex item 3) 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p>
    <w:p w14:paraId="239AC5C8" w14:textId="77777777" w:rsidR="00897E84" w:rsidRPr="00E26D8E" w:rsidRDefault="00897E84" w:rsidP="00897E84">
      <w:pPr>
        <w:pStyle w:val="Headingb"/>
        <w:rPr>
          <w:lang w:val="en-GB"/>
        </w:rPr>
      </w:pPr>
      <w:r w:rsidRPr="00E26D8E">
        <w:rPr>
          <w:lang w:val="en-GB"/>
        </w:rPr>
        <w:t>Introduction</w:t>
      </w:r>
    </w:p>
    <w:p w14:paraId="03A243F4" w14:textId="77777777" w:rsidR="00897E84" w:rsidRDefault="00897E84" w:rsidP="00897E84">
      <w:pPr>
        <w:rPr>
          <w:lang w:val="en-US"/>
        </w:rPr>
      </w:pPr>
      <w:r w:rsidRPr="006D4FF9">
        <w:rPr>
          <w:lang w:val="en-US"/>
        </w:rPr>
        <w:t>In CEPT the work on machine-type communications</w:t>
      </w:r>
      <w:r>
        <w:rPr>
          <w:lang w:val="en-US"/>
        </w:rPr>
        <w:t xml:space="preserve"> (MTC)</w:t>
      </w:r>
      <w:r w:rsidRPr="006D4FF9">
        <w:rPr>
          <w:lang w:val="en-US"/>
        </w:rPr>
        <w:t xml:space="preserve"> is conducted mostly as part of the regular tasks, mostly in relation to </w:t>
      </w:r>
      <w:r>
        <w:rPr>
          <w:lang w:val="en-US"/>
        </w:rPr>
        <w:t>Mobile/Fixed Communications Networks (</w:t>
      </w:r>
      <w:r w:rsidRPr="006D4FF9">
        <w:rPr>
          <w:lang w:val="en-US"/>
        </w:rPr>
        <w:t>MFCN</w:t>
      </w:r>
      <w:r>
        <w:rPr>
          <w:lang w:val="en-US"/>
        </w:rPr>
        <w:t>)</w:t>
      </w:r>
      <w:r w:rsidRPr="006D4FF9">
        <w:rPr>
          <w:lang w:val="en-US"/>
        </w:rPr>
        <w:t xml:space="preserve">, other land mobile systems used for </w:t>
      </w:r>
      <w:r w:rsidRPr="00AC4C91">
        <w:rPr>
          <w:lang w:val="en-US"/>
        </w:rPr>
        <w:t xml:space="preserve">private/ professional land mobile radio </w:t>
      </w:r>
      <w:r>
        <w:rPr>
          <w:lang w:val="en-US"/>
        </w:rPr>
        <w:t>(</w:t>
      </w:r>
      <w:r w:rsidRPr="006D4FF9">
        <w:rPr>
          <w:lang w:val="en-US"/>
        </w:rPr>
        <w:t>PMR/PAMR</w:t>
      </w:r>
      <w:r>
        <w:rPr>
          <w:lang w:val="en-US"/>
        </w:rPr>
        <w:t>)</w:t>
      </w:r>
      <w:r w:rsidRPr="006D4FF9">
        <w:rPr>
          <w:lang w:val="en-US"/>
        </w:rPr>
        <w:t>, short-range device</w:t>
      </w:r>
      <w:r>
        <w:rPr>
          <w:lang w:val="en-US"/>
        </w:rPr>
        <w:t>s (SRD)</w:t>
      </w:r>
      <w:r w:rsidRPr="006D4FF9">
        <w:rPr>
          <w:lang w:val="en-US"/>
        </w:rPr>
        <w:t xml:space="preserve"> and standalone satellite or hybrid terrestrial/satellite systems. </w:t>
      </w:r>
    </w:p>
    <w:p w14:paraId="0315A742" w14:textId="77777777" w:rsidR="00897E84" w:rsidRDefault="00897E84" w:rsidP="00897E84">
      <w:pPr>
        <w:rPr>
          <w:lang w:val="en-US"/>
        </w:rPr>
      </w:pPr>
      <w:r>
        <w:rPr>
          <w:lang w:val="en-US"/>
        </w:rPr>
        <w:t xml:space="preserve">CEPT is responding to MTC (M2M\IoT) harmonization needs with various relevant deliverables (e.g. ECC Decision (06)13, </w:t>
      </w:r>
      <w:r w:rsidRPr="008835A2">
        <w:t>CEPT Recommendation T/R 25-08</w:t>
      </w:r>
      <w:r>
        <w:t xml:space="preserve">, </w:t>
      </w:r>
      <w:r w:rsidRPr="008835A2">
        <w:t>ERC Recommendation 70-03</w:t>
      </w:r>
      <w:r>
        <w:t xml:space="preserve">, ECC Report 266, etc.) </w:t>
      </w:r>
      <w:r w:rsidRPr="008835A2">
        <w:rPr>
          <w:lang w:val="en-US"/>
        </w:rPr>
        <w:t xml:space="preserve">which </w:t>
      </w:r>
      <w:r>
        <w:rPr>
          <w:lang w:val="en-US"/>
        </w:rPr>
        <w:t xml:space="preserve">address various communications </w:t>
      </w:r>
      <w:r w:rsidRPr="008835A2">
        <w:rPr>
          <w:lang w:val="en-US"/>
        </w:rPr>
        <w:t>technolog</w:t>
      </w:r>
      <w:r>
        <w:rPr>
          <w:lang w:val="en-US"/>
        </w:rPr>
        <w:t>ies.</w:t>
      </w:r>
    </w:p>
    <w:p w14:paraId="70BE4A9E" w14:textId="77777777" w:rsidR="00897E84" w:rsidRPr="0089341A" w:rsidRDefault="00897E84" w:rsidP="00897E84">
      <w:pPr>
        <w:rPr>
          <w:lang w:val="en-US"/>
        </w:rPr>
      </w:pPr>
      <w:r w:rsidRPr="0089341A">
        <w:rPr>
          <w:lang w:val="en-US"/>
        </w:rPr>
        <w:t xml:space="preserve">Additionally, ITU-R studies </w:t>
      </w:r>
      <w:r>
        <w:rPr>
          <w:lang w:val="en-US"/>
        </w:rPr>
        <w:t xml:space="preserve">considering </w:t>
      </w:r>
      <w:r w:rsidRPr="006D4FF9">
        <w:rPr>
          <w:lang w:val="en-US"/>
        </w:rPr>
        <w:t xml:space="preserve">IMT </w:t>
      </w:r>
      <w:r>
        <w:rPr>
          <w:lang w:val="en-US"/>
        </w:rPr>
        <w:t xml:space="preserve">and non-IMT </w:t>
      </w:r>
      <w:r w:rsidRPr="006D4FF9">
        <w:rPr>
          <w:lang w:val="en-US"/>
        </w:rPr>
        <w:t>technologies</w:t>
      </w:r>
      <w:r w:rsidRPr="0089341A">
        <w:rPr>
          <w:lang w:val="en-US"/>
        </w:rPr>
        <w:t xml:space="preserve"> </w:t>
      </w:r>
      <w:r w:rsidRPr="009658F0">
        <w:rPr>
          <w:lang w:val="en-US"/>
        </w:rPr>
        <w:t>within WRC-19 agenda</w:t>
      </w:r>
      <w:r w:rsidRPr="0089341A">
        <w:rPr>
          <w:lang w:val="en-US"/>
        </w:rPr>
        <w:t xml:space="preserve"> item 9.1 issue 9.1.8 have concluded there is no need for any </w:t>
      </w:r>
      <w:r>
        <w:rPr>
          <w:lang w:val="en-US"/>
        </w:rPr>
        <w:t>regulatory action in the Radio R</w:t>
      </w:r>
      <w:r w:rsidRPr="0089341A">
        <w:rPr>
          <w:lang w:val="en-US"/>
        </w:rPr>
        <w:t>egulations with regard to specific spectrum for use by those applications.</w:t>
      </w:r>
    </w:p>
    <w:p w14:paraId="4F417FB8" w14:textId="77777777" w:rsidR="00897E84" w:rsidRPr="00037479" w:rsidRDefault="00897E84" w:rsidP="00897E84">
      <w:r w:rsidRPr="006D4FF9">
        <w:t>Therefore</w:t>
      </w:r>
      <w:r>
        <w:t>,</w:t>
      </w:r>
      <w:r w:rsidRPr="006D4FF9">
        <w:t xml:space="preserve"> CEPT believe</w:t>
      </w:r>
      <w:r>
        <w:t>s</w:t>
      </w:r>
      <w:r w:rsidRPr="006D4FF9">
        <w:t xml:space="preserve"> that </w:t>
      </w:r>
      <w:r>
        <w:t xml:space="preserve">the </w:t>
      </w:r>
      <w:r w:rsidRPr="006D4FF9">
        <w:t>current and developing framework in Europe, as well as ITU-R deliverables</w:t>
      </w:r>
      <w:r>
        <w:t xml:space="preserve"> recently developed or</w:t>
      </w:r>
      <w:r w:rsidRPr="009068D2">
        <w:t xml:space="preserve"> </w:t>
      </w:r>
      <w:r>
        <w:t xml:space="preserve">currently being </w:t>
      </w:r>
      <w:r w:rsidRPr="006D4FF9">
        <w:t xml:space="preserve">developed, are sufficient to </w:t>
      </w:r>
      <w:r>
        <w:t xml:space="preserve">enable </w:t>
      </w:r>
      <w:r w:rsidRPr="006D4FF9">
        <w:t xml:space="preserve">MTC </w:t>
      </w:r>
      <w:r>
        <w:t xml:space="preserve">applications within </w:t>
      </w:r>
      <w:r w:rsidRPr="006D4FF9">
        <w:t>existing spectrum by broadband and narrowband technologies</w:t>
      </w:r>
      <w:r>
        <w:t xml:space="preserve"> and there is </w:t>
      </w:r>
      <w:r w:rsidRPr="009068D2">
        <w:rPr>
          <w:lang w:val="en-US"/>
        </w:rPr>
        <w:t>no need for any regulatory action in the Radio Regulations</w:t>
      </w:r>
      <w:r w:rsidRPr="006D4FF9">
        <w:t>.</w:t>
      </w:r>
    </w:p>
    <w:p w14:paraId="4E5BC644" w14:textId="513C45C8" w:rsidR="00187BD9" w:rsidRPr="00F22A55" w:rsidRDefault="00897E84" w:rsidP="00F22A55">
      <w:pPr>
        <w:pStyle w:val="Headingb"/>
        <w:pageBreakBefore/>
        <w:rPr>
          <w:lang w:val="en-GB"/>
        </w:rPr>
      </w:pPr>
      <w:r w:rsidRPr="00E26D8E">
        <w:rPr>
          <w:lang w:val="en-GB"/>
        </w:rPr>
        <w:lastRenderedPageBreak/>
        <w:t>Proposals</w:t>
      </w:r>
    </w:p>
    <w:p w14:paraId="31D1EB0E" w14:textId="77777777" w:rsidR="000A5E46" w:rsidRDefault="002E376D">
      <w:pPr>
        <w:pStyle w:val="Proposal"/>
      </w:pPr>
      <w:r>
        <w:rPr>
          <w:u w:val="single"/>
        </w:rPr>
        <w:t>NOC</w:t>
      </w:r>
      <w:r>
        <w:tab/>
        <w:t>EUR/16A21A8/1</w:t>
      </w:r>
    </w:p>
    <w:p w14:paraId="5D335572" w14:textId="77777777" w:rsidR="000632E5" w:rsidRDefault="002E376D" w:rsidP="000632E5">
      <w:pPr>
        <w:pStyle w:val="Volumetitle"/>
      </w:pPr>
      <w:bookmarkStart w:id="8" w:name="_Toc327956568"/>
      <w:r>
        <w:t>ARTICLES</w:t>
      </w:r>
      <w:bookmarkEnd w:id="8"/>
    </w:p>
    <w:p w14:paraId="1561DCB2" w14:textId="77777777" w:rsidR="000A5E46" w:rsidRDefault="002E376D" w:rsidP="00897E84">
      <w:pPr>
        <w:pStyle w:val="Reasons"/>
      </w:pPr>
      <w:r>
        <w:rPr>
          <w:b/>
        </w:rPr>
        <w:t>Reasons:</w:t>
      </w:r>
      <w:r>
        <w:tab/>
      </w:r>
      <w:r w:rsidR="00897E84" w:rsidRPr="00897E84">
        <w:t>The technical, operational and spectrum aspects of radio networks and systems for narrowband and broadband machine-type communications are addressed within the regular work of ITU-R and at regional level (CEPT). Therefore, no change to the Radio Regulations or other regulatory action is required.</w:t>
      </w:r>
    </w:p>
    <w:p w14:paraId="665C49D1" w14:textId="77777777" w:rsidR="000A5E46" w:rsidRDefault="002E376D">
      <w:pPr>
        <w:pStyle w:val="Proposal"/>
      </w:pPr>
      <w:r>
        <w:t>SUP</w:t>
      </w:r>
      <w:r>
        <w:tab/>
        <w:t>EUR/16A21A8/2</w:t>
      </w:r>
    </w:p>
    <w:p w14:paraId="7D88B6C1" w14:textId="77777777" w:rsidR="007B1885" w:rsidRPr="00755316" w:rsidRDefault="002E376D" w:rsidP="007B1885">
      <w:pPr>
        <w:pStyle w:val="ResNo"/>
      </w:pPr>
      <w:bookmarkStart w:id="9" w:name="_Toc450048872"/>
      <w:r w:rsidRPr="00755316">
        <w:t xml:space="preserve">RESOLUTION </w:t>
      </w:r>
      <w:r w:rsidRPr="00F15780">
        <w:rPr>
          <w:rStyle w:val="href"/>
        </w:rPr>
        <w:t>958</w:t>
      </w:r>
      <w:r w:rsidRPr="00755316">
        <w:t xml:space="preserve"> (WRC-15)</w:t>
      </w:r>
      <w:bookmarkEnd w:id="9"/>
    </w:p>
    <w:p w14:paraId="00D81688" w14:textId="77777777" w:rsidR="007B1885" w:rsidRPr="00755316" w:rsidRDefault="002E376D" w:rsidP="007B1885">
      <w:pPr>
        <w:pStyle w:val="Restitle"/>
      </w:pPr>
      <w:bookmarkStart w:id="10" w:name="_Toc450048873"/>
      <w:r w:rsidRPr="00755316">
        <w:t>Urgent studies required in preparation for the</w:t>
      </w:r>
      <w:r w:rsidRPr="00755316">
        <w:br/>
        <w:t>2019 World Radiocommunication Conference</w:t>
      </w:r>
      <w:bookmarkEnd w:id="10"/>
    </w:p>
    <w:p w14:paraId="7CE5222A" w14:textId="33CB5036" w:rsidR="00897E84" w:rsidRPr="00D53BC2" w:rsidRDefault="002E376D" w:rsidP="00897E84">
      <w:pPr>
        <w:pStyle w:val="Reasons"/>
      </w:pPr>
      <w:r>
        <w:rPr>
          <w:b/>
        </w:rPr>
        <w:t>Reasons:</w:t>
      </w:r>
      <w:r>
        <w:tab/>
      </w:r>
      <w:r w:rsidR="00897E84" w:rsidRPr="00D53BC2">
        <w:t xml:space="preserve">Resolution </w:t>
      </w:r>
      <w:r w:rsidR="00897E84" w:rsidRPr="00D53BC2">
        <w:rPr>
          <w:b/>
        </w:rPr>
        <w:t>958</w:t>
      </w:r>
      <w:r w:rsidR="00EE19B2">
        <w:rPr>
          <w:b/>
        </w:rPr>
        <w:t xml:space="preserve"> </w:t>
      </w:r>
      <w:r w:rsidR="00897E84">
        <w:rPr>
          <w:b/>
        </w:rPr>
        <w:t xml:space="preserve">(WRC-15) </w:t>
      </w:r>
      <w:r w:rsidR="00897E84">
        <w:t>is not needed</w:t>
      </w:r>
      <w:r w:rsidR="00897E84" w:rsidRPr="00D53BC2">
        <w:rPr>
          <w:b/>
        </w:rPr>
        <w:t xml:space="preserve"> </w:t>
      </w:r>
      <w:r w:rsidR="00897E84" w:rsidRPr="00D53BC2">
        <w:t>after WRC-19</w:t>
      </w:r>
      <w:r w:rsidR="00897E84">
        <w:t>, as studies required in Sections</w:t>
      </w:r>
      <w:r w:rsidR="00425F92">
        <w:t> </w:t>
      </w:r>
      <w:r w:rsidR="00897E84">
        <w:t>1), 2) and 3) of its Annex have been completed under agenda item 9.1 issues 9.1.6, 9.1.7 and 9.1.8 respectively</w:t>
      </w:r>
      <w:r w:rsidR="00897E84" w:rsidRPr="00D53BC2">
        <w:t>.</w:t>
      </w:r>
    </w:p>
    <w:p w14:paraId="7D5C9F64" w14:textId="77777777" w:rsidR="000A5E46" w:rsidRDefault="000A5E46" w:rsidP="00897E84"/>
    <w:p w14:paraId="655BA78D" w14:textId="77777777" w:rsidR="00897E84" w:rsidRDefault="00897E84" w:rsidP="00897E84">
      <w:pPr>
        <w:jc w:val="center"/>
      </w:pPr>
      <w:r>
        <w:t>______________</w:t>
      </w:r>
    </w:p>
    <w:sectPr w:rsidR="00897E84">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15432" w14:textId="77777777" w:rsidR="002E376D" w:rsidRDefault="002E376D">
      <w:r>
        <w:separator/>
      </w:r>
    </w:p>
  </w:endnote>
  <w:endnote w:type="continuationSeparator" w:id="0">
    <w:p w14:paraId="176AF7B2" w14:textId="77777777" w:rsidR="002E376D" w:rsidRDefault="002E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1CBC" w14:textId="77777777" w:rsidR="00E45D05" w:rsidRDefault="00E45D05">
    <w:pPr>
      <w:framePr w:wrap="around" w:vAnchor="text" w:hAnchor="margin" w:xAlign="right" w:y="1"/>
    </w:pPr>
    <w:r>
      <w:fldChar w:fldCharType="begin"/>
    </w:r>
    <w:r>
      <w:instrText xml:space="preserve">PAGE  </w:instrText>
    </w:r>
    <w:r>
      <w:fldChar w:fldCharType="end"/>
    </w:r>
  </w:p>
  <w:p w14:paraId="2C014612" w14:textId="6F75BAF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27676">
      <w:rPr>
        <w:noProof/>
        <w:lang w:val="en-US"/>
      </w:rPr>
      <w:t>P:\ENG\ITU-R\CONF-R\CMR19\000\016ADD21ADD08E.docx</w:t>
    </w:r>
    <w:r>
      <w:fldChar w:fldCharType="end"/>
    </w:r>
    <w:r w:rsidRPr="0041348E">
      <w:rPr>
        <w:lang w:val="en-US"/>
      </w:rPr>
      <w:tab/>
    </w:r>
    <w:r>
      <w:fldChar w:fldCharType="begin"/>
    </w:r>
    <w:r>
      <w:instrText xml:space="preserve"> SAVEDATE \@ DD.MM.YY </w:instrText>
    </w:r>
    <w:r>
      <w:fldChar w:fldCharType="separate"/>
    </w:r>
    <w:r w:rsidR="00227676">
      <w:rPr>
        <w:noProof/>
      </w:rPr>
      <w:t>10.10.19</w:t>
    </w:r>
    <w:r>
      <w:fldChar w:fldCharType="end"/>
    </w:r>
    <w:r w:rsidRPr="0041348E">
      <w:rPr>
        <w:lang w:val="en-US"/>
      </w:rPr>
      <w:tab/>
    </w:r>
    <w:r>
      <w:fldChar w:fldCharType="begin"/>
    </w:r>
    <w:r>
      <w:instrText xml:space="preserve"> PRINTDATE \@ DD.MM.YY </w:instrText>
    </w:r>
    <w:r>
      <w:fldChar w:fldCharType="separate"/>
    </w:r>
    <w:r w:rsidR="00227676">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C845" w14:textId="2C892B9E" w:rsidR="00E45D05" w:rsidRDefault="00E45D05" w:rsidP="009B1EA1">
    <w:pPr>
      <w:pStyle w:val="Footer"/>
    </w:pPr>
    <w:r>
      <w:fldChar w:fldCharType="begin"/>
    </w:r>
    <w:r w:rsidRPr="0041348E">
      <w:rPr>
        <w:lang w:val="en-US"/>
      </w:rPr>
      <w:instrText xml:space="preserve"> FILENAME \p  \* MERGEFORMAT </w:instrText>
    </w:r>
    <w:r>
      <w:fldChar w:fldCharType="separate"/>
    </w:r>
    <w:r w:rsidR="00227676">
      <w:rPr>
        <w:lang w:val="en-US"/>
      </w:rPr>
      <w:t>P:\ENG\ITU-R\CONF-R\CMR19\000\016ADD21ADD08E.docx</w:t>
    </w:r>
    <w:r>
      <w:fldChar w:fldCharType="end"/>
    </w:r>
    <w:r w:rsidR="00F22A55">
      <w:t xml:space="preserve"> (461919)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1A94" w14:textId="31E88596"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227676">
      <w:rPr>
        <w:lang w:val="en-US"/>
      </w:rPr>
      <w:t>P:\ENG\ITU-R\CONF-R\CMR19\000\016ADD21ADD08E.docx</w:t>
    </w:r>
    <w:r>
      <w:fldChar w:fldCharType="end"/>
    </w:r>
    <w:r w:rsidR="00F22A55">
      <w:t xml:space="preserve"> (461919)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46244" w14:textId="77777777" w:rsidR="002E376D" w:rsidRDefault="002E376D">
      <w:r>
        <w:rPr>
          <w:b/>
        </w:rPr>
        <w:t>_______________</w:t>
      </w:r>
    </w:p>
  </w:footnote>
  <w:footnote w:type="continuationSeparator" w:id="0">
    <w:p w14:paraId="51315B38" w14:textId="77777777" w:rsidR="002E376D" w:rsidRDefault="002E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B0CC" w14:textId="77777777" w:rsidR="00E45D05" w:rsidRDefault="00A066F1" w:rsidP="00187BD9">
    <w:pPr>
      <w:pStyle w:val="Header"/>
    </w:pPr>
    <w:r>
      <w:fldChar w:fldCharType="begin"/>
    </w:r>
    <w:r>
      <w:instrText xml:space="preserve"> PAGE  \* MERGEFORMAT </w:instrText>
    </w:r>
    <w:r>
      <w:fldChar w:fldCharType="separate"/>
    </w:r>
    <w:r w:rsidR="0009377F">
      <w:rPr>
        <w:noProof/>
      </w:rPr>
      <w:t>2</w:t>
    </w:r>
    <w:r>
      <w:fldChar w:fldCharType="end"/>
    </w:r>
  </w:p>
  <w:p w14:paraId="0C33726E"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16(Add.21)(Add.8)</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377F"/>
    <w:rsid w:val="0009706C"/>
    <w:rsid w:val="000A5E46"/>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27676"/>
    <w:rsid w:val="00241FA2"/>
    <w:rsid w:val="00271316"/>
    <w:rsid w:val="002B349C"/>
    <w:rsid w:val="002D58BE"/>
    <w:rsid w:val="002E376D"/>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25F92"/>
    <w:rsid w:val="00492075"/>
    <w:rsid w:val="004969AD"/>
    <w:rsid w:val="004A26C4"/>
    <w:rsid w:val="004B13CB"/>
    <w:rsid w:val="004B72D7"/>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7E84"/>
    <w:rsid w:val="008B43F2"/>
    <w:rsid w:val="008B6CFF"/>
    <w:rsid w:val="008E1464"/>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A25C8"/>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E19B2"/>
    <w:rsid w:val="00EF1932"/>
    <w:rsid w:val="00EF71B6"/>
    <w:rsid w:val="00F02766"/>
    <w:rsid w:val="00F05BD4"/>
    <w:rsid w:val="00F06473"/>
    <w:rsid w:val="00F22A55"/>
    <w:rsid w:val="00F6155B"/>
    <w:rsid w:val="00F65C19"/>
    <w:rsid w:val="00FD08E2"/>
    <w:rsid w:val="00FD18DA"/>
    <w:rsid w:val="00FD2546"/>
    <w:rsid w:val="00FD772E"/>
    <w:rsid w:val="00FE0FEC"/>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0C496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R16-WRC19-C-0016!A21-A8!MSW-E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83DC41B9-C52E-43E2-B62C-AF98DB703698}">
  <ds:schemaRefs>
    <ds:schemaRef ds:uri="http://schemas.microsoft.com/office/2006/documentManagement/types"/>
    <ds:schemaRef ds:uri="32a1a8c5-2265-4ebc-b7a0-2071e2c5c9bb"/>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8B74C357-5229-4343-8B77-381C236962CB}">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C8A50-57B3-47A3-9A23-99B350F2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402</Words>
  <Characters>2459</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R16-WRC19-C-0016!A21-A8!MSW-E</vt:lpstr>
    </vt:vector>
  </TitlesOfParts>
  <Manager>General Secretariat - Pool</Manager>
  <Company>International Telecommunication Union (ITU)</Company>
  <LinksUpToDate>false</LinksUpToDate>
  <CharactersWithSpaces>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R16-WRC19-C-0016!A21-A8!MSW-E</dc:title>
  <dc:subject>World Radiocommunication Conference - 2019</dc:subject>
  <dc:creator>Documents Proposals Manager (DPM)</dc:creator>
  <cp:keywords>DPM_v2019.10.3.1_prod</cp:keywords>
  <dc:description>Uploaded on 2015.07.06</dc:description>
  <cp:lastModifiedBy>English</cp:lastModifiedBy>
  <cp:revision>6</cp:revision>
  <cp:lastPrinted>2019-10-10T09:55:00Z</cp:lastPrinted>
  <dcterms:created xsi:type="dcterms:W3CDTF">2019-10-08T14:15:00Z</dcterms:created>
  <dcterms:modified xsi:type="dcterms:W3CDTF">2019-10-10T09:57:00Z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