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FF02C2" w14:paraId="2E4918EA" w14:textId="77777777" w:rsidTr="0050008E">
        <w:trPr>
          <w:cantSplit/>
        </w:trPr>
        <w:tc>
          <w:tcPr>
            <w:tcW w:w="6911" w:type="dxa"/>
          </w:tcPr>
          <w:p w14:paraId="3ACF3707" w14:textId="77777777" w:rsidR="0090121B" w:rsidRPr="00FF02C2" w:rsidRDefault="005D46FB" w:rsidP="00C44E9E">
            <w:pPr>
              <w:spacing w:before="400" w:after="48" w:line="240" w:lineRule="atLeast"/>
              <w:rPr>
                <w:rFonts w:ascii="Verdana" w:hAnsi="Verdana"/>
                <w:position w:val="6"/>
              </w:rPr>
            </w:pPr>
            <w:r w:rsidRPr="00FF02C2">
              <w:rPr>
                <w:rFonts w:ascii="Verdana" w:hAnsi="Verdana" w:cs="Times"/>
                <w:b/>
                <w:position w:val="6"/>
                <w:sz w:val="20"/>
              </w:rPr>
              <w:t>Conferencia Mundial de Radiocomunicaciones (CMR-1</w:t>
            </w:r>
            <w:r w:rsidR="00C44E9E" w:rsidRPr="00FF02C2">
              <w:rPr>
                <w:rFonts w:ascii="Verdana" w:hAnsi="Verdana" w:cs="Times"/>
                <w:b/>
                <w:position w:val="6"/>
                <w:sz w:val="20"/>
              </w:rPr>
              <w:t>9</w:t>
            </w:r>
            <w:r w:rsidRPr="00FF02C2">
              <w:rPr>
                <w:rFonts w:ascii="Verdana" w:hAnsi="Verdana" w:cs="Times"/>
                <w:b/>
                <w:position w:val="6"/>
                <w:sz w:val="20"/>
              </w:rPr>
              <w:t>)</w:t>
            </w:r>
            <w:r w:rsidRPr="00FF02C2">
              <w:rPr>
                <w:rFonts w:ascii="Verdana" w:hAnsi="Verdana" w:cs="Times"/>
                <w:b/>
                <w:position w:val="6"/>
                <w:sz w:val="20"/>
              </w:rPr>
              <w:br/>
            </w:r>
            <w:r w:rsidR="006124AD" w:rsidRPr="00FF02C2">
              <w:rPr>
                <w:rFonts w:ascii="Verdana" w:hAnsi="Verdana"/>
                <w:b/>
                <w:bCs/>
                <w:position w:val="6"/>
                <w:sz w:val="17"/>
                <w:szCs w:val="17"/>
              </w:rPr>
              <w:t>Sharm el-Sheikh (Egipto)</w:t>
            </w:r>
            <w:r w:rsidRPr="00FF02C2">
              <w:rPr>
                <w:rFonts w:ascii="Verdana" w:hAnsi="Verdana"/>
                <w:b/>
                <w:bCs/>
                <w:position w:val="6"/>
                <w:sz w:val="17"/>
                <w:szCs w:val="17"/>
              </w:rPr>
              <w:t>, 2</w:t>
            </w:r>
            <w:r w:rsidR="00C44E9E" w:rsidRPr="00FF02C2">
              <w:rPr>
                <w:rFonts w:ascii="Verdana" w:hAnsi="Verdana"/>
                <w:b/>
                <w:bCs/>
                <w:position w:val="6"/>
                <w:sz w:val="17"/>
                <w:szCs w:val="17"/>
              </w:rPr>
              <w:t xml:space="preserve">8 de octubre </w:t>
            </w:r>
            <w:r w:rsidR="00DE1C31" w:rsidRPr="00FF02C2">
              <w:rPr>
                <w:rFonts w:ascii="Verdana" w:hAnsi="Verdana"/>
                <w:b/>
                <w:bCs/>
                <w:position w:val="6"/>
                <w:sz w:val="17"/>
                <w:szCs w:val="17"/>
              </w:rPr>
              <w:t>–</w:t>
            </w:r>
            <w:r w:rsidR="00C44E9E" w:rsidRPr="00FF02C2">
              <w:rPr>
                <w:rFonts w:ascii="Verdana" w:hAnsi="Verdana"/>
                <w:b/>
                <w:bCs/>
                <w:position w:val="6"/>
                <w:sz w:val="17"/>
                <w:szCs w:val="17"/>
              </w:rPr>
              <w:t xml:space="preserve"> </w:t>
            </w:r>
            <w:r w:rsidRPr="00FF02C2">
              <w:rPr>
                <w:rFonts w:ascii="Verdana" w:hAnsi="Verdana"/>
                <w:b/>
                <w:bCs/>
                <w:position w:val="6"/>
                <w:sz w:val="17"/>
                <w:szCs w:val="17"/>
              </w:rPr>
              <w:t>2</w:t>
            </w:r>
            <w:r w:rsidR="00C44E9E" w:rsidRPr="00FF02C2">
              <w:rPr>
                <w:rFonts w:ascii="Verdana" w:hAnsi="Verdana"/>
                <w:b/>
                <w:bCs/>
                <w:position w:val="6"/>
                <w:sz w:val="17"/>
                <w:szCs w:val="17"/>
              </w:rPr>
              <w:t>2</w:t>
            </w:r>
            <w:r w:rsidRPr="00FF02C2">
              <w:rPr>
                <w:rFonts w:ascii="Verdana" w:hAnsi="Verdana"/>
                <w:b/>
                <w:bCs/>
                <w:position w:val="6"/>
                <w:sz w:val="17"/>
                <w:szCs w:val="17"/>
              </w:rPr>
              <w:t xml:space="preserve"> de noviembre de 201</w:t>
            </w:r>
            <w:r w:rsidR="00C44E9E" w:rsidRPr="00FF02C2">
              <w:rPr>
                <w:rFonts w:ascii="Verdana" w:hAnsi="Verdana"/>
                <w:b/>
                <w:bCs/>
                <w:position w:val="6"/>
                <w:sz w:val="17"/>
                <w:szCs w:val="17"/>
              </w:rPr>
              <w:t>9</w:t>
            </w:r>
          </w:p>
        </w:tc>
        <w:tc>
          <w:tcPr>
            <w:tcW w:w="3120" w:type="dxa"/>
          </w:tcPr>
          <w:p w14:paraId="3A7ED1F3" w14:textId="77777777" w:rsidR="0090121B" w:rsidRPr="00FF02C2" w:rsidRDefault="00DA71A3" w:rsidP="00CE7431">
            <w:pPr>
              <w:spacing w:before="0" w:line="240" w:lineRule="atLeast"/>
              <w:jc w:val="right"/>
            </w:pPr>
            <w:r w:rsidRPr="00FF02C2">
              <w:rPr>
                <w:rFonts w:ascii="Verdana" w:hAnsi="Verdana"/>
                <w:b/>
                <w:bCs/>
                <w:noProof/>
                <w:szCs w:val="24"/>
                <w:lang w:eastAsia="zh-CN"/>
              </w:rPr>
              <w:drawing>
                <wp:inline distT="0" distB="0" distL="0" distR="0" wp14:anchorId="7F1AE313" wp14:editId="45865D5E">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FF02C2" w14:paraId="266B6FB2" w14:textId="77777777" w:rsidTr="0050008E">
        <w:trPr>
          <w:cantSplit/>
        </w:trPr>
        <w:tc>
          <w:tcPr>
            <w:tcW w:w="6911" w:type="dxa"/>
            <w:tcBorders>
              <w:bottom w:val="single" w:sz="12" w:space="0" w:color="auto"/>
            </w:tcBorders>
          </w:tcPr>
          <w:p w14:paraId="454DA758" w14:textId="77777777" w:rsidR="0090121B" w:rsidRPr="00FF02C2" w:rsidRDefault="0090121B" w:rsidP="0090121B">
            <w:pPr>
              <w:spacing w:before="0" w:after="48" w:line="240" w:lineRule="atLeast"/>
              <w:rPr>
                <w:b/>
                <w:smallCaps/>
                <w:szCs w:val="24"/>
              </w:rPr>
            </w:pPr>
            <w:bookmarkStart w:id="0" w:name="dhead"/>
          </w:p>
        </w:tc>
        <w:tc>
          <w:tcPr>
            <w:tcW w:w="3120" w:type="dxa"/>
            <w:tcBorders>
              <w:bottom w:val="single" w:sz="12" w:space="0" w:color="auto"/>
            </w:tcBorders>
          </w:tcPr>
          <w:p w14:paraId="4F19A8BE" w14:textId="77777777" w:rsidR="0090121B" w:rsidRPr="00FF02C2" w:rsidRDefault="0090121B" w:rsidP="0090121B">
            <w:pPr>
              <w:spacing w:before="0" w:line="240" w:lineRule="atLeast"/>
              <w:rPr>
                <w:rFonts w:ascii="Verdana" w:hAnsi="Verdana"/>
                <w:szCs w:val="24"/>
              </w:rPr>
            </w:pPr>
          </w:p>
        </w:tc>
      </w:tr>
      <w:tr w:rsidR="0090121B" w:rsidRPr="00FF02C2" w14:paraId="4A48C24A" w14:textId="77777777" w:rsidTr="0090121B">
        <w:trPr>
          <w:cantSplit/>
        </w:trPr>
        <w:tc>
          <w:tcPr>
            <w:tcW w:w="6911" w:type="dxa"/>
            <w:tcBorders>
              <w:top w:val="single" w:sz="12" w:space="0" w:color="auto"/>
            </w:tcBorders>
          </w:tcPr>
          <w:p w14:paraId="02A8BE02" w14:textId="77777777" w:rsidR="0090121B" w:rsidRPr="00FF02C2"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14:paraId="1E8E0B00" w14:textId="77777777" w:rsidR="0090121B" w:rsidRPr="00FF02C2" w:rsidRDefault="0090121B" w:rsidP="0090121B">
            <w:pPr>
              <w:spacing w:before="0" w:line="240" w:lineRule="atLeast"/>
              <w:rPr>
                <w:rFonts w:ascii="Verdana" w:hAnsi="Verdana"/>
                <w:sz w:val="20"/>
              </w:rPr>
            </w:pPr>
          </w:p>
        </w:tc>
      </w:tr>
      <w:tr w:rsidR="0090121B" w:rsidRPr="00FF02C2" w14:paraId="5DED1F33" w14:textId="77777777" w:rsidTr="0090121B">
        <w:trPr>
          <w:cantSplit/>
        </w:trPr>
        <w:tc>
          <w:tcPr>
            <w:tcW w:w="6911" w:type="dxa"/>
          </w:tcPr>
          <w:p w14:paraId="64525FB5" w14:textId="77777777" w:rsidR="0090121B" w:rsidRPr="00FF02C2" w:rsidRDefault="001E7D42" w:rsidP="00EA77F0">
            <w:pPr>
              <w:pStyle w:val="Committee"/>
              <w:framePr w:hSpace="0" w:wrap="auto" w:hAnchor="text" w:yAlign="inline"/>
              <w:rPr>
                <w:sz w:val="18"/>
                <w:szCs w:val="18"/>
                <w:lang w:val="es-ES_tradnl"/>
              </w:rPr>
            </w:pPr>
            <w:r w:rsidRPr="00FF02C2">
              <w:rPr>
                <w:sz w:val="18"/>
                <w:szCs w:val="18"/>
                <w:lang w:val="es-ES_tradnl"/>
              </w:rPr>
              <w:t>SESIÓN PLENARIA</w:t>
            </w:r>
          </w:p>
        </w:tc>
        <w:tc>
          <w:tcPr>
            <w:tcW w:w="3120" w:type="dxa"/>
          </w:tcPr>
          <w:p w14:paraId="472E7FE4" w14:textId="77777777" w:rsidR="0090121B" w:rsidRPr="00FF02C2" w:rsidRDefault="00AE658F" w:rsidP="0045384C">
            <w:pPr>
              <w:spacing w:before="0"/>
              <w:rPr>
                <w:rFonts w:ascii="Verdana" w:hAnsi="Verdana"/>
                <w:sz w:val="18"/>
                <w:szCs w:val="18"/>
              </w:rPr>
            </w:pPr>
            <w:r w:rsidRPr="00FF02C2">
              <w:rPr>
                <w:rFonts w:ascii="Verdana" w:hAnsi="Verdana"/>
                <w:b/>
                <w:sz w:val="18"/>
                <w:szCs w:val="18"/>
              </w:rPr>
              <w:t>Addéndum 7 al</w:t>
            </w:r>
            <w:r w:rsidRPr="00FF02C2">
              <w:rPr>
                <w:rFonts w:ascii="Verdana" w:hAnsi="Verdana"/>
                <w:b/>
                <w:sz w:val="18"/>
                <w:szCs w:val="18"/>
              </w:rPr>
              <w:br/>
              <w:t>Documento 16(Add.21)</w:t>
            </w:r>
            <w:r w:rsidR="0090121B" w:rsidRPr="00FF02C2">
              <w:rPr>
                <w:rFonts w:ascii="Verdana" w:hAnsi="Verdana"/>
                <w:b/>
                <w:sz w:val="18"/>
                <w:szCs w:val="18"/>
              </w:rPr>
              <w:t>-</w:t>
            </w:r>
            <w:r w:rsidRPr="00FF02C2">
              <w:rPr>
                <w:rFonts w:ascii="Verdana" w:hAnsi="Verdana"/>
                <w:b/>
                <w:sz w:val="18"/>
                <w:szCs w:val="18"/>
              </w:rPr>
              <w:t>S</w:t>
            </w:r>
          </w:p>
        </w:tc>
      </w:tr>
      <w:bookmarkEnd w:id="0"/>
      <w:tr w:rsidR="000A5B9A" w:rsidRPr="00FF02C2" w14:paraId="340E3307" w14:textId="77777777" w:rsidTr="0090121B">
        <w:trPr>
          <w:cantSplit/>
        </w:trPr>
        <w:tc>
          <w:tcPr>
            <w:tcW w:w="6911" w:type="dxa"/>
          </w:tcPr>
          <w:p w14:paraId="6CD2CB68" w14:textId="77777777" w:rsidR="000A5B9A" w:rsidRPr="00FF02C2" w:rsidRDefault="000A5B9A" w:rsidP="0045384C">
            <w:pPr>
              <w:spacing w:before="0" w:after="48"/>
              <w:rPr>
                <w:rFonts w:ascii="Verdana" w:hAnsi="Verdana"/>
                <w:b/>
                <w:smallCaps/>
                <w:sz w:val="18"/>
                <w:szCs w:val="18"/>
              </w:rPr>
            </w:pPr>
          </w:p>
        </w:tc>
        <w:tc>
          <w:tcPr>
            <w:tcW w:w="3120" w:type="dxa"/>
          </w:tcPr>
          <w:p w14:paraId="6DD2337D" w14:textId="77777777" w:rsidR="000A5B9A" w:rsidRPr="00FF02C2" w:rsidRDefault="000A5B9A" w:rsidP="0045384C">
            <w:pPr>
              <w:spacing w:before="0"/>
              <w:rPr>
                <w:rFonts w:ascii="Verdana" w:hAnsi="Verdana"/>
                <w:b/>
                <w:sz w:val="18"/>
                <w:szCs w:val="18"/>
              </w:rPr>
            </w:pPr>
            <w:r w:rsidRPr="00FF02C2">
              <w:rPr>
                <w:rFonts w:ascii="Verdana" w:hAnsi="Verdana"/>
                <w:b/>
                <w:sz w:val="18"/>
                <w:szCs w:val="18"/>
              </w:rPr>
              <w:t>7 de octubre de 2019</w:t>
            </w:r>
          </w:p>
        </w:tc>
      </w:tr>
      <w:tr w:rsidR="000A5B9A" w:rsidRPr="00FF02C2" w14:paraId="022B7063" w14:textId="77777777" w:rsidTr="0090121B">
        <w:trPr>
          <w:cantSplit/>
        </w:trPr>
        <w:tc>
          <w:tcPr>
            <w:tcW w:w="6911" w:type="dxa"/>
          </w:tcPr>
          <w:p w14:paraId="1FC86DAF" w14:textId="77777777" w:rsidR="000A5B9A" w:rsidRPr="00FF02C2" w:rsidRDefault="000A5B9A" w:rsidP="0045384C">
            <w:pPr>
              <w:spacing w:before="0" w:after="48"/>
              <w:rPr>
                <w:rFonts w:ascii="Verdana" w:hAnsi="Verdana"/>
                <w:b/>
                <w:smallCaps/>
                <w:sz w:val="18"/>
                <w:szCs w:val="18"/>
              </w:rPr>
            </w:pPr>
          </w:p>
        </w:tc>
        <w:tc>
          <w:tcPr>
            <w:tcW w:w="3120" w:type="dxa"/>
          </w:tcPr>
          <w:p w14:paraId="672499C1" w14:textId="77777777" w:rsidR="000A5B9A" w:rsidRPr="00FF02C2" w:rsidRDefault="000A5B9A" w:rsidP="0045384C">
            <w:pPr>
              <w:spacing w:before="0"/>
              <w:rPr>
                <w:rFonts w:ascii="Verdana" w:hAnsi="Verdana"/>
                <w:b/>
                <w:sz w:val="18"/>
                <w:szCs w:val="18"/>
              </w:rPr>
            </w:pPr>
            <w:r w:rsidRPr="00FF02C2">
              <w:rPr>
                <w:rFonts w:ascii="Verdana" w:hAnsi="Verdana"/>
                <w:b/>
                <w:sz w:val="18"/>
                <w:szCs w:val="18"/>
              </w:rPr>
              <w:t>Original: inglés</w:t>
            </w:r>
          </w:p>
        </w:tc>
      </w:tr>
      <w:tr w:rsidR="000A5B9A" w:rsidRPr="00FF02C2" w14:paraId="5EBB672F" w14:textId="77777777" w:rsidTr="006744FC">
        <w:trPr>
          <w:cantSplit/>
        </w:trPr>
        <w:tc>
          <w:tcPr>
            <w:tcW w:w="10031" w:type="dxa"/>
            <w:gridSpan w:val="2"/>
          </w:tcPr>
          <w:p w14:paraId="57832F53" w14:textId="77777777" w:rsidR="000A5B9A" w:rsidRPr="00FF02C2" w:rsidRDefault="000A5B9A" w:rsidP="0045384C">
            <w:pPr>
              <w:spacing w:before="0"/>
              <w:rPr>
                <w:rFonts w:ascii="Verdana" w:hAnsi="Verdana"/>
                <w:b/>
                <w:sz w:val="18"/>
                <w:szCs w:val="22"/>
              </w:rPr>
            </w:pPr>
          </w:p>
        </w:tc>
      </w:tr>
      <w:tr w:rsidR="000A5B9A" w:rsidRPr="00FF02C2" w14:paraId="7AF4CFBA" w14:textId="77777777" w:rsidTr="0050008E">
        <w:trPr>
          <w:cantSplit/>
        </w:trPr>
        <w:tc>
          <w:tcPr>
            <w:tcW w:w="10031" w:type="dxa"/>
            <w:gridSpan w:val="2"/>
          </w:tcPr>
          <w:p w14:paraId="5672535C" w14:textId="77777777" w:rsidR="000A5B9A" w:rsidRPr="00FF02C2" w:rsidRDefault="000A5B9A" w:rsidP="000A5B9A">
            <w:pPr>
              <w:pStyle w:val="Source"/>
            </w:pPr>
            <w:bookmarkStart w:id="1" w:name="dsource" w:colFirst="0" w:colLast="0"/>
            <w:r w:rsidRPr="00FF02C2">
              <w:t>Propuestas Comunes Europeas</w:t>
            </w:r>
          </w:p>
        </w:tc>
      </w:tr>
      <w:tr w:rsidR="000A5B9A" w:rsidRPr="00FF02C2" w14:paraId="426C0493" w14:textId="77777777" w:rsidTr="0050008E">
        <w:trPr>
          <w:cantSplit/>
        </w:trPr>
        <w:tc>
          <w:tcPr>
            <w:tcW w:w="10031" w:type="dxa"/>
            <w:gridSpan w:val="2"/>
          </w:tcPr>
          <w:p w14:paraId="1CD21493" w14:textId="77777777" w:rsidR="000A5B9A" w:rsidRPr="00FF02C2" w:rsidRDefault="000A5B9A" w:rsidP="000A5B9A">
            <w:pPr>
              <w:pStyle w:val="Title1"/>
            </w:pPr>
            <w:bookmarkStart w:id="2" w:name="dtitle1" w:colFirst="0" w:colLast="0"/>
            <w:bookmarkEnd w:id="1"/>
            <w:r w:rsidRPr="00FF02C2">
              <w:t>Propuestas para los trabajos de la Conferencia</w:t>
            </w:r>
          </w:p>
        </w:tc>
      </w:tr>
      <w:tr w:rsidR="000A5B9A" w:rsidRPr="00FF02C2" w14:paraId="0392383A" w14:textId="77777777" w:rsidTr="009610CF">
        <w:trPr>
          <w:cantSplit/>
          <w:trHeight w:val="718"/>
        </w:trPr>
        <w:tc>
          <w:tcPr>
            <w:tcW w:w="10031" w:type="dxa"/>
            <w:gridSpan w:val="2"/>
          </w:tcPr>
          <w:p w14:paraId="44F84595" w14:textId="77777777" w:rsidR="000A5B9A" w:rsidRPr="00FF02C2" w:rsidRDefault="000A5B9A" w:rsidP="000A5B9A">
            <w:pPr>
              <w:pStyle w:val="Title2"/>
            </w:pPr>
            <w:bookmarkStart w:id="3" w:name="dtitle2" w:colFirst="0" w:colLast="0"/>
            <w:bookmarkEnd w:id="2"/>
          </w:p>
        </w:tc>
      </w:tr>
      <w:tr w:rsidR="000A5B9A" w:rsidRPr="00FF02C2" w14:paraId="2A6BDB6F" w14:textId="77777777" w:rsidTr="0050008E">
        <w:trPr>
          <w:cantSplit/>
        </w:trPr>
        <w:tc>
          <w:tcPr>
            <w:tcW w:w="10031" w:type="dxa"/>
            <w:gridSpan w:val="2"/>
          </w:tcPr>
          <w:p w14:paraId="1B83CD68" w14:textId="77777777" w:rsidR="000A5B9A" w:rsidRPr="00FF02C2" w:rsidRDefault="000A5B9A" w:rsidP="000A5B9A">
            <w:pPr>
              <w:pStyle w:val="Agendaitem"/>
            </w:pPr>
            <w:bookmarkStart w:id="4" w:name="dtitle3" w:colFirst="0" w:colLast="0"/>
            <w:bookmarkEnd w:id="3"/>
            <w:r w:rsidRPr="00FF02C2">
              <w:t>Punto 9.1(9.1.7) del orden del día</w:t>
            </w:r>
          </w:p>
        </w:tc>
      </w:tr>
    </w:tbl>
    <w:bookmarkEnd w:id="4"/>
    <w:p w14:paraId="06CE0433" w14:textId="77777777" w:rsidR="001C0E40" w:rsidRPr="00FF02C2" w:rsidRDefault="006C0D9E" w:rsidP="003A37B0">
      <w:r w:rsidRPr="00FF02C2">
        <w:t>9</w:t>
      </w:r>
      <w:r w:rsidRPr="00FF02C2">
        <w:tab/>
        <w:t>examinar y aprobar el Informe del Director de la Oficina de Radiocomunicaciones, de conformidad con el Artículo 7 del Convenio:</w:t>
      </w:r>
    </w:p>
    <w:p w14:paraId="2883C7F5" w14:textId="77777777" w:rsidR="001C0E40" w:rsidRPr="00FF02C2" w:rsidRDefault="006C0D9E" w:rsidP="003A37B0">
      <w:r w:rsidRPr="00FF02C2">
        <w:t>9.1</w:t>
      </w:r>
      <w:r w:rsidRPr="00FF02C2">
        <w:tab/>
        <w:t>sobre las actividades del Sector de Radiocomunicaciones desde la CMR</w:t>
      </w:r>
      <w:r w:rsidRPr="00FF02C2">
        <w:noBreakHyphen/>
        <w:t>15;</w:t>
      </w:r>
    </w:p>
    <w:p w14:paraId="629ADB04" w14:textId="77777777" w:rsidR="001C0E40" w:rsidRPr="00FF02C2" w:rsidRDefault="006C0D9E" w:rsidP="00736D1B">
      <w:r w:rsidRPr="00FF02C2">
        <w:rPr>
          <w:rFonts w:cstheme="majorBidi"/>
          <w:color w:val="000000"/>
          <w:szCs w:val="24"/>
          <w:lang w:eastAsia="zh-CN"/>
        </w:rPr>
        <w:t>9.1 (</w:t>
      </w:r>
      <w:r w:rsidRPr="00FF02C2">
        <w:rPr>
          <w:lang w:eastAsia="zh-CN"/>
        </w:rPr>
        <w:t>9.1.7)</w:t>
      </w:r>
      <w:r w:rsidRPr="00FF02C2">
        <w:tab/>
      </w:r>
      <w:hyperlink w:anchor="RES_958" w:history="1">
        <w:r w:rsidRPr="00FF02C2">
          <w:t xml:space="preserve">Resolución </w:t>
        </w:r>
        <w:r w:rsidRPr="00FF02C2">
          <w:rPr>
            <w:b/>
            <w:bCs/>
          </w:rPr>
          <w:t>958 (CMR-15)</w:t>
        </w:r>
      </w:hyperlink>
      <w:r w:rsidRPr="00FF02C2">
        <w:t xml:space="preserve"> – (Punto 2 del Anexo) Estudios para examinar: a) si se necesitan medidas adicionales para limitar las transmisiones de enlace ascendente de los terminales a los terminales autorizados, de conformidad con el número </w:t>
      </w:r>
      <w:r w:rsidRPr="00FF02C2">
        <w:rPr>
          <w:b/>
          <w:bCs/>
        </w:rPr>
        <w:t>18.1</w:t>
      </w:r>
      <w:r w:rsidRPr="00FF02C2">
        <w:t>; b) posibles métodos que ayuden a las administraciones a gestionar el funcionamiento no autorizado de terminales de estaciones terrenas implantados en su territorio, como herramienta de orientación para su programa nacional de gestión del espectro, de conformidad con la Resolución UIT-R 64 (AR</w:t>
      </w:r>
      <w:r w:rsidRPr="00FF02C2">
        <w:noBreakHyphen/>
        <w:t>15);</w:t>
      </w:r>
    </w:p>
    <w:p w14:paraId="100555F4" w14:textId="68B450DD" w:rsidR="009610CF" w:rsidRPr="00FF02C2" w:rsidRDefault="009610CF" w:rsidP="009610CF">
      <w:pPr>
        <w:pStyle w:val="Headingb"/>
      </w:pPr>
      <w:r w:rsidRPr="00FF02C2">
        <w:t>Introducción</w:t>
      </w:r>
    </w:p>
    <w:p w14:paraId="37BF28CA" w14:textId="0C88A6FA" w:rsidR="009610CF" w:rsidRPr="00FF02C2" w:rsidRDefault="009610CF" w:rsidP="009610CF">
      <w:r w:rsidRPr="00FF02C2">
        <w:t xml:space="preserve">En el Reglamento de Radiocomunicaciones, concretamente en las disposiciones del Artículo </w:t>
      </w:r>
      <w:r w:rsidRPr="00FF02C2">
        <w:rPr>
          <w:b/>
          <w:bCs/>
        </w:rPr>
        <w:t>18</w:t>
      </w:r>
      <w:r w:rsidRPr="00FF02C2">
        <w:t>, se exige clara e inequívocamente que las estaciones terrenas s</w:t>
      </w:r>
      <w:r w:rsidR="00282656" w:rsidRPr="00FF02C2">
        <w:t>o</w:t>
      </w:r>
      <w:r w:rsidRPr="00FF02C2">
        <w:t>lo pueden operar si están debidamente autorizadas.</w:t>
      </w:r>
    </w:p>
    <w:p w14:paraId="3B8C9B3C" w14:textId="7D6AD529" w:rsidR="009610CF" w:rsidRPr="00FF02C2" w:rsidRDefault="009610CF" w:rsidP="009610CF">
      <w:r w:rsidRPr="00FF02C2">
        <w:t>Por consiguiente, si las administraciones tienen problemas con la operación no autorizada de estaciones terrenas, se trata de un problema de cumplimiento de la reglamentación y no de reglamentación inadecuada. El Reglamento de Radiocomunicaciones ya obliga a que las estaciones terrenas solo pueden operar si están debidamente autorizadas, de forma que introducir nuevas disposiciones en el Reglamento de Radiocomunicaciones no contribuirá a suprimir las estaciones terrenas que funcionan ilícitamente. Por el contrario, est</w:t>
      </w:r>
      <w:r w:rsidR="002E4230" w:rsidRPr="00FF02C2">
        <w:t>e</w:t>
      </w:r>
      <w:r w:rsidRPr="00FF02C2">
        <w:t xml:space="preserve"> tipo de funcionamiento solo se puede resolver mediante una mayor supervisión y aplicación de la reglamentación, asunto que se tiene que realizar a escala nacional. </w:t>
      </w:r>
    </w:p>
    <w:p w14:paraId="1C2C1C13" w14:textId="57398B9E" w:rsidR="009610CF" w:rsidRPr="00FF02C2" w:rsidRDefault="009610CF" w:rsidP="009610CF">
      <w:r w:rsidRPr="00FF02C2">
        <w:t xml:space="preserve">Las cuestiones relativas a aplicaciones de servicios de satélite individuales – tales como los que implican movilidad – se resuelven mejor mediante disposiciones concretas que permiten esas aplicaciones en lugar de mediante disposiciones generales del Artículo </w:t>
      </w:r>
      <w:r w:rsidRPr="00FF02C2">
        <w:rPr>
          <w:b/>
          <w:bCs/>
        </w:rPr>
        <w:t>18</w:t>
      </w:r>
      <w:r w:rsidRPr="00FF02C2">
        <w:t xml:space="preserve"> del RR o de otras partes del Reglamento de Radiocomunicaciones. Este enfoque de incorporar una referencia al Artículo </w:t>
      </w:r>
      <w:r w:rsidRPr="00FF02C2">
        <w:rPr>
          <w:b/>
          <w:bCs/>
        </w:rPr>
        <w:t>18</w:t>
      </w:r>
      <w:r w:rsidRPr="00FF02C2">
        <w:t xml:space="preserve"> del RR en cualquier Recomendación o Resolución que permita nuevos servicios por satélite, se ha </w:t>
      </w:r>
      <w:r w:rsidRPr="00FF02C2">
        <w:rPr>
          <w:spacing w:val="-2"/>
        </w:rPr>
        <w:t>utilizado con eficacia durante muchos años al tratar con servicios de satélite que implican movilidad.</w:t>
      </w:r>
    </w:p>
    <w:p w14:paraId="16DB14AC" w14:textId="77777777" w:rsidR="008750A8" w:rsidRPr="00FF02C2" w:rsidRDefault="008750A8" w:rsidP="008750A8">
      <w:pPr>
        <w:tabs>
          <w:tab w:val="clear" w:pos="1134"/>
          <w:tab w:val="clear" w:pos="1871"/>
          <w:tab w:val="clear" w:pos="2268"/>
        </w:tabs>
        <w:overflowPunct/>
        <w:autoSpaceDE/>
        <w:autoSpaceDN/>
        <w:adjustRightInd/>
        <w:spacing w:before="0"/>
        <w:textAlignment w:val="auto"/>
      </w:pPr>
      <w:r w:rsidRPr="00FF02C2">
        <w:br w:type="page"/>
      </w:r>
    </w:p>
    <w:p w14:paraId="25634410" w14:textId="10232264" w:rsidR="002E4230" w:rsidRPr="00FF02C2" w:rsidRDefault="002E4230" w:rsidP="002E4230">
      <w:pPr>
        <w:pStyle w:val="Headingb"/>
      </w:pPr>
      <w:r w:rsidRPr="00FF02C2">
        <w:lastRenderedPageBreak/>
        <w:t>Propuestas</w:t>
      </w:r>
    </w:p>
    <w:p w14:paraId="6DB4D496" w14:textId="14F56653" w:rsidR="00BD19D5" w:rsidRPr="00FF02C2" w:rsidRDefault="006C0D9E">
      <w:pPr>
        <w:pStyle w:val="Proposal"/>
      </w:pPr>
      <w:r w:rsidRPr="00FF02C2">
        <w:rPr>
          <w:u w:val="single"/>
        </w:rPr>
        <w:t>NOC</w:t>
      </w:r>
      <w:r w:rsidRPr="00FF02C2">
        <w:tab/>
        <w:t>EUR/16A21A7/1</w:t>
      </w:r>
      <w:r w:rsidRPr="00FF02C2">
        <w:rPr>
          <w:vanish/>
          <w:color w:val="7F7F7F" w:themeColor="text1" w:themeTint="80"/>
          <w:vertAlign w:val="superscript"/>
        </w:rPr>
        <w:t>#50359</w:t>
      </w:r>
    </w:p>
    <w:p w14:paraId="4D4C70FB" w14:textId="77777777" w:rsidR="00B571EC" w:rsidRPr="006976E3" w:rsidRDefault="006C0D9E" w:rsidP="006976E3">
      <w:pPr>
        <w:pStyle w:val="Volumetitle"/>
        <w:rPr>
          <w:b/>
          <w:bCs/>
        </w:rPr>
      </w:pPr>
      <w:r w:rsidRPr="006976E3">
        <w:rPr>
          <w:b/>
          <w:bCs/>
        </w:rPr>
        <w:t>ARTíCuLoS</w:t>
      </w:r>
    </w:p>
    <w:p w14:paraId="08973C02" w14:textId="4894F111" w:rsidR="00BD19D5" w:rsidRPr="00FF02C2" w:rsidRDefault="006C0D9E" w:rsidP="009610CF">
      <w:pPr>
        <w:pStyle w:val="Reasons"/>
      </w:pPr>
      <w:r w:rsidRPr="00FF02C2">
        <w:rPr>
          <w:b/>
        </w:rPr>
        <w:t>Motivos:</w:t>
      </w:r>
      <w:r w:rsidRPr="00FF02C2">
        <w:tab/>
      </w:r>
      <w:r w:rsidR="009610CF" w:rsidRPr="00FF02C2">
        <w:t>El tema que figura en el apartado 2a) de los estudios ya está contemplado en el Artículo</w:t>
      </w:r>
      <w:r w:rsidR="002E4230" w:rsidRPr="00FF02C2">
        <w:t> </w:t>
      </w:r>
      <w:r w:rsidR="009610CF" w:rsidRPr="00FF02C2">
        <w:t>18 del RR. No hay ninguna necesidad de modificar el Reglamento de Radiocomunicaciones.</w:t>
      </w:r>
      <w:r w:rsidR="002E4230" w:rsidRPr="00FF02C2">
        <w:t xml:space="preserve"> </w:t>
      </w:r>
      <w:r w:rsidR="009610CF" w:rsidRPr="00FF02C2">
        <w:t>Para el tema que figura en el apartado 2b) de los estudios, se consideran suficientes los Informes del UI</w:t>
      </w:r>
      <w:bookmarkStart w:id="5" w:name="_GoBack"/>
      <w:bookmarkEnd w:id="5"/>
      <w:r w:rsidR="009610CF" w:rsidRPr="00FF02C2">
        <w:t>T-R sobre prácticas idóneas, relativos a la gestión nacional del funcionamiento no autorizado de los terminales de estaciones terrenas desplegados en el territorio de las administraciones afectadas. No hay ninguna necesidad de modificar el Reglamento de Radiocomunicaciones.</w:t>
      </w:r>
    </w:p>
    <w:p w14:paraId="2CE5BEA4" w14:textId="77777777" w:rsidR="00BD19D5" w:rsidRPr="00FF02C2" w:rsidRDefault="006C0D9E">
      <w:pPr>
        <w:pStyle w:val="Proposal"/>
      </w:pPr>
      <w:r w:rsidRPr="00FF02C2">
        <w:t>SUP</w:t>
      </w:r>
      <w:r w:rsidRPr="00FF02C2">
        <w:tab/>
        <w:t>EUR/16A21A7/2</w:t>
      </w:r>
    </w:p>
    <w:p w14:paraId="04CF6FF9" w14:textId="77777777" w:rsidR="007B7DBC" w:rsidRPr="00FF02C2" w:rsidRDefault="006C0D9E" w:rsidP="002E4230">
      <w:pPr>
        <w:pStyle w:val="ResNo"/>
      </w:pPr>
      <w:r w:rsidRPr="00FF02C2">
        <w:t xml:space="preserve">RESOLUCIÓN </w:t>
      </w:r>
      <w:r w:rsidRPr="00FF02C2">
        <w:rPr>
          <w:rStyle w:val="href"/>
        </w:rPr>
        <w:t>958</w:t>
      </w:r>
      <w:r w:rsidRPr="00FF02C2">
        <w:t xml:space="preserve"> (cmr-15)</w:t>
      </w:r>
    </w:p>
    <w:p w14:paraId="2507677E" w14:textId="77777777" w:rsidR="007B7DBC" w:rsidRPr="00FF02C2" w:rsidRDefault="006C0D9E" w:rsidP="007B7DBC">
      <w:pPr>
        <w:pStyle w:val="Restitle"/>
      </w:pPr>
      <w:r w:rsidRPr="00FF02C2">
        <w:t xml:space="preserve">Estudios urgentes necesarios para la preparación de la </w:t>
      </w:r>
      <w:r w:rsidRPr="00FF02C2">
        <w:br/>
        <w:t>Conferencia Mundial de Radiocomunicaciones de 2019</w:t>
      </w:r>
    </w:p>
    <w:p w14:paraId="0DE0AB5E" w14:textId="6292B331" w:rsidR="00BD19D5" w:rsidRPr="00FF02C2" w:rsidRDefault="006C0D9E">
      <w:pPr>
        <w:pStyle w:val="Reasons"/>
      </w:pPr>
      <w:r w:rsidRPr="00FF02C2">
        <w:rPr>
          <w:b/>
        </w:rPr>
        <w:t>Motivos:</w:t>
      </w:r>
      <w:r w:rsidRPr="00FF02C2">
        <w:tab/>
      </w:r>
      <w:r w:rsidR="009610CF" w:rsidRPr="00FF02C2">
        <w:t xml:space="preserve">Después de la CMR-19 no se necesita la Resolución </w:t>
      </w:r>
      <w:r w:rsidR="009610CF" w:rsidRPr="00FF02C2">
        <w:rPr>
          <w:bCs/>
        </w:rPr>
        <w:t>958 (CMR-15) puesto que se han completado los estudios solicitados en las secciones</w:t>
      </w:r>
      <w:r w:rsidR="009610CF" w:rsidRPr="00FF02C2">
        <w:t xml:space="preserve"> 1), 2) y 3) de su Anexo, relativos al punto 9.1, temas 9.1.6, 9.1.7 y 9.1.8, respectivamente.</w:t>
      </w:r>
    </w:p>
    <w:p w14:paraId="5B31A209" w14:textId="77777777" w:rsidR="009610CF" w:rsidRPr="00FF02C2" w:rsidRDefault="009610CF" w:rsidP="009610CF"/>
    <w:p w14:paraId="0D283979" w14:textId="4417EA2B" w:rsidR="009610CF" w:rsidRPr="00FF02C2" w:rsidRDefault="009610CF" w:rsidP="00FF02C2">
      <w:pPr>
        <w:jc w:val="center"/>
      </w:pPr>
      <w:r w:rsidRPr="00FF02C2">
        <w:t>______________</w:t>
      </w:r>
    </w:p>
    <w:sectPr w:rsidR="009610CF" w:rsidRPr="00FF02C2">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3471" w14:textId="77777777" w:rsidR="003C0613" w:rsidRDefault="003C0613">
      <w:r>
        <w:separator/>
      </w:r>
    </w:p>
  </w:endnote>
  <w:endnote w:type="continuationSeparator" w:id="0">
    <w:p w14:paraId="4703A403"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6C6A8"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8FEA28" w14:textId="469F4ABF" w:rsidR="0077084A" w:rsidRDefault="0077084A">
    <w:pPr>
      <w:ind w:right="360"/>
      <w:rPr>
        <w:lang w:val="en-US"/>
      </w:rPr>
    </w:pPr>
    <w:r>
      <w:fldChar w:fldCharType="begin"/>
    </w:r>
    <w:r>
      <w:rPr>
        <w:lang w:val="en-US"/>
      </w:rPr>
      <w:instrText xml:space="preserve"> FILENAME \p  \* MERGEFORMAT </w:instrText>
    </w:r>
    <w:r>
      <w:fldChar w:fldCharType="separate"/>
    </w:r>
    <w:r w:rsidR="006976E3">
      <w:rPr>
        <w:noProof/>
        <w:lang w:val="en-US"/>
      </w:rPr>
      <w:t>P:\ESP\ITU-R\CONF-R\CMR19\000\016ADD21ADD07S.docx</w:t>
    </w:r>
    <w:r>
      <w:fldChar w:fldCharType="end"/>
    </w:r>
    <w:r>
      <w:rPr>
        <w:lang w:val="en-US"/>
      </w:rPr>
      <w:tab/>
    </w:r>
    <w:r>
      <w:fldChar w:fldCharType="begin"/>
    </w:r>
    <w:r>
      <w:instrText xml:space="preserve"> SAVEDATE \@ DD.MM.YY </w:instrText>
    </w:r>
    <w:r>
      <w:fldChar w:fldCharType="separate"/>
    </w:r>
    <w:r w:rsidR="006976E3">
      <w:rPr>
        <w:noProof/>
      </w:rPr>
      <w:t>24.10.19</w:t>
    </w:r>
    <w:r>
      <w:fldChar w:fldCharType="end"/>
    </w:r>
    <w:r>
      <w:rPr>
        <w:lang w:val="en-US"/>
      </w:rPr>
      <w:tab/>
    </w:r>
    <w:r>
      <w:fldChar w:fldCharType="begin"/>
    </w:r>
    <w:r>
      <w:instrText xml:space="preserve"> PRINTDATE \@ DD.MM.YY </w:instrText>
    </w:r>
    <w:r>
      <w:fldChar w:fldCharType="separate"/>
    </w:r>
    <w:r w:rsidR="006976E3">
      <w:rPr>
        <w:noProof/>
      </w:rPr>
      <w:t>24.10.19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4C9A" w14:textId="634597F3" w:rsidR="0077084A" w:rsidRPr="00282656" w:rsidRDefault="0077084A" w:rsidP="00B86034">
    <w:pPr>
      <w:pStyle w:val="Footer"/>
      <w:ind w:right="360"/>
      <w:rPr>
        <w:lang w:val="en-GB"/>
      </w:rPr>
    </w:pPr>
    <w:r>
      <w:fldChar w:fldCharType="begin"/>
    </w:r>
    <w:r>
      <w:rPr>
        <w:lang w:val="en-US"/>
      </w:rPr>
      <w:instrText xml:space="preserve"> FILENAME \p  \* MERGEFORMAT </w:instrText>
    </w:r>
    <w:r>
      <w:fldChar w:fldCharType="separate"/>
    </w:r>
    <w:r w:rsidR="006976E3">
      <w:rPr>
        <w:lang w:val="en-US"/>
      </w:rPr>
      <w:t>P:\ESP\ITU-R\CONF-R\CMR19\000\016ADD21ADD07S.docx</w:t>
    </w:r>
    <w:r>
      <w:fldChar w:fldCharType="end"/>
    </w:r>
    <w:r w:rsidR="00282656" w:rsidRPr="00282656">
      <w:rPr>
        <w:lang w:val="en-GB"/>
      </w:rPr>
      <w:t xml:space="preserve"> </w:t>
    </w:r>
    <w:r w:rsidR="00282656">
      <w:rPr>
        <w:lang w:val="en-GB"/>
      </w:rPr>
      <w:t>(461920)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A3FE" w14:textId="48024A00" w:rsidR="0077084A" w:rsidRPr="00282656" w:rsidRDefault="0077084A" w:rsidP="00B47331">
    <w:pPr>
      <w:pStyle w:val="Footer"/>
      <w:rPr>
        <w:lang w:val="en-GB"/>
      </w:rPr>
    </w:pPr>
    <w:r>
      <w:fldChar w:fldCharType="begin"/>
    </w:r>
    <w:r>
      <w:rPr>
        <w:lang w:val="en-US"/>
      </w:rPr>
      <w:instrText xml:space="preserve"> FILENAME \p  \* MERGEFORMAT </w:instrText>
    </w:r>
    <w:r>
      <w:fldChar w:fldCharType="separate"/>
    </w:r>
    <w:r w:rsidR="006976E3">
      <w:rPr>
        <w:lang w:val="en-US"/>
      </w:rPr>
      <w:t>P:\ESP\ITU-R\CONF-R\CMR19\000\016ADD21ADD07S.docx</w:t>
    </w:r>
    <w:r>
      <w:fldChar w:fldCharType="end"/>
    </w:r>
    <w:r w:rsidR="00282656" w:rsidRPr="00282656">
      <w:rPr>
        <w:lang w:val="en-GB"/>
      </w:rPr>
      <w:t xml:space="preserve"> </w:t>
    </w:r>
    <w:r w:rsidR="00282656">
      <w:rPr>
        <w:lang w:val="en-GB"/>
      </w:rPr>
      <w:t>(461920)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8B697" w14:textId="77777777" w:rsidR="003C0613" w:rsidRDefault="003C0613">
      <w:r>
        <w:rPr>
          <w:b/>
        </w:rPr>
        <w:t>_______________</w:t>
      </w:r>
    </w:p>
  </w:footnote>
  <w:footnote w:type="continuationSeparator" w:id="0">
    <w:p w14:paraId="32665805"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DA02"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564C5112" w14:textId="77777777" w:rsidR="0077084A" w:rsidRDefault="008750A8" w:rsidP="00C44E9E">
    <w:pPr>
      <w:pStyle w:val="Header"/>
      <w:rPr>
        <w:lang w:val="en-US"/>
      </w:rPr>
    </w:pPr>
    <w:r>
      <w:rPr>
        <w:lang w:val="en-US"/>
      </w:rPr>
      <w:t>CMR1</w:t>
    </w:r>
    <w:r w:rsidR="00C44E9E">
      <w:rPr>
        <w:lang w:val="en-US"/>
      </w:rPr>
      <w:t>9</w:t>
    </w:r>
    <w:r>
      <w:rPr>
        <w:lang w:val="en-US"/>
      </w:rPr>
      <w:t>/</w:t>
    </w:r>
    <w:r w:rsidR="00702F3D">
      <w:t>16(Add.21)(Add.7)-</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3659C"/>
    <w:rsid w:val="00236D2A"/>
    <w:rsid w:val="0024569E"/>
    <w:rsid w:val="00255F12"/>
    <w:rsid w:val="00262C09"/>
    <w:rsid w:val="00282656"/>
    <w:rsid w:val="002A791F"/>
    <w:rsid w:val="002C1A52"/>
    <w:rsid w:val="002C1B26"/>
    <w:rsid w:val="002C5D6C"/>
    <w:rsid w:val="002E4230"/>
    <w:rsid w:val="002E701F"/>
    <w:rsid w:val="003248A9"/>
    <w:rsid w:val="00324FFA"/>
    <w:rsid w:val="0032680B"/>
    <w:rsid w:val="0035003E"/>
    <w:rsid w:val="00363A65"/>
    <w:rsid w:val="003B1E8C"/>
    <w:rsid w:val="003C0613"/>
    <w:rsid w:val="003C2508"/>
    <w:rsid w:val="003D0AA3"/>
    <w:rsid w:val="003E2086"/>
    <w:rsid w:val="003F7F66"/>
    <w:rsid w:val="00440B3A"/>
    <w:rsid w:val="0044375A"/>
    <w:rsid w:val="0045384C"/>
    <w:rsid w:val="00454553"/>
    <w:rsid w:val="00472A86"/>
    <w:rsid w:val="004B124A"/>
    <w:rsid w:val="004B3095"/>
    <w:rsid w:val="004D2C7C"/>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62BA0"/>
    <w:rsid w:val="0067344B"/>
    <w:rsid w:val="00684A94"/>
    <w:rsid w:val="00692AAE"/>
    <w:rsid w:val="006976E3"/>
    <w:rsid w:val="006C0D9E"/>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866AE6"/>
    <w:rsid w:val="008750A8"/>
    <w:rsid w:val="008D3316"/>
    <w:rsid w:val="008E5AF2"/>
    <w:rsid w:val="0090121B"/>
    <w:rsid w:val="009144C9"/>
    <w:rsid w:val="0094091F"/>
    <w:rsid w:val="009610CF"/>
    <w:rsid w:val="00962171"/>
    <w:rsid w:val="00973754"/>
    <w:rsid w:val="009C0BED"/>
    <w:rsid w:val="009E11EC"/>
    <w:rsid w:val="00A021CC"/>
    <w:rsid w:val="00A118DB"/>
    <w:rsid w:val="00A4450C"/>
    <w:rsid w:val="00AA5E6C"/>
    <w:rsid w:val="00AE5677"/>
    <w:rsid w:val="00AE658F"/>
    <w:rsid w:val="00AF2F78"/>
    <w:rsid w:val="00B239FA"/>
    <w:rsid w:val="00B372AB"/>
    <w:rsid w:val="00B47331"/>
    <w:rsid w:val="00B52D55"/>
    <w:rsid w:val="00B8288C"/>
    <w:rsid w:val="00B86034"/>
    <w:rsid w:val="00BD19D5"/>
    <w:rsid w:val="00BE2E80"/>
    <w:rsid w:val="00BE5EDD"/>
    <w:rsid w:val="00BE6A1F"/>
    <w:rsid w:val="00C126C4"/>
    <w:rsid w:val="00C44E9E"/>
    <w:rsid w:val="00C63EB5"/>
    <w:rsid w:val="00C87DA7"/>
    <w:rsid w:val="00CC01E0"/>
    <w:rsid w:val="00CD5FEE"/>
    <w:rsid w:val="00CE60D2"/>
    <w:rsid w:val="00CE7431"/>
    <w:rsid w:val="00D00CA8"/>
    <w:rsid w:val="00D0288A"/>
    <w:rsid w:val="00D72A5D"/>
    <w:rsid w:val="00DA71A3"/>
    <w:rsid w:val="00DC629B"/>
    <w:rsid w:val="00DE1C31"/>
    <w:rsid w:val="00E05BFF"/>
    <w:rsid w:val="00E262F1"/>
    <w:rsid w:val="00E3176A"/>
    <w:rsid w:val="00E36CE4"/>
    <w:rsid w:val="00E54754"/>
    <w:rsid w:val="00E56BD3"/>
    <w:rsid w:val="00E71D14"/>
    <w:rsid w:val="00EA77F0"/>
    <w:rsid w:val="00F32316"/>
    <w:rsid w:val="00F66597"/>
    <w:rsid w:val="00F675D0"/>
    <w:rsid w:val="00F8150C"/>
    <w:rsid w:val="00FD03C4"/>
    <w:rsid w:val="00FE4574"/>
    <w:rsid w:val="00FF02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D84F52"/>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B9039E"/>
  </w:style>
  <w:style w:type="paragraph" w:styleId="BalloonText">
    <w:name w:val="Balloon Text"/>
    <w:basedOn w:val="Normal"/>
    <w:link w:val="BalloonTextChar"/>
    <w:semiHidden/>
    <w:unhideWhenUsed/>
    <w:rsid w:val="006976E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976E3"/>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R16-WRC19-C-0016!A21-A7!MSW-S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25E02FA9-952D-4FD9-8406-2754C70FC154}">
  <ds:schemaRefs>
    <ds:schemaRef ds:uri="http://schemas.microsoft.com/office/2006/documentManagement/types"/>
    <ds:schemaRef ds:uri="996b2e75-67fd-4955-a3b0-5ab9934cb50b"/>
    <ds:schemaRef ds:uri="http://purl.org/dc/terms/"/>
    <ds:schemaRef ds:uri="http://schemas.openxmlformats.org/package/2006/metadata/core-properties"/>
    <ds:schemaRef ds:uri="http://www.w3.org/XML/1998/namespace"/>
    <ds:schemaRef ds:uri="http://purl.org/dc/elements/1.1/"/>
    <ds:schemaRef ds:uri="http://purl.org/dc/dcmitype/"/>
    <ds:schemaRef ds:uri="32a1a8c5-2265-4ebc-b7a0-2071e2c5c9bb"/>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5EC303B1-8F04-4801-919B-62FE879B3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520</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R16-WRC19-C-0016!A21-A7!MSW-S</vt:lpstr>
    </vt:vector>
  </TitlesOfParts>
  <Manager>Secretaría General - Pool</Manager>
  <Company>Unión Internacional de Telecomunicaciones (UIT)</Company>
  <LinksUpToDate>false</LinksUpToDate>
  <CharactersWithSpaces>3631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R16-WRC19-C-0016!A21-A7!MSW-S</dc:title>
  <dc:subject>Conferencia Mundial de Radiocomunicaciones - 2019</dc:subject>
  <dc:creator>Documents Proposals Manager (DPM)</dc:creator>
  <cp:keywords>DPM_v2019.10.15.2_prod</cp:keywords>
  <dc:description/>
  <cp:lastModifiedBy>Spanish</cp:lastModifiedBy>
  <cp:revision>7</cp:revision>
  <cp:lastPrinted>2019-10-23T23:06:00Z</cp:lastPrinted>
  <dcterms:created xsi:type="dcterms:W3CDTF">2019-10-23T20:50:00Z</dcterms:created>
  <dcterms:modified xsi:type="dcterms:W3CDTF">2019-10-23T23:10:00Z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