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9F7F1EB" w14:textId="77777777" w:rsidTr="00F55E63">
        <w:trPr>
          <w:cantSplit/>
          <w:trHeight w:val="20"/>
        </w:trPr>
        <w:tc>
          <w:tcPr>
            <w:tcW w:w="6619" w:type="dxa"/>
          </w:tcPr>
          <w:p w14:paraId="631A24C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D023D55" w14:textId="77777777" w:rsidR="00280E04" w:rsidRDefault="00A375BD" w:rsidP="00D44350">
            <w:pPr>
              <w:rPr>
                <w:rtl/>
                <w:lang w:bidi="ar-EG"/>
              </w:rPr>
            </w:pPr>
            <w:r>
              <w:rPr>
                <w:noProof/>
                <w:lang w:eastAsia="zh-CN"/>
              </w:rPr>
              <w:drawing>
                <wp:inline distT="0" distB="0" distL="0" distR="0" wp14:anchorId="1E5CC550" wp14:editId="680A5594">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5A740BF0" w14:textId="77777777" w:rsidTr="00F55E63">
        <w:trPr>
          <w:cantSplit/>
          <w:trHeight w:val="20"/>
        </w:trPr>
        <w:tc>
          <w:tcPr>
            <w:tcW w:w="6619" w:type="dxa"/>
            <w:tcBorders>
              <w:bottom w:val="single" w:sz="12" w:space="0" w:color="auto"/>
            </w:tcBorders>
          </w:tcPr>
          <w:p w14:paraId="1808B0F2" w14:textId="77777777" w:rsidR="00280E04" w:rsidRPr="00960962" w:rsidRDefault="00280E04" w:rsidP="00D44350">
            <w:pPr>
              <w:rPr>
                <w:rtl/>
                <w:lang w:bidi="ar-EG"/>
              </w:rPr>
            </w:pPr>
          </w:p>
        </w:tc>
        <w:tc>
          <w:tcPr>
            <w:tcW w:w="3053" w:type="dxa"/>
            <w:tcBorders>
              <w:bottom w:val="single" w:sz="12" w:space="0" w:color="auto"/>
            </w:tcBorders>
          </w:tcPr>
          <w:p w14:paraId="2078EEF6" w14:textId="77777777" w:rsidR="00280E04" w:rsidRPr="00A9645C" w:rsidRDefault="00280E04" w:rsidP="00D44350">
            <w:pPr>
              <w:rPr>
                <w:lang w:bidi="ar-EG"/>
              </w:rPr>
            </w:pPr>
          </w:p>
        </w:tc>
      </w:tr>
      <w:tr w:rsidR="00280E04" w14:paraId="64176B9B" w14:textId="77777777" w:rsidTr="00F55E63">
        <w:trPr>
          <w:cantSplit/>
          <w:trHeight w:val="20"/>
        </w:trPr>
        <w:tc>
          <w:tcPr>
            <w:tcW w:w="6619" w:type="dxa"/>
            <w:tcBorders>
              <w:top w:val="single" w:sz="12" w:space="0" w:color="auto"/>
            </w:tcBorders>
          </w:tcPr>
          <w:p w14:paraId="30FAD559"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1D78509" w14:textId="77777777" w:rsidR="00280E04" w:rsidRPr="00BD6EF3" w:rsidRDefault="00280E04" w:rsidP="00A42709">
            <w:pPr>
              <w:pStyle w:val="Adress"/>
              <w:framePr w:hSpace="0" w:wrap="auto" w:xAlign="left" w:yAlign="inline"/>
              <w:spacing w:before="0"/>
            </w:pPr>
          </w:p>
        </w:tc>
      </w:tr>
      <w:tr w:rsidR="001970FD" w:rsidRPr="00F545E4" w14:paraId="26723DFE" w14:textId="77777777" w:rsidTr="00F55E63">
        <w:trPr>
          <w:cantSplit/>
        </w:trPr>
        <w:tc>
          <w:tcPr>
            <w:tcW w:w="6619" w:type="dxa"/>
          </w:tcPr>
          <w:p w14:paraId="71880221" w14:textId="77777777" w:rsidR="001970FD" w:rsidRPr="00F545E4" w:rsidRDefault="001970FD" w:rsidP="001970FD">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09C6B09D" w14:textId="2048D576" w:rsidR="001970FD" w:rsidRPr="008C771B" w:rsidRDefault="008C771B" w:rsidP="001970FD">
            <w:pPr>
              <w:pStyle w:val="Adress"/>
              <w:framePr w:hSpace="0" w:wrap="auto" w:xAlign="left" w:yAlign="inline"/>
              <w:spacing w:before="0"/>
              <w:rPr>
                <w:rFonts w:ascii="Verdana" w:hAnsi="Verdana"/>
                <w:szCs w:val="19"/>
              </w:rPr>
            </w:pPr>
            <w:r>
              <w:rPr>
                <w:rFonts w:ascii="Traditional Arabic" w:hAnsi="Traditional Arabic" w:hint="cs"/>
                <w:sz w:val="30"/>
                <w:rtl/>
              </w:rPr>
              <w:t xml:space="preserve">الإضافة </w:t>
            </w:r>
            <w:r>
              <w:rPr>
                <w:rFonts w:ascii="Verdana" w:hAnsi="Verdana"/>
                <w:szCs w:val="19"/>
              </w:rPr>
              <w:t>6</w:t>
            </w:r>
            <w:r w:rsidR="001970FD">
              <w:rPr>
                <w:rFonts w:ascii="Verdana" w:hAnsi="Verdana"/>
              </w:rPr>
              <w:br/>
            </w:r>
            <w:r>
              <w:rPr>
                <w:rFonts w:ascii="Traditional Arabic" w:hAnsi="Traditional Arabic" w:hint="cs"/>
                <w:sz w:val="30"/>
                <w:rtl/>
              </w:rPr>
              <w:t xml:space="preserve">للوثيقة </w:t>
            </w:r>
            <w:r>
              <w:rPr>
                <w:rFonts w:ascii="Verdana" w:hAnsi="Verdana"/>
                <w:szCs w:val="19"/>
              </w:rPr>
              <w:t>16(ADD.</w:t>
            </w:r>
            <w:proofErr w:type="gramStart"/>
            <w:r>
              <w:rPr>
                <w:rFonts w:ascii="Verdana" w:hAnsi="Verdana"/>
                <w:szCs w:val="19"/>
              </w:rPr>
              <w:t>21)A</w:t>
            </w:r>
            <w:proofErr w:type="gramEnd"/>
          </w:p>
        </w:tc>
      </w:tr>
      <w:tr w:rsidR="001970FD" w:rsidRPr="00F545E4" w14:paraId="4F18DCE1" w14:textId="77777777" w:rsidTr="00F55E63">
        <w:trPr>
          <w:cantSplit/>
        </w:trPr>
        <w:tc>
          <w:tcPr>
            <w:tcW w:w="6619" w:type="dxa"/>
          </w:tcPr>
          <w:p w14:paraId="07C113A4" w14:textId="77777777" w:rsidR="001970FD" w:rsidRPr="00F545E4" w:rsidRDefault="001970FD" w:rsidP="001970FD">
            <w:pPr>
              <w:pStyle w:val="Adress"/>
              <w:framePr w:hSpace="0" w:wrap="auto" w:xAlign="left" w:yAlign="inline"/>
              <w:spacing w:before="0"/>
              <w:rPr>
                <w:rtl/>
              </w:rPr>
            </w:pPr>
          </w:p>
        </w:tc>
        <w:tc>
          <w:tcPr>
            <w:tcW w:w="3053" w:type="dxa"/>
            <w:vAlign w:val="center"/>
          </w:tcPr>
          <w:p w14:paraId="151B304E" w14:textId="154619DD" w:rsidR="001970FD" w:rsidRPr="00F545E4" w:rsidRDefault="001970FD" w:rsidP="001970FD">
            <w:pPr>
              <w:pStyle w:val="Adress"/>
              <w:framePr w:hSpace="0" w:wrap="auto" w:xAlign="left" w:yAlign="inline"/>
              <w:spacing w:before="0"/>
              <w:rPr>
                <w:rtl/>
              </w:rPr>
            </w:pPr>
            <w:r>
              <w:rPr>
                <w:rFonts w:ascii="Verdana" w:eastAsia="SimSun" w:hAnsi="Verdana"/>
              </w:rPr>
              <w:t>7</w:t>
            </w:r>
            <w:r>
              <w:rPr>
                <w:rFonts w:ascii="Verdana" w:eastAsia="SimSun" w:hAnsi="Verdana" w:hint="cs"/>
                <w:rtl/>
              </w:rPr>
              <w:t xml:space="preserve"> أكتوبر </w:t>
            </w:r>
            <w:r>
              <w:rPr>
                <w:rFonts w:ascii="Verdana" w:eastAsia="SimSun" w:hAnsi="Verdana"/>
              </w:rPr>
              <w:t>2019</w:t>
            </w:r>
          </w:p>
        </w:tc>
      </w:tr>
      <w:tr w:rsidR="001970FD" w:rsidRPr="00F545E4" w14:paraId="2AA5C733" w14:textId="77777777" w:rsidTr="00F55E63">
        <w:trPr>
          <w:cantSplit/>
        </w:trPr>
        <w:tc>
          <w:tcPr>
            <w:tcW w:w="6619" w:type="dxa"/>
          </w:tcPr>
          <w:p w14:paraId="07DE7497" w14:textId="77777777" w:rsidR="001970FD" w:rsidRPr="00F545E4" w:rsidRDefault="001970FD" w:rsidP="001970FD">
            <w:pPr>
              <w:pStyle w:val="Adress"/>
              <w:framePr w:hSpace="0" w:wrap="auto" w:xAlign="left" w:yAlign="inline"/>
              <w:spacing w:before="0"/>
              <w:rPr>
                <w:rFonts w:eastAsia="SimSun" w:hint="eastAsia"/>
              </w:rPr>
            </w:pPr>
          </w:p>
        </w:tc>
        <w:tc>
          <w:tcPr>
            <w:tcW w:w="3053" w:type="dxa"/>
            <w:vAlign w:val="center"/>
          </w:tcPr>
          <w:p w14:paraId="7C2B77F4" w14:textId="6533A2EA" w:rsidR="001970FD" w:rsidRPr="00F545E4" w:rsidRDefault="001970FD" w:rsidP="001970FD">
            <w:pPr>
              <w:pStyle w:val="Adress"/>
              <w:framePr w:hSpace="0" w:wrap="auto" w:xAlign="left" w:yAlign="inline"/>
              <w:spacing w:before="0"/>
              <w:rPr>
                <w:rFonts w:eastAsia="SimSun" w:hint="eastAsia"/>
              </w:rPr>
            </w:pPr>
            <w:r>
              <w:rPr>
                <w:rFonts w:ascii="Verdana" w:hAnsi="Verdana" w:hint="cs"/>
                <w:rtl/>
              </w:rPr>
              <w:t>الأصل: بالإنكليزية</w:t>
            </w:r>
          </w:p>
        </w:tc>
      </w:tr>
      <w:tr w:rsidR="00764079" w14:paraId="529D4C1E" w14:textId="77777777" w:rsidTr="00F55E63">
        <w:trPr>
          <w:cantSplit/>
        </w:trPr>
        <w:tc>
          <w:tcPr>
            <w:tcW w:w="9672" w:type="dxa"/>
            <w:gridSpan w:val="2"/>
          </w:tcPr>
          <w:p w14:paraId="34D7B73C" w14:textId="77777777" w:rsidR="00764079" w:rsidRDefault="00764079" w:rsidP="00A42709">
            <w:pPr>
              <w:pStyle w:val="Adress"/>
              <w:framePr w:hSpace="0" w:wrap="auto" w:xAlign="left" w:yAlign="inline"/>
              <w:spacing w:before="0"/>
              <w:rPr>
                <w:rFonts w:eastAsia="SimSun" w:hint="eastAsia"/>
              </w:rPr>
            </w:pPr>
          </w:p>
        </w:tc>
      </w:tr>
      <w:tr w:rsidR="00764079" w14:paraId="360BC95E" w14:textId="77777777" w:rsidTr="00F55E63">
        <w:trPr>
          <w:cantSplit/>
        </w:trPr>
        <w:tc>
          <w:tcPr>
            <w:tcW w:w="9672" w:type="dxa"/>
            <w:gridSpan w:val="2"/>
          </w:tcPr>
          <w:p w14:paraId="777DF423" w14:textId="77777777" w:rsidR="00764079" w:rsidRPr="00E621A3" w:rsidRDefault="00F55E63" w:rsidP="00F55E63">
            <w:pPr>
              <w:pStyle w:val="Source"/>
              <w:rPr>
                <w:rtl/>
              </w:rPr>
            </w:pPr>
            <w:r w:rsidRPr="00F55E63">
              <w:rPr>
                <w:rtl/>
              </w:rPr>
              <w:t>مقترحات أوروبية مشتركة</w:t>
            </w:r>
          </w:p>
        </w:tc>
      </w:tr>
      <w:tr w:rsidR="00764079" w14:paraId="0C40E96A" w14:textId="77777777" w:rsidTr="00F55E63">
        <w:trPr>
          <w:cantSplit/>
        </w:trPr>
        <w:tc>
          <w:tcPr>
            <w:tcW w:w="9672" w:type="dxa"/>
            <w:gridSpan w:val="2"/>
          </w:tcPr>
          <w:p w14:paraId="7D38EF4A"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15949CE0" w14:textId="77777777" w:rsidTr="00F55E63">
        <w:trPr>
          <w:cantSplit/>
        </w:trPr>
        <w:tc>
          <w:tcPr>
            <w:tcW w:w="9672" w:type="dxa"/>
            <w:gridSpan w:val="2"/>
          </w:tcPr>
          <w:p w14:paraId="314740FB" w14:textId="77777777" w:rsidR="00764079" w:rsidRPr="00BD6EF3" w:rsidRDefault="00764079" w:rsidP="00F55E63">
            <w:pPr>
              <w:pStyle w:val="Title2"/>
              <w:rPr>
                <w:rtl/>
              </w:rPr>
            </w:pPr>
          </w:p>
        </w:tc>
      </w:tr>
      <w:tr w:rsidR="00764079" w14:paraId="683352BE" w14:textId="77777777" w:rsidTr="00F55E63">
        <w:trPr>
          <w:cantSplit/>
        </w:trPr>
        <w:tc>
          <w:tcPr>
            <w:tcW w:w="9672" w:type="dxa"/>
            <w:gridSpan w:val="2"/>
          </w:tcPr>
          <w:p w14:paraId="0152FFFE" w14:textId="2311528D" w:rsidR="00764079" w:rsidRPr="0012545F" w:rsidRDefault="00DB4CC9" w:rsidP="00F55E63">
            <w:pPr>
              <w:pStyle w:val="Agendaitem"/>
              <w:rPr>
                <w:rtl/>
                <w:lang w:val="en-US"/>
              </w:rPr>
            </w:pPr>
            <w:r>
              <w:rPr>
                <w:rtl/>
                <w:lang w:val="en-US"/>
              </w:rPr>
              <w:t>‎‎‎‎‎‎‎‎‎‎‎‎بند جدول الأعمال</w:t>
            </w:r>
            <w:r w:rsidR="001970FD">
              <w:rPr>
                <w:rFonts w:hint="cs"/>
                <w:rtl/>
                <w:lang w:val="en-US"/>
              </w:rPr>
              <w:t xml:space="preserve"> </w:t>
            </w:r>
            <w:r w:rsidR="001970FD">
              <w:rPr>
                <w:rFonts w:eastAsia="SimSun"/>
              </w:rPr>
              <w:t>(6.1.9)1.9</w:t>
            </w:r>
          </w:p>
        </w:tc>
      </w:tr>
    </w:tbl>
    <w:p w14:paraId="13FA27F5" w14:textId="77777777" w:rsidR="001D597A" w:rsidRPr="007E63A1" w:rsidRDefault="000B4AF5" w:rsidP="00295A04">
      <w:pPr>
        <w:rPr>
          <w:rFonts w:eastAsia="SimSun"/>
          <w:szCs w:val="22"/>
          <w:rtl/>
          <w:lang w:bidi="ar-SY"/>
        </w:rPr>
      </w:pPr>
      <w:r w:rsidRPr="00723691">
        <w:rPr>
          <w:rFonts w:eastAsia="SimSun"/>
          <w:lang w:eastAsia="zh-CN" w:bidi="ar-SY"/>
        </w:rPr>
        <w:t>9</w:t>
      </w:r>
      <w:r w:rsidRPr="00723691">
        <w:rPr>
          <w:rFonts w:eastAsia="SimSun" w:hint="cs"/>
          <w:rtl/>
          <w:lang w:eastAsia="zh-CN"/>
        </w:rPr>
        <w:tab/>
        <w:t xml:space="preserve">النظر في تقرير مدير مكتب الاتصالات الراديوية وإقراره، وفقاً للمادة </w:t>
      </w:r>
      <w:r w:rsidRPr="00723691">
        <w:rPr>
          <w:rFonts w:eastAsia="SimSun"/>
          <w:lang w:eastAsia="zh-CN" w:bidi="ar-SY"/>
        </w:rPr>
        <w:t>7</w:t>
      </w:r>
      <w:r w:rsidRPr="00723691">
        <w:rPr>
          <w:rFonts w:eastAsia="SimSun" w:hint="cs"/>
          <w:rtl/>
          <w:lang w:eastAsia="zh-CN"/>
        </w:rPr>
        <w:t xml:space="preserve"> من الاتفاقية:</w:t>
      </w:r>
    </w:p>
    <w:p w14:paraId="7EDB9447" w14:textId="77777777" w:rsidR="001D597A" w:rsidRPr="007E63A1" w:rsidRDefault="000B4AF5" w:rsidP="00295A04">
      <w:pPr>
        <w:rPr>
          <w:rFonts w:eastAsia="SimSun"/>
          <w:szCs w:val="22"/>
          <w:rtl/>
          <w:lang w:bidi="ar-SY"/>
        </w:rPr>
      </w:pPr>
      <w:r w:rsidRPr="00723691">
        <w:rPr>
          <w:rFonts w:eastAsia="SimSun"/>
          <w:lang w:eastAsia="zh-CN" w:bidi="ar-SY"/>
        </w:rPr>
        <w:t>1.9</w:t>
      </w:r>
      <w:r w:rsidRPr="00723691">
        <w:rPr>
          <w:rFonts w:eastAsia="SimSun" w:hint="cs"/>
          <w:rtl/>
          <w:lang w:eastAsia="zh-CN"/>
        </w:rPr>
        <w:tab/>
        <w:t>بشأن أنشطة قطاع الاتصالات الراديوية منذ المؤتمر العالمي للاتصالات الراديوية لعام</w:t>
      </w:r>
      <w:r w:rsidRPr="00723691">
        <w:rPr>
          <w:rFonts w:eastAsia="SimSun" w:hint="eastAsia"/>
          <w:rtl/>
          <w:lang w:eastAsia="zh-CN"/>
        </w:rPr>
        <w:t> </w:t>
      </w:r>
      <w:r w:rsidRPr="00723691">
        <w:rPr>
          <w:rFonts w:eastAsia="SimSun"/>
          <w:lang w:eastAsia="zh-CN" w:bidi="ar-SY"/>
        </w:rPr>
        <w:t>2015</w:t>
      </w:r>
      <w:r w:rsidRPr="00723691">
        <w:rPr>
          <w:rFonts w:eastAsia="SimSun" w:hint="cs"/>
          <w:rtl/>
          <w:lang w:eastAsia="zh-CN" w:bidi="ar-SY"/>
        </w:rPr>
        <w:t xml:space="preserve"> </w:t>
      </w:r>
      <w:r w:rsidRPr="00723691">
        <w:rPr>
          <w:rFonts w:eastAsia="SimSun"/>
          <w:lang w:eastAsia="zh-CN" w:bidi="ar-SY"/>
        </w:rPr>
        <w:t>(WRC</w:t>
      </w:r>
      <w:r w:rsidRPr="00723691">
        <w:rPr>
          <w:rFonts w:eastAsia="SimSun"/>
          <w:lang w:eastAsia="zh-CN" w:bidi="ar-SY"/>
        </w:rPr>
        <w:noBreakHyphen/>
        <w:t>15)</w:t>
      </w:r>
      <w:r w:rsidRPr="00723691">
        <w:rPr>
          <w:rFonts w:eastAsia="SimSun" w:hint="cs"/>
          <w:rtl/>
          <w:lang w:eastAsia="zh-CN"/>
        </w:rPr>
        <w:t>؛</w:t>
      </w:r>
    </w:p>
    <w:p w14:paraId="48D4636D" w14:textId="42889B3A" w:rsidR="001D597A" w:rsidRPr="008D331F" w:rsidRDefault="000B4AF5" w:rsidP="001A77F9">
      <w:pPr>
        <w:rPr>
          <w:rFonts w:eastAsia="SimSun"/>
          <w:szCs w:val="22"/>
          <w:rtl/>
        </w:rPr>
      </w:pPr>
      <w:r>
        <w:rPr>
          <w:rFonts w:eastAsia="SimSun"/>
        </w:rPr>
        <w:t>(6.1.9)1.9</w:t>
      </w:r>
      <w:r>
        <w:rPr>
          <w:rFonts w:eastAsia="SimSun"/>
        </w:rPr>
        <w:tab/>
      </w:r>
      <w:r w:rsidRPr="000F3C37">
        <w:rPr>
          <w:rFonts w:eastAsia="SimSun" w:hint="cs"/>
          <w:rtl/>
        </w:rPr>
        <w:t xml:space="preserve">القرار </w:t>
      </w:r>
      <w:r w:rsidRPr="000F3C37">
        <w:rPr>
          <w:rFonts w:eastAsia="SimSun"/>
          <w:b/>
          <w:bCs/>
        </w:rPr>
        <w:t>958 (WRC</w:t>
      </w:r>
      <w:r w:rsidRPr="000F3C37">
        <w:rPr>
          <w:rFonts w:eastAsia="SimSun"/>
          <w:b/>
          <w:bCs/>
        </w:rPr>
        <w:noBreakHyphen/>
        <w:t>15)</w:t>
      </w:r>
      <w:r>
        <w:rPr>
          <w:rFonts w:eastAsia="SimSun" w:hint="cs"/>
          <w:rtl/>
        </w:rPr>
        <w:t xml:space="preserve"> - البند </w:t>
      </w:r>
      <w:r>
        <w:rPr>
          <w:rFonts w:eastAsia="SimSun"/>
        </w:rPr>
        <w:t>1</w:t>
      </w:r>
      <w:r w:rsidR="001F72B2">
        <w:rPr>
          <w:rFonts w:eastAsia="SimSun" w:hint="cs"/>
          <w:rtl/>
        </w:rPr>
        <w:t>)</w:t>
      </w:r>
      <w:r>
        <w:rPr>
          <w:rFonts w:eastAsia="SimSun" w:hint="cs"/>
          <w:rtl/>
        </w:rPr>
        <w:t xml:space="preserve"> بالملحق إ</w:t>
      </w:r>
      <w:r w:rsidRPr="00292693">
        <w:rPr>
          <w:rFonts w:eastAsia="SimSun" w:hint="cs"/>
          <w:rtl/>
        </w:rPr>
        <w:t xml:space="preserve">جراء دراسات بشأن </w:t>
      </w:r>
      <w:r w:rsidRPr="00292693">
        <w:rPr>
          <w:rFonts w:eastAsia="SimSun"/>
          <w:rtl/>
        </w:rPr>
        <w:t>الإرسال اللاسلكي للطاقة</w:t>
      </w:r>
      <w:r w:rsidRPr="00292693">
        <w:rPr>
          <w:rFonts w:eastAsia="SimSun" w:hint="cs"/>
          <w:rtl/>
        </w:rPr>
        <w:t xml:space="preserve"> </w:t>
      </w:r>
      <w:r w:rsidRPr="00292693">
        <w:rPr>
          <w:rFonts w:eastAsia="SimSun"/>
        </w:rPr>
        <w:t>(WPT)</w:t>
      </w:r>
      <w:r w:rsidRPr="00292693">
        <w:rPr>
          <w:rFonts w:eastAsia="SimSun" w:hint="cs"/>
          <w:rtl/>
        </w:rPr>
        <w:t xml:space="preserve"> ل</w:t>
      </w:r>
      <w:r w:rsidRPr="00292693">
        <w:rPr>
          <w:rFonts w:eastAsia="SimSun"/>
          <w:rtl/>
        </w:rPr>
        <w:t>لمركبات الكهربائية</w:t>
      </w:r>
      <w:r>
        <w:rPr>
          <w:rFonts w:eastAsia="SimSun" w:hint="cs"/>
          <w:rtl/>
        </w:rPr>
        <w:t>:</w:t>
      </w:r>
      <w:r w:rsidRPr="00292693">
        <w:rPr>
          <w:rFonts w:eastAsia="SimSun" w:hint="cs"/>
          <w:rtl/>
        </w:rPr>
        <w:t xml:space="preserve"> أ )</w:t>
      </w:r>
      <w:r>
        <w:rPr>
          <w:rFonts w:eastAsia="SimSun" w:hint="cs"/>
          <w:rtl/>
        </w:rPr>
        <w:t xml:space="preserve"> </w:t>
      </w:r>
      <w:r w:rsidRPr="00292693">
        <w:rPr>
          <w:rFonts w:eastAsia="SimSun" w:hint="cs"/>
          <w:rtl/>
        </w:rPr>
        <w:t xml:space="preserve">تقييم أثر </w:t>
      </w:r>
      <w:r w:rsidRPr="00292693">
        <w:rPr>
          <w:rFonts w:eastAsia="SimSun"/>
          <w:rtl/>
        </w:rPr>
        <w:t xml:space="preserve">الإرسال اللاسلكي للطاقة </w:t>
      </w:r>
      <w:r w:rsidRPr="00292693">
        <w:rPr>
          <w:rFonts w:eastAsia="SimSun"/>
        </w:rPr>
        <w:t>(WPT)</w:t>
      </w:r>
      <w:r w:rsidRPr="00292693">
        <w:rPr>
          <w:rFonts w:eastAsia="SimSun" w:hint="cs"/>
          <w:rtl/>
        </w:rPr>
        <w:t xml:space="preserve"> للمركبات الكهربائية على خدمات الاتصالات</w:t>
      </w:r>
      <w:r w:rsidRPr="00292693">
        <w:rPr>
          <w:rFonts w:eastAsia="SimSun" w:hint="eastAsia"/>
          <w:rtl/>
        </w:rPr>
        <w:t> </w:t>
      </w:r>
      <w:r w:rsidRPr="00292693">
        <w:rPr>
          <w:rFonts w:eastAsia="SimSun" w:hint="cs"/>
          <w:rtl/>
        </w:rPr>
        <w:t>الراديوية؛</w:t>
      </w:r>
      <w:r>
        <w:rPr>
          <w:rFonts w:eastAsia="SimSun" w:hint="cs"/>
          <w:rtl/>
        </w:rPr>
        <w:t xml:space="preserve"> </w:t>
      </w:r>
      <w:r w:rsidRPr="00292693">
        <w:rPr>
          <w:rFonts w:eastAsia="SimSun" w:hint="cs"/>
          <w:rtl/>
        </w:rPr>
        <w:t xml:space="preserve">ب) دراسة مديات الترددات المنسقة المناسبة التي تقلل أثر </w:t>
      </w:r>
      <w:r w:rsidRPr="00292693">
        <w:rPr>
          <w:rFonts w:eastAsia="SimSun"/>
          <w:rtl/>
        </w:rPr>
        <w:t>الإرسال اللاسلكي للطاقة</w:t>
      </w:r>
      <w:r w:rsidRPr="00292693">
        <w:rPr>
          <w:rFonts w:eastAsia="SimSun" w:hint="cs"/>
          <w:rtl/>
        </w:rPr>
        <w:t> </w:t>
      </w:r>
      <w:r w:rsidRPr="00292693">
        <w:rPr>
          <w:rFonts w:eastAsia="SimSun"/>
        </w:rPr>
        <w:t>(WPT)</w:t>
      </w:r>
      <w:r w:rsidRPr="00292693">
        <w:rPr>
          <w:rFonts w:eastAsia="SimSun" w:hint="cs"/>
          <w:rtl/>
        </w:rPr>
        <w:t xml:space="preserve"> للمركبات الكهربائية على خدمات الاتصالات الراديوية.</w:t>
      </w:r>
      <w:r>
        <w:rPr>
          <w:rFonts w:eastAsia="SimSun" w:hint="cs"/>
          <w:rtl/>
        </w:rPr>
        <w:t xml:space="preserve"> </w:t>
      </w:r>
      <w:r w:rsidRPr="00292693">
        <w:rPr>
          <w:rFonts w:eastAsia="SimSun" w:hint="cs"/>
          <w:rtl/>
        </w:rPr>
        <w:t xml:space="preserve">ينبغي أن تراعي هذه الدراسات أن </w:t>
      </w:r>
      <w:r w:rsidRPr="00292693">
        <w:rPr>
          <w:rFonts w:eastAsia="SimSun"/>
          <w:rtl/>
        </w:rPr>
        <w:t xml:space="preserve">اللجنة الكهرتقنية الدولية </w:t>
      </w:r>
      <w:r w:rsidRPr="00292693">
        <w:rPr>
          <w:rFonts w:eastAsia="SimSun"/>
        </w:rPr>
        <w:t>(IEC)</w:t>
      </w:r>
      <w:r w:rsidRPr="00292693">
        <w:rPr>
          <w:rFonts w:eastAsia="SimSun"/>
          <w:rtl/>
        </w:rPr>
        <w:t xml:space="preserve"> والمنظمة الدولية للتوحيد القياسي </w:t>
      </w:r>
      <w:r w:rsidRPr="00292693">
        <w:rPr>
          <w:rFonts w:eastAsia="SimSun"/>
        </w:rPr>
        <w:t>(ISO)</w:t>
      </w:r>
      <w:r w:rsidRPr="00292693">
        <w:rPr>
          <w:rFonts w:eastAsia="SimSun"/>
          <w:rtl/>
        </w:rPr>
        <w:t xml:space="preserve"> وجمعية مهندسي السيارات</w:t>
      </w:r>
      <w:r w:rsidRPr="00292693">
        <w:rPr>
          <w:rFonts w:eastAsia="SimSun" w:hint="cs"/>
          <w:rtl/>
        </w:rPr>
        <w:t> </w:t>
      </w:r>
      <w:r w:rsidRPr="00292693">
        <w:rPr>
          <w:rFonts w:eastAsia="SimSun"/>
        </w:rPr>
        <w:t>(SAE)</w:t>
      </w:r>
      <w:r w:rsidRPr="00292693">
        <w:rPr>
          <w:rFonts w:eastAsia="SimSun"/>
          <w:rtl/>
        </w:rPr>
        <w:t xml:space="preserve"> تقوم بوضع معايير دولية تتعلق بالتنسيق العالمي والإقليمي لتكنولوجيات </w:t>
      </w:r>
      <w:r w:rsidRPr="00292693">
        <w:rPr>
          <w:rFonts w:eastAsia="SimSun"/>
        </w:rPr>
        <w:t>WPT</w:t>
      </w:r>
      <w:r w:rsidRPr="00292693">
        <w:rPr>
          <w:rFonts w:eastAsia="SimSun"/>
          <w:rtl/>
        </w:rPr>
        <w:t xml:space="preserve"> </w:t>
      </w:r>
      <w:r w:rsidRPr="00292693">
        <w:rPr>
          <w:rFonts w:eastAsia="SimSun" w:hint="cs"/>
          <w:rtl/>
        </w:rPr>
        <w:t>ل</w:t>
      </w:r>
      <w:r w:rsidRPr="00292693">
        <w:rPr>
          <w:rFonts w:eastAsia="SimSun"/>
          <w:rtl/>
        </w:rPr>
        <w:t>لمركبات الكهربائية</w:t>
      </w:r>
      <w:r w:rsidRPr="00292693">
        <w:rPr>
          <w:rFonts w:eastAsia="SimSun" w:hint="cs"/>
          <w:rtl/>
        </w:rPr>
        <w:t>.</w:t>
      </w:r>
    </w:p>
    <w:p w14:paraId="16F71B5A" w14:textId="15D619FE" w:rsidR="002F3E46" w:rsidRDefault="0016276A" w:rsidP="0016276A">
      <w:pPr>
        <w:pStyle w:val="Headingb"/>
        <w:rPr>
          <w:rtl/>
        </w:rPr>
      </w:pPr>
      <w:r>
        <w:rPr>
          <w:rFonts w:hint="cs"/>
          <w:rtl/>
        </w:rPr>
        <w:t>مقدمة</w:t>
      </w:r>
    </w:p>
    <w:p w14:paraId="69378FA6" w14:textId="29A48C77" w:rsidR="002D470F" w:rsidRDefault="00505AA6" w:rsidP="00505AA6">
      <w:pPr>
        <w:rPr>
          <w:rtl/>
        </w:rPr>
      </w:pPr>
      <w:r>
        <w:rPr>
          <w:rFonts w:hint="cs"/>
          <w:rtl/>
        </w:rPr>
        <w:t xml:space="preserve">يُجري </w:t>
      </w:r>
      <w:r w:rsidR="00141454">
        <w:rPr>
          <w:rFonts w:hint="cs"/>
          <w:rtl/>
        </w:rPr>
        <w:t xml:space="preserve">المؤتمر الأوروبي لإدارات البريد والاتصالات </w:t>
      </w:r>
      <w:r w:rsidR="00141454">
        <w:t>(CEPT)</w:t>
      </w:r>
      <w:r w:rsidR="00141454" w:rsidRPr="00141454">
        <w:rPr>
          <w:rtl/>
        </w:rPr>
        <w:t xml:space="preserve"> دراسات </w:t>
      </w:r>
      <w:r w:rsidR="008C611A">
        <w:rPr>
          <w:rFonts w:hint="cs"/>
          <w:rtl/>
        </w:rPr>
        <w:t>بشأن</w:t>
      </w:r>
      <w:r w:rsidR="00141454" w:rsidRPr="00141454">
        <w:rPr>
          <w:rtl/>
        </w:rPr>
        <w:t xml:space="preserve"> تأثير </w:t>
      </w:r>
      <w:r w:rsidR="00141454" w:rsidRPr="00292693">
        <w:rPr>
          <w:rFonts w:eastAsia="SimSun"/>
          <w:rtl/>
        </w:rPr>
        <w:t>الإرسال اللاسلكي للطاقة</w:t>
      </w:r>
      <w:r w:rsidR="00141454" w:rsidRPr="00292693">
        <w:rPr>
          <w:rFonts w:eastAsia="SimSun" w:hint="cs"/>
          <w:rtl/>
        </w:rPr>
        <w:t> </w:t>
      </w:r>
      <w:r w:rsidR="00141454" w:rsidRPr="00292693">
        <w:rPr>
          <w:rFonts w:eastAsia="SimSun"/>
        </w:rPr>
        <w:t>(WPT)</w:t>
      </w:r>
      <w:r w:rsidR="00141454" w:rsidRPr="00292693">
        <w:rPr>
          <w:rFonts w:eastAsia="SimSun" w:hint="cs"/>
          <w:rtl/>
        </w:rPr>
        <w:t xml:space="preserve"> </w:t>
      </w:r>
      <w:r w:rsidR="00141454" w:rsidRPr="00141454">
        <w:rPr>
          <w:rtl/>
        </w:rPr>
        <w:t>على خدمات/أنظمة الاتصالات الراديوية</w:t>
      </w:r>
      <w:r w:rsidR="00141454">
        <w:rPr>
          <w:rFonts w:hint="cs"/>
          <w:rtl/>
        </w:rPr>
        <w:t xml:space="preserve">، </w:t>
      </w:r>
      <w:r w:rsidR="00141454" w:rsidRPr="00141454">
        <w:rPr>
          <w:rtl/>
        </w:rPr>
        <w:t xml:space="preserve">بما في ذلك تقييم الحماية المناسبة لخدمات الاتصالات الراديوية من </w:t>
      </w:r>
      <w:r w:rsidR="00141454">
        <w:rPr>
          <w:rFonts w:hint="cs"/>
          <w:rtl/>
          <w:lang w:val="fr-CH" w:bidi="ar-SY"/>
        </w:rPr>
        <w:t>الإرسالات</w:t>
      </w:r>
      <w:r w:rsidR="00141454" w:rsidRPr="00141454">
        <w:rPr>
          <w:rtl/>
        </w:rPr>
        <w:t xml:space="preserve"> داخل النطاق </w:t>
      </w:r>
      <w:r w:rsidR="00141454">
        <w:rPr>
          <w:rFonts w:hint="cs"/>
          <w:rtl/>
        </w:rPr>
        <w:t>والإرسالات</w:t>
      </w:r>
      <w:r w:rsidR="00141454" w:rsidRPr="00141454">
        <w:rPr>
          <w:rtl/>
        </w:rPr>
        <w:t xml:space="preserve"> الهامشي</w:t>
      </w:r>
      <w:r w:rsidR="00141454">
        <w:rPr>
          <w:rFonts w:hint="cs"/>
          <w:rtl/>
        </w:rPr>
        <w:t>ة</w:t>
      </w:r>
      <w:r w:rsidR="00141454" w:rsidRPr="00141454">
        <w:rPr>
          <w:rtl/>
        </w:rPr>
        <w:t xml:space="preserve"> والتوافقي</w:t>
      </w:r>
      <w:r w:rsidR="00141454">
        <w:rPr>
          <w:rFonts w:hint="cs"/>
          <w:rtl/>
        </w:rPr>
        <w:t>ة</w:t>
      </w:r>
      <w:r w:rsidR="00401049">
        <w:rPr>
          <w:rFonts w:hint="cs"/>
          <w:rtl/>
        </w:rPr>
        <w:t xml:space="preserve"> لفترة من الزمن</w:t>
      </w:r>
      <w:r w:rsidR="00141454">
        <w:rPr>
          <w:rFonts w:hint="cs"/>
          <w:rtl/>
        </w:rPr>
        <w:t>،</w:t>
      </w:r>
      <w:r w:rsidR="00141454" w:rsidRPr="00141454">
        <w:rPr>
          <w:rtl/>
        </w:rPr>
        <w:t xml:space="preserve"> </w:t>
      </w:r>
      <w:r w:rsidR="00401049">
        <w:rPr>
          <w:rFonts w:hint="cs"/>
          <w:rtl/>
        </w:rPr>
        <w:t>وذلك في إطار</w:t>
      </w:r>
      <w:r w:rsidR="00141454">
        <w:rPr>
          <w:rFonts w:hint="cs"/>
          <w:rtl/>
        </w:rPr>
        <w:t xml:space="preserve"> </w:t>
      </w:r>
      <w:r w:rsidR="00141454" w:rsidRPr="00141454">
        <w:rPr>
          <w:rtl/>
        </w:rPr>
        <w:t>فريق العمل المعني بإدارة الترددات</w:t>
      </w:r>
      <w:r>
        <w:rPr>
          <w:rFonts w:hint="cs"/>
          <w:rtl/>
        </w:rPr>
        <w:t xml:space="preserve"> </w:t>
      </w:r>
      <w:r>
        <w:t>(WG FM)</w:t>
      </w:r>
      <w:r w:rsidR="00141454" w:rsidRPr="00141454">
        <w:rPr>
          <w:rtl/>
        </w:rPr>
        <w:t xml:space="preserve"> و</w:t>
      </w:r>
      <w:r w:rsidR="0051519A">
        <w:rPr>
          <w:rFonts w:hint="cs"/>
          <w:rtl/>
        </w:rPr>
        <w:t>فريق العمل المعني بهندسة الطيف</w:t>
      </w:r>
      <w:r>
        <w:rPr>
          <w:rFonts w:hint="cs"/>
          <w:rtl/>
          <w:lang w:val="fr-CH" w:bidi="ar-SY"/>
        </w:rPr>
        <w:t xml:space="preserve"> </w:t>
      </w:r>
      <w:r>
        <w:rPr>
          <w:lang w:bidi="ar-SY"/>
        </w:rPr>
        <w:t>(WG SE)</w:t>
      </w:r>
      <w:r w:rsidR="0051519A">
        <w:rPr>
          <w:rFonts w:hint="cs"/>
          <w:rtl/>
        </w:rPr>
        <w:t xml:space="preserve"> </w:t>
      </w:r>
      <w:r w:rsidR="00141454" w:rsidRPr="00141454">
        <w:rPr>
          <w:rtl/>
        </w:rPr>
        <w:t>و</w:t>
      </w:r>
      <w:r w:rsidR="0051519A" w:rsidRPr="0051519A">
        <w:rPr>
          <w:rtl/>
        </w:rPr>
        <w:t>الفريق التحضيري للمؤتمر</w:t>
      </w:r>
      <w:r>
        <w:rPr>
          <w:rFonts w:hint="cs"/>
          <w:rtl/>
        </w:rPr>
        <w:t xml:space="preserve"> </w:t>
      </w:r>
      <w:r>
        <w:t>(CPG)</w:t>
      </w:r>
      <w:r w:rsidR="00141454" w:rsidRPr="00141454">
        <w:rPr>
          <w:rtl/>
        </w:rPr>
        <w:t>.</w:t>
      </w:r>
      <w:r w:rsidR="0051519A">
        <w:rPr>
          <w:rFonts w:hint="cs"/>
          <w:rtl/>
        </w:rPr>
        <w:t xml:space="preserve"> و</w:t>
      </w:r>
      <w:r w:rsidR="00141454" w:rsidRPr="00141454">
        <w:rPr>
          <w:rtl/>
        </w:rPr>
        <w:t xml:space="preserve">لم </w:t>
      </w:r>
      <w:r>
        <w:rPr>
          <w:rFonts w:hint="cs"/>
          <w:rtl/>
        </w:rPr>
        <w:t>تنطو</w:t>
      </w:r>
      <w:r w:rsidR="00141454" w:rsidRPr="00141454">
        <w:rPr>
          <w:rtl/>
        </w:rPr>
        <w:t xml:space="preserve"> أي من نتائج هذه الدراسات</w:t>
      </w:r>
      <w:r>
        <w:rPr>
          <w:rFonts w:hint="cs"/>
          <w:rtl/>
        </w:rPr>
        <w:t xml:space="preserve"> على</w:t>
      </w:r>
      <w:r w:rsidR="00141454" w:rsidRPr="00141454">
        <w:rPr>
          <w:rtl/>
        </w:rPr>
        <w:t xml:space="preserve"> أي تغيير في لوائح الراديو لهذا الغرض. </w:t>
      </w:r>
      <w:r w:rsidR="008C611A">
        <w:rPr>
          <w:rFonts w:hint="cs"/>
          <w:rtl/>
        </w:rPr>
        <w:t>واعتُبر</w:t>
      </w:r>
      <w:r w:rsidR="00141454" w:rsidRPr="00141454">
        <w:rPr>
          <w:rtl/>
        </w:rPr>
        <w:t xml:space="preserve"> التنسيق الإقليمي/العالمي لبعض الترددات </w:t>
      </w:r>
      <w:r w:rsidR="00425A82">
        <w:rPr>
          <w:rFonts w:hint="cs"/>
          <w:rtl/>
        </w:rPr>
        <w:t>أنه مستخدم</w:t>
      </w:r>
      <w:r w:rsidR="00141454" w:rsidRPr="00141454">
        <w:rPr>
          <w:rtl/>
        </w:rPr>
        <w:t xml:space="preserve">/ </w:t>
      </w:r>
      <w:r w:rsidR="00425A82">
        <w:rPr>
          <w:rFonts w:hint="cs"/>
          <w:rtl/>
        </w:rPr>
        <w:t>سيُستخدم</w:t>
      </w:r>
      <w:r w:rsidR="00141454" w:rsidRPr="00141454">
        <w:rPr>
          <w:rtl/>
        </w:rPr>
        <w:t xml:space="preserve"> من</w:t>
      </w:r>
      <w:r w:rsidR="0051519A">
        <w:rPr>
          <w:rFonts w:hint="cs"/>
          <w:rtl/>
          <w:lang w:val="fr-CH" w:bidi="ar-SY"/>
        </w:rPr>
        <w:t xml:space="preserve"> طرف</w:t>
      </w:r>
      <w:r w:rsidR="00141454" w:rsidRPr="00141454">
        <w:rPr>
          <w:rtl/>
        </w:rPr>
        <w:t xml:space="preserve"> أنظمة</w:t>
      </w:r>
      <w:r w:rsidR="0051519A">
        <w:rPr>
          <w:rFonts w:hint="cs"/>
          <w:rtl/>
        </w:rPr>
        <w:t xml:space="preserve"> الإرسال اللاسلكي للطاقة </w:t>
      </w:r>
      <w:r w:rsidR="0051519A">
        <w:t>(WPT)</w:t>
      </w:r>
      <w:r w:rsidR="00141454" w:rsidRPr="00141454">
        <w:rPr>
          <w:rtl/>
        </w:rPr>
        <w:t xml:space="preserve">، ولكن هذه المسألة </w:t>
      </w:r>
      <w:r w:rsidRPr="00141454">
        <w:rPr>
          <w:rtl/>
        </w:rPr>
        <w:t>أيض</w:t>
      </w:r>
      <w:r>
        <w:rPr>
          <w:rFonts w:hint="cs"/>
          <w:rtl/>
        </w:rPr>
        <w:t>اً</w:t>
      </w:r>
      <w:r w:rsidRPr="00141454">
        <w:rPr>
          <w:rtl/>
        </w:rPr>
        <w:t xml:space="preserve"> </w:t>
      </w:r>
      <w:r w:rsidR="00141454" w:rsidRPr="00141454">
        <w:rPr>
          <w:rtl/>
        </w:rPr>
        <w:t xml:space="preserve">لا تنطوي على أي تغيير في لوائح الراديو. وبالتالي، لا يلزم إدخال أي تغيير على لوائح الراديو استجابة </w:t>
      </w:r>
      <w:r w:rsidR="008C611A">
        <w:rPr>
          <w:rFonts w:hint="cs"/>
          <w:rtl/>
        </w:rPr>
        <w:t>ل</w:t>
      </w:r>
      <w:r w:rsidR="00141454" w:rsidRPr="00141454">
        <w:rPr>
          <w:rtl/>
        </w:rPr>
        <w:t>ل</w:t>
      </w:r>
      <w:r w:rsidR="0051519A">
        <w:rPr>
          <w:rFonts w:hint="cs"/>
          <w:rtl/>
        </w:rPr>
        <w:t xml:space="preserve">مسألة </w:t>
      </w:r>
      <w:r w:rsidR="0051519A">
        <w:t>6.1.9</w:t>
      </w:r>
      <w:r w:rsidR="0051519A">
        <w:rPr>
          <w:rFonts w:hint="cs"/>
          <w:rtl/>
          <w:lang w:val="fr-CH" w:bidi="ar-SY"/>
        </w:rPr>
        <w:t xml:space="preserve"> من </w:t>
      </w:r>
      <w:r w:rsidR="00425A82">
        <w:rPr>
          <w:rFonts w:hint="cs"/>
          <w:rtl/>
          <w:lang w:val="fr-CH" w:bidi="ar-SY"/>
        </w:rPr>
        <w:t xml:space="preserve">البند </w:t>
      </w:r>
      <w:r w:rsidR="00425A82">
        <w:rPr>
          <w:lang w:bidi="ar-SY"/>
        </w:rPr>
        <w:t>1.9</w:t>
      </w:r>
      <w:r w:rsidR="00425A82">
        <w:rPr>
          <w:rFonts w:hint="cs"/>
          <w:rtl/>
          <w:lang w:val="fr-CH" w:bidi="ar-SY"/>
        </w:rPr>
        <w:t xml:space="preserve"> </w:t>
      </w:r>
      <w:r w:rsidR="00141454" w:rsidRPr="00141454">
        <w:rPr>
          <w:rtl/>
        </w:rPr>
        <w:t xml:space="preserve">من جدول أعمال المؤتمر </w:t>
      </w:r>
      <w:r w:rsidR="00141454" w:rsidRPr="00141454">
        <w:t>WRC-19</w:t>
      </w:r>
      <w:r w:rsidR="00425A82">
        <w:rPr>
          <w:rFonts w:hint="cs"/>
          <w:rtl/>
        </w:rPr>
        <w:t>.</w:t>
      </w:r>
    </w:p>
    <w:p w14:paraId="28AD768A" w14:textId="77777777" w:rsidR="002D470F" w:rsidRDefault="002D470F">
      <w:pPr>
        <w:tabs>
          <w:tab w:val="clear" w:pos="1134"/>
          <w:tab w:val="clear" w:pos="1871"/>
          <w:tab w:val="clear" w:pos="2268"/>
        </w:tabs>
        <w:bidi w:val="0"/>
        <w:spacing w:before="0" w:line="240" w:lineRule="auto"/>
        <w:jc w:val="left"/>
        <w:rPr>
          <w:rtl/>
        </w:rPr>
      </w:pPr>
      <w:r>
        <w:rPr>
          <w:rtl/>
        </w:rPr>
        <w:br w:type="page"/>
      </w:r>
    </w:p>
    <w:p w14:paraId="20E0FB80" w14:textId="69607361" w:rsidR="0012545F" w:rsidRPr="00505AA6" w:rsidRDefault="0016276A" w:rsidP="002D470F">
      <w:pPr>
        <w:pStyle w:val="Headingb"/>
        <w:rPr>
          <w:rtl/>
        </w:rPr>
      </w:pPr>
      <w:r w:rsidRPr="00505AA6">
        <w:rPr>
          <w:rFonts w:hint="cs"/>
          <w:rtl/>
        </w:rPr>
        <w:lastRenderedPageBreak/>
        <w:t>المقترحات</w:t>
      </w:r>
    </w:p>
    <w:p w14:paraId="4402F770" w14:textId="77777777" w:rsidR="00354469" w:rsidRDefault="000B4AF5">
      <w:pPr>
        <w:pStyle w:val="Proposal"/>
      </w:pPr>
      <w:r>
        <w:rPr>
          <w:u w:val="single"/>
        </w:rPr>
        <w:t>NOC</w:t>
      </w:r>
      <w:r>
        <w:tab/>
        <w:t>EUR/16A21A6/1</w:t>
      </w:r>
    </w:p>
    <w:p w14:paraId="40DB62FF" w14:textId="77777777" w:rsidR="00632DB3" w:rsidRDefault="000B4AF5" w:rsidP="00997F45">
      <w:pPr>
        <w:pStyle w:val="ArtNo"/>
        <w:spacing w:before="240"/>
        <w:rPr>
          <w:rtl/>
        </w:rPr>
      </w:pPr>
      <w:bookmarkStart w:id="0" w:name="_Toc454442698"/>
      <w:r>
        <w:rPr>
          <w:rtl/>
        </w:rPr>
        <w:t xml:space="preserve">المـادة </w:t>
      </w:r>
      <w:r>
        <w:rPr>
          <w:rStyle w:val="href"/>
        </w:rPr>
        <w:t>5</w:t>
      </w:r>
      <w:bookmarkEnd w:id="0"/>
    </w:p>
    <w:p w14:paraId="3B71AC46" w14:textId="77777777" w:rsidR="00632DB3" w:rsidRDefault="000B4AF5" w:rsidP="00632DB3">
      <w:pPr>
        <w:pStyle w:val="Arttitle"/>
        <w:rPr>
          <w:b w:val="0"/>
          <w:rtl/>
        </w:rPr>
      </w:pPr>
      <w:bookmarkStart w:id="1" w:name="_Toc454442699"/>
      <w:bookmarkStart w:id="2" w:name="_Toc331055733"/>
      <w:r>
        <w:rPr>
          <w:b w:val="0"/>
          <w:rtl/>
        </w:rPr>
        <w:t>توزيع نطاقات التردد</w:t>
      </w:r>
      <w:bookmarkEnd w:id="1"/>
      <w:bookmarkEnd w:id="2"/>
    </w:p>
    <w:p w14:paraId="12EAD8E4" w14:textId="4C122F42" w:rsidR="00354469" w:rsidRDefault="000B4AF5">
      <w:pPr>
        <w:pStyle w:val="Reasons"/>
      </w:pPr>
      <w:r>
        <w:rPr>
          <w:rtl/>
        </w:rPr>
        <w:t>الأسباب:</w:t>
      </w:r>
      <w:r>
        <w:tab/>
      </w:r>
      <w:r w:rsidR="00141454" w:rsidRPr="00141454">
        <w:rPr>
          <w:b w:val="0"/>
          <w:bCs w:val="0"/>
          <w:rtl/>
        </w:rPr>
        <w:t xml:space="preserve">تعتبر التقارير و/أو التوصيات الصادرة عن قطاع الاتصالات الراديوية، حسب الاقتضاء، كافية لتحديد نطاقات تردد مناسبة وحدود للإرسالات غير المطلوبة التي من شأنها أن تقلل إلى أدنى حد من تأثير خدمات الاتصالات الراديوية من </w:t>
      </w:r>
      <w:r w:rsidR="00141454">
        <w:rPr>
          <w:rFonts w:hint="cs"/>
          <w:b w:val="0"/>
          <w:bCs w:val="0"/>
          <w:rtl/>
        </w:rPr>
        <w:t>ال</w:t>
      </w:r>
      <w:r w:rsidR="00141454" w:rsidRPr="00141454">
        <w:rPr>
          <w:b w:val="0"/>
          <w:bCs w:val="0"/>
          <w:rtl/>
        </w:rPr>
        <w:t xml:space="preserve">إرسال اللاسلكي للطاقة </w:t>
      </w:r>
      <w:r w:rsidR="00141454" w:rsidRPr="00141454">
        <w:rPr>
          <w:rFonts w:ascii="Times New Roman" w:hAnsi="Times New Roman"/>
          <w:b w:val="0"/>
          <w:bCs w:val="0"/>
          <w:rtl/>
        </w:rPr>
        <w:t>(</w:t>
      </w:r>
      <w:r w:rsidR="00141454" w:rsidRPr="00141454">
        <w:rPr>
          <w:rFonts w:ascii="Times New Roman" w:hAnsi="Times New Roman"/>
          <w:b w:val="0"/>
          <w:bCs w:val="0"/>
        </w:rPr>
        <w:t>WPT</w:t>
      </w:r>
      <w:r w:rsidR="00141454" w:rsidRPr="00141454">
        <w:rPr>
          <w:rFonts w:ascii="Times New Roman" w:hAnsi="Times New Roman"/>
          <w:b w:val="0"/>
          <w:bCs w:val="0"/>
          <w:rtl/>
        </w:rPr>
        <w:t>)</w:t>
      </w:r>
      <w:r w:rsidR="00141454" w:rsidRPr="00141454">
        <w:rPr>
          <w:b w:val="0"/>
          <w:bCs w:val="0"/>
          <w:rtl/>
        </w:rPr>
        <w:t xml:space="preserve"> للمركبات الكهربائية.</w:t>
      </w:r>
    </w:p>
    <w:p w14:paraId="568F660A" w14:textId="77777777" w:rsidR="00354469" w:rsidRDefault="000B4AF5">
      <w:pPr>
        <w:pStyle w:val="Proposal"/>
      </w:pPr>
      <w:r>
        <w:t>SUP</w:t>
      </w:r>
      <w:r>
        <w:tab/>
        <w:t>EUR/16A21A6/2</w:t>
      </w:r>
    </w:p>
    <w:p w14:paraId="564A64D9" w14:textId="77777777" w:rsidR="00FC1116" w:rsidRPr="004763BC" w:rsidRDefault="000B4AF5" w:rsidP="00FC1116">
      <w:pPr>
        <w:pStyle w:val="ResNo"/>
      </w:pPr>
      <w:r w:rsidRPr="004763BC">
        <w:rPr>
          <w:rFonts w:hint="cs"/>
          <w:rtl/>
        </w:rPr>
        <w:t xml:space="preserve">القرار </w:t>
      </w:r>
      <w:r w:rsidRPr="002F12B5">
        <w:rPr>
          <w:rStyle w:val="href"/>
        </w:rPr>
        <w:t>958</w:t>
      </w:r>
      <w:r w:rsidRPr="004763BC">
        <w:t xml:space="preserve"> (WRC</w:t>
      </w:r>
      <w:r w:rsidRPr="004763BC">
        <w:noBreakHyphen/>
        <w:t>15)</w:t>
      </w:r>
    </w:p>
    <w:p w14:paraId="7F0BC327" w14:textId="77777777" w:rsidR="00FC1116" w:rsidRPr="004763BC" w:rsidRDefault="000B4AF5" w:rsidP="00FC1116">
      <w:pPr>
        <w:pStyle w:val="Restitle"/>
      </w:pPr>
      <w:r w:rsidRPr="004763BC">
        <w:rPr>
          <w:rFonts w:hint="cs"/>
          <w:rtl/>
        </w:rPr>
        <w:t>دراسا</w:t>
      </w:r>
      <w:bookmarkStart w:id="3" w:name="_GoBack"/>
      <w:bookmarkEnd w:id="3"/>
      <w:r w:rsidRPr="004763BC">
        <w:rPr>
          <w:rFonts w:hint="cs"/>
          <w:rtl/>
        </w:rPr>
        <w:t xml:space="preserve">ت عاجلة مطلوبة للتحضير للمؤتمر العالمي للاتصالات الراديوية لعام </w:t>
      </w:r>
      <w:r w:rsidRPr="004763BC">
        <w:t>2019</w:t>
      </w:r>
    </w:p>
    <w:p w14:paraId="27C3D205" w14:textId="3E24B10D" w:rsidR="00354469" w:rsidRPr="00F07510" w:rsidRDefault="000B4AF5" w:rsidP="00F07510">
      <w:pPr>
        <w:pStyle w:val="Reasons"/>
        <w:rPr>
          <w:b w:val="0"/>
          <w:bCs w:val="0"/>
          <w:lang w:bidi="ar-EG"/>
        </w:rPr>
      </w:pPr>
      <w:r w:rsidRPr="00505AA6">
        <w:rPr>
          <w:rtl/>
        </w:rPr>
        <w:t>الأسباب:</w:t>
      </w:r>
      <w:r>
        <w:tab/>
      </w:r>
      <w:r w:rsidR="00505AA6" w:rsidRPr="00F07510">
        <w:rPr>
          <w:rFonts w:hint="cs"/>
          <w:b w:val="0"/>
          <w:bCs w:val="0"/>
          <w:rtl/>
        </w:rPr>
        <w:t xml:space="preserve">لن يكون </w:t>
      </w:r>
      <w:r w:rsidR="00141454" w:rsidRPr="00F07510">
        <w:rPr>
          <w:b w:val="0"/>
          <w:bCs w:val="0"/>
          <w:rtl/>
          <w:lang w:bidi="ar-EG"/>
        </w:rPr>
        <w:t>القرار</w:t>
      </w:r>
      <w:r w:rsidR="00141454" w:rsidRPr="00141454">
        <w:rPr>
          <w:rtl/>
          <w:lang w:bidi="ar-EG"/>
        </w:rPr>
        <w:t xml:space="preserve"> (</w:t>
      </w:r>
      <w:r w:rsidR="00141454" w:rsidRPr="00141454">
        <w:rPr>
          <w:lang w:bidi="ar-EG"/>
        </w:rPr>
        <w:t>WRC-15</w:t>
      </w:r>
      <w:r w:rsidR="00141454" w:rsidRPr="00141454">
        <w:rPr>
          <w:rtl/>
          <w:lang w:bidi="ar-EG"/>
        </w:rPr>
        <w:t xml:space="preserve">) </w:t>
      </w:r>
      <w:r w:rsidR="00141454" w:rsidRPr="00141454">
        <w:rPr>
          <w:lang w:bidi="ar-SY"/>
        </w:rPr>
        <w:t>958</w:t>
      </w:r>
      <w:r w:rsidR="00141454">
        <w:rPr>
          <w:rFonts w:hint="cs"/>
          <w:rtl/>
          <w:lang w:val="fr-CH" w:bidi="ar-SY"/>
        </w:rPr>
        <w:t xml:space="preserve"> </w:t>
      </w:r>
      <w:r w:rsidR="00141454" w:rsidRPr="00F07510">
        <w:rPr>
          <w:rFonts w:hint="cs"/>
          <w:b w:val="0"/>
          <w:bCs w:val="0"/>
          <w:rtl/>
          <w:lang w:val="fr-CH" w:bidi="ar-SY"/>
        </w:rPr>
        <w:t>مطلوب</w:t>
      </w:r>
      <w:r w:rsidR="00505AA6" w:rsidRPr="00F07510">
        <w:rPr>
          <w:rFonts w:hint="cs"/>
          <w:b w:val="0"/>
          <w:bCs w:val="0"/>
          <w:rtl/>
          <w:lang w:val="fr-CH" w:bidi="ar-SY"/>
        </w:rPr>
        <w:t>اً</w:t>
      </w:r>
      <w:r w:rsidR="00141454" w:rsidRPr="00F07510">
        <w:rPr>
          <w:rFonts w:hint="cs"/>
          <w:b w:val="0"/>
          <w:bCs w:val="0"/>
          <w:rtl/>
          <w:lang w:val="fr-CH" w:bidi="ar-SY"/>
        </w:rPr>
        <w:t xml:space="preserve"> </w:t>
      </w:r>
      <w:r w:rsidR="00141454" w:rsidRPr="00F07510">
        <w:rPr>
          <w:b w:val="0"/>
          <w:bCs w:val="0"/>
          <w:rtl/>
          <w:lang w:bidi="ar-EG"/>
        </w:rPr>
        <w:t xml:space="preserve">بعد المؤتمر </w:t>
      </w:r>
      <w:r w:rsidR="00141454" w:rsidRPr="00F07510">
        <w:rPr>
          <w:b w:val="0"/>
          <w:bCs w:val="0"/>
          <w:lang w:bidi="ar-EG"/>
        </w:rPr>
        <w:t>WRC-19</w:t>
      </w:r>
      <w:r w:rsidR="00141454" w:rsidRPr="00F07510">
        <w:rPr>
          <w:b w:val="0"/>
          <w:bCs w:val="0"/>
          <w:rtl/>
          <w:lang w:bidi="ar-EG"/>
        </w:rPr>
        <w:t xml:space="preserve">، </w:t>
      </w:r>
      <w:r w:rsidR="00141454" w:rsidRPr="00F07510">
        <w:rPr>
          <w:rFonts w:hint="cs"/>
          <w:b w:val="0"/>
          <w:bCs w:val="0"/>
          <w:rtl/>
          <w:lang w:bidi="ar-EG"/>
        </w:rPr>
        <w:t>نظراً</w:t>
      </w:r>
      <w:r w:rsidR="00141454" w:rsidRPr="00F07510">
        <w:rPr>
          <w:b w:val="0"/>
          <w:bCs w:val="0"/>
          <w:rtl/>
          <w:lang w:bidi="ar-EG"/>
        </w:rPr>
        <w:t xml:space="preserve"> </w:t>
      </w:r>
      <w:r w:rsidR="00505AA6" w:rsidRPr="00F07510">
        <w:rPr>
          <w:rFonts w:hint="cs"/>
          <w:b w:val="0"/>
          <w:bCs w:val="0"/>
          <w:rtl/>
          <w:lang w:bidi="ar-EG"/>
        </w:rPr>
        <w:t>لاكتمال</w:t>
      </w:r>
      <w:r w:rsidR="00141454" w:rsidRPr="00F07510">
        <w:rPr>
          <w:b w:val="0"/>
          <w:bCs w:val="0"/>
          <w:rtl/>
          <w:lang w:bidi="ar-EG"/>
        </w:rPr>
        <w:t xml:space="preserve"> الدراسات المطلوبة في الأقسام</w:t>
      </w:r>
      <w:r w:rsidR="00141454" w:rsidRPr="00F07510">
        <w:rPr>
          <w:rFonts w:hint="cs"/>
          <w:b w:val="0"/>
          <w:bCs w:val="0"/>
          <w:rtl/>
          <w:lang w:bidi="ar-EG"/>
        </w:rPr>
        <w:t xml:space="preserve"> </w:t>
      </w:r>
      <w:r w:rsidR="00141454" w:rsidRPr="00F07510">
        <w:rPr>
          <w:b w:val="0"/>
          <w:bCs w:val="0"/>
          <w:lang w:bidi="ar-EG"/>
        </w:rPr>
        <w:t>(1</w:t>
      </w:r>
      <w:r w:rsidR="00141454" w:rsidRPr="00F07510">
        <w:rPr>
          <w:rFonts w:hint="cs"/>
          <w:b w:val="0"/>
          <w:bCs w:val="0"/>
          <w:rtl/>
          <w:lang w:val="fr-CH" w:bidi="ar-SY"/>
        </w:rPr>
        <w:t xml:space="preserve"> و</w:t>
      </w:r>
      <w:r w:rsidR="00141454" w:rsidRPr="00F07510">
        <w:rPr>
          <w:b w:val="0"/>
          <w:bCs w:val="0"/>
          <w:lang w:bidi="ar-SY"/>
        </w:rPr>
        <w:t>(2</w:t>
      </w:r>
      <w:r w:rsidR="00141454" w:rsidRPr="00F07510">
        <w:rPr>
          <w:rFonts w:hint="cs"/>
          <w:b w:val="0"/>
          <w:bCs w:val="0"/>
          <w:rtl/>
          <w:lang w:val="fr-CH" w:bidi="ar-SY"/>
        </w:rPr>
        <w:t xml:space="preserve"> و</w:t>
      </w:r>
      <w:r w:rsidR="00141454" w:rsidRPr="00F07510">
        <w:rPr>
          <w:b w:val="0"/>
          <w:bCs w:val="0"/>
          <w:lang w:bidi="ar-SY"/>
        </w:rPr>
        <w:t>(3</w:t>
      </w:r>
      <w:r w:rsidR="00141454" w:rsidRPr="00F07510">
        <w:rPr>
          <w:b w:val="0"/>
          <w:bCs w:val="0"/>
          <w:rtl/>
          <w:lang w:bidi="ar-EG"/>
        </w:rPr>
        <w:t xml:space="preserve"> من ملحق</w:t>
      </w:r>
      <w:r w:rsidR="00505AA6" w:rsidRPr="00F07510">
        <w:rPr>
          <w:rFonts w:hint="cs"/>
          <w:b w:val="0"/>
          <w:bCs w:val="0"/>
          <w:rtl/>
          <w:lang w:bidi="ar-EG"/>
        </w:rPr>
        <w:t xml:space="preserve"> هذا</w:t>
      </w:r>
      <w:r w:rsidR="00141454" w:rsidRPr="00F07510">
        <w:rPr>
          <w:rFonts w:hint="cs"/>
          <w:b w:val="0"/>
          <w:bCs w:val="0"/>
          <w:rtl/>
          <w:lang w:bidi="ar-EG"/>
        </w:rPr>
        <w:t xml:space="preserve"> القرار</w:t>
      </w:r>
      <w:r w:rsidR="00505AA6" w:rsidRPr="00F07510">
        <w:rPr>
          <w:rFonts w:hint="cs"/>
          <w:b w:val="0"/>
          <w:bCs w:val="0"/>
          <w:rtl/>
          <w:lang w:bidi="ar-EG"/>
        </w:rPr>
        <w:t>،</w:t>
      </w:r>
      <w:r w:rsidR="00141454" w:rsidRPr="00F07510">
        <w:rPr>
          <w:b w:val="0"/>
          <w:bCs w:val="0"/>
          <w:rtl/>
          <w:lang w:bidi="ar-EG"/>
        </w:rPr>
        <w:t xml:space="preserve"> في إطار ال</w:t>
      </w:r>
      <w:r w:rsidR="00141454" w:rsidRPr="00F07510">
        <w:rPr>
          <w:rFonts w:hint="cs"/>
          <w:b w:val="0"/>
          <w:bCs w:val="0"/>
          <w:rtl/>
          <w:lang w:bidi="ar-EG"/>
        </w:rPr>
        <w:t xml:space="preserve">مسائل </w:t>
      </w:r>
      <w:r w:rsidR="00141454" w:rsidRPr="00F07510">
        <w:rPr>
          <w:b w:val="0"/>
          <w:bCs w:val="0"/>
          <w:lang w:bidi="ar-EG"/>
        </w:rPr>
        <w:t>6.1.9</w:t>
      </w:r>
      <w:r w:rsidR="00141454" w:rsidRPr="00F07510">
        <w:rPr>
          <w:rFonts w:hint="cs"/>
          <w:b w:val="0"/>
          <w:bCs w:val="0"/>
          <w:rtl/>
          <w:lang w:val="fr-CH" w:bidi="ar-SY"/>
        </w:rPr>
        <w:t xml:space="preserve"> و</w:t>
      </w:r>
      <w:r w:rsidR="00141454" w:rsidRPr="00F07510">
        <w:rPr>
          <w:b w:val="0"/>
          <w:bCs w:val="0"/>
          <w:lang w:bidi="ar-SY"/>
        </w:rPr>
        <w:t>7.1.9</w:t>
      </w:r>
      <w:r w:rsidR="00141454" w:rsidRPr="00F07510">
        <w:rPr>
          <w:rFonts w:hint="cs"/>
          <w:b w:val="0"/>
          <w:bCs w:val="0"/>
          <w:rtl/>
          <w:lang w:val="fr-CH" w:bidi="ar-SY"/>
        </w:rPr>
        <w:t xml:space="preserve"> و</w:t>
      </w:r>
      <w:r w:rsidR="00141454" w:rsidRPr="00F07510">
        <w:rPr>
          <w:b w:val="0"/>
          <w:bCs w:val="0"/>
          <w:lang w:bidi="ar-SY"/>
        </w:rPr>
        <w:t>8.1.9</w:t>
      </w:r>
      <w:r w:rsidR="00141454" w:rsidRPr="00F07510">
        <w:rPr>
          <w:rFonts w:hint="cs"/>
          <w:b w:val="0"/>
          <w:bCs w:val="0"/>
          <w:rtl/>
          <w:lang w:val="fr-CH" w:bidi="ar-SY"/>
        </w:rPr>
        <w:t xml:space="preserve"> على التوالي من </w:t>
      </w:r>
      <w:r w:rsidR="00141454" w:rsidRPr="00F07510">
        <w:rPr>
          <w:b w:val="0"/>
          <w:bCs w:val="0"/>
          <w:rtl/>
          <w:lang w:bidi="ar-EG"/>
        </w:rPr>
        <w:t>بند جدول الأعمال</w:t>
      </w:r>
      <w:r w:rsidR="00141454" w:rsidRPr="00F07510">
        <w:rPr>
          <w:rFonts w:hint="cs"/>
          <w:b w:val="0"/>
          <w:bCs w:val="0"/>
          <w:rtl/>
          <w:lang w:bidi="ar-EG"/>
        </w:rPr>
        <w:t xml:space="preserve"> </w:t>
      </w:r>
      <w:r w:rsidR="00141454" w:rsidRPr="00F07510">
        <w:rPr>
          <w:b w:val="0"/>
          <w:bCs w:val="0"/>
          <w:lang w:bidi="ar-EG"/>
        </w:rPr>
        <w:t>1.9</w:t>
      </w:r>
      <w:r w:rsidR="00141454" w:rsidRPr="00F07510">
        <w:rPr>
          <w:b w:val="0"/>
          <w:bCs w:val="0"/>
          <w:rtl/>
          <w:lang w:bidi="ar-EG"/>
        </w:rPr>
        <w:t>.</w:t>
      </w:r>
    </w:p>
    <w:p w14:paraId="1507D002" w14:textId="77777777" w:rsidR="001970FD" w:rsidRPr="00960E08" w:rsidRDefault="001970FD" w:rsidP="00997F45">
      <w:pPr>
        <w:spacing w:before="480"/>
        <w:jc w:val="center"/>
      </w:pPr>
      <w:bookmarkStart w:id="4" w:name="_Hlk21439531"/>
      <w:r w:rsidRPr="00960E08">
        <w:rPr>
          <w:rFonts w:hint="cs"/>
          <w:rtl/>
        </w:rPr>
        <w:t>___________</w:t>
      </w:r>
      <w:bookmarkEnd w:id="4"/>
    </w:p>
    <w:sectPr w:rsidR="001970FD" w:rsidRPr="00960E08">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026D" w14:textId="77777777" w:rsidR="00EA5D25" w:rsidRDefault="00EA5D25" w:rsidP="002919E1">
      <w:r>
        <w:separator/>
      </w:r>
    </w:p>
    <w:p w14:paraId="5F82DAC0" w14:textId="77777777" w:rsidR="00EA5D25" w:rsidRDefault="00EA5D25" w:rsidP="002919E1"/>
    <w:p w14:paraId="3A0ED8B5" w14:textId="77777777" w:rsidR="00EA5D25" w:rsidRDefault="00EA5D25" w:rsidP="002919E1"/>
    <w:p w14:paraId="669C733D" w14:textId="77777777" w:rsidR="00EA5D25" w:rsidRDefault="00EA5D25"/>
  </w:endnote>
  <w:endnote w:type="continuationSeparator" w:id="0">
    <w:p w14:paraId="18FC0ED1" w14:textId="77777777" w:rsidR="00EA5D25" w:rsidRDefault="00EA5D25" w:rsidP="002919E1">
      <w:r>
        <w:continuationSeparator/>
      </w:r>
    </w:p>
    <w:p w14:paraId="18D11808" w14:textId="77777777" w:rsidR="00EA5D25" w:rsidRDefault="00EA5D25" w:rsidP="002919E1"/>
    <w:p w14:paraId="2893B5E9" w14:textId="77777777" w:rsidR="00EA5D25" w:rsidRDefault="00EA5D25" w:rsidP="002919E1"/>
    <w:p w14:paraId="45B67EAA"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678D" w14:textId="46BA8916"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059AD">
      <w:rPr>
        <w:noProof/>
      </w:rPr>
      <w:t>P:\ARA\ITU-R\CONF-R\CMR19\000\016ADD21ADD06A.docx</w:t>
    </w:r>
    <w:r>
      <w:fldChar w:fldCharType="end"/>
    </w:r>
    <w:proofErr w:type="gramStart"/>
    <w:r w:rsidRPr="00A809E8">
      <w:t xml:space="preserve">   (</w:t>
    </w:r>
    <w:proofErr w:type="gramEnd"/>
    <w:r w:rsidR="001970FD">
      <w:t>461922</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9923" w14:textId="4DF46A19" w:rsidR="00281F5F" w:rsidRPr="001970FD" w:rsidRDefault="001970FD" w:rsidP="001970FD">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059AD">
      <w:rPr>
        <w:noProof/>
      </w:rPr>
      <w:t>P:\ARA\ITU-R\CONF-R\CMR19\000\016ADD21ADD06A.docx</w:t>
    </w:r>
    <w:r>
      <w:fldChar w:fldCharType="end"/>
    </w:r>
    <w:proofErr w:type="gramStart"/>
    <w:r w:rsidRPr="00A809E8">
      <w:t xml:space="preserve">   (</w:t>
    </w:r>
    <w:proofErr w:type="gramEnd"/>
    <w:r>
      <w:t>461922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0A35" w14:textId="77777777" w:rsidR="00EA5D25" w:rsidRDefault="00EA5D25" w:rsidP="002919E1">
      <w:r>
        <w:t>___________________</w:t>
      </w:r>
    </w:p>
  </w:footnote>
  <w:footnote w:type="continuationSeparator" w:id="0">
    <w:p w14:paraId="108EB19A" w14:textId="77777777" w:rsidR="00EA5D25" w:rsidRDefault="00EA5D25" w:rsidP="002919E1">
      <w:r>
        <w:continuationSeparator/>
      </w:r>
    </w:p>
    <w:p w14:paraId="4D402CB3" w14:textId="77777777" w:rsidR="00EA5D25" w:rsidRDefault="00EA5D25" w:rsidP="002919E1"/>
    <w:p w14:paraId="31FF9B01" w14:textId="77777777" w:rsidR="00EA5D25" w:rsidRDefault="00EA5D25" w:rsidP="002919E1"/>
    <w:p w14:paraId="35EA563F"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432F" w14:textId="77777777" w:rsidR="00281F5F" w:rsidRDefault="00281F5F" w:rsidP="002919E1"/>
  <w:p w14:paraId="741A3491" w14:textId="77777777" w:rsidR="00281F5F" w:rsidRDefault="00281F5F" w:rsidP="002919E1"/>
  <w:p w14:paraId="2C5F9E5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834D"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16(Add.21)(Add.6)-</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A7B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10D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A0D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E8C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4AF5"/>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1454"/>
    <w:rsid w:val="001464F2"/>
    <w:rsid w:val="0016276A"/>
    <w:rsid w:val="00167364"/>
    <w:rsid w:val="001903B2"/>
    <w:rsid w:val="001970FD"/>
    <w:rsid w:val="001B0F78"/>
    <w:rsid w:val="001B5953"/>
    <w:rsid w:val="001D746E"/>
    <w:rsid w:val="001E190C"/>
    <w:rsid w:val="001E51EE"/>
    <w:rsid w:val="001E54F6"/>
    <w:rsid w:val="001E5A8C"/>
    <w:rsid w:val="001F72B2"/>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470F"/>
    <w:rsid w:val="002D5F64"/>
    <w:rsid w:val="002D6BB4"/>
    <w:rsid w:val="002D6FBF"/>
    <w:rsid w:val="002E48BF"/>
    <w:rsid w:val="002E61C2"/>
    <w:rsid w:val="002F3E46"/>
    <w:rsid w:val="00311E3F"/>
    <w:rsid w:val="00314B1E"/>
    <w:rsid w:val="0033737F"/>
    <w:rsid w:val="00353652"/>
    <w:rsid w:val="00354469"/>
    <w:rsid w:val="003569E1"/>
    <w:rsid w:val="003815E2"/>
    <w:rsid w:val="00381FAD"/>
    <w:rsid w:val="00382A66"/>
    <w:rsid w:val="003923B1"/>
    <w:rsid w:val="003965FE"/>
    <w:rsid w:val="003B27AD"/>
    <w:rsid w:val="003B4F23"/>
    <w:rsid w:val="003C12F6"/>
    <w:rsid w:val="003C3A13"/>
    <w:rsid w:val="003E02EF"/>
    <w:rsid w:val="003E1D90"/>
    <w:rsid w:val="00400CD4"/>
    <w:rsid w:val="00401049"/>
    <w:rsid w:val="004147B9"/>
    <w:rsid w:val="00422C04"/>
    <w:rsid w:val="00423A40"/>
    <w:rsid w:val="00425A82"/>
    <w:rsid w:val="00426144"/>
    <w:rsid w:val="004636E2"/>
    <w:rsid w:val="00470CBD"/>
    <w:rsid w:val="0047407D"/>
    <w:rsid w:val="004909DD"/>
    <w:rsid w:val="004A05E6"/>
    <w:rsid w:val="004A6230"/>
    <w:rsid w:val="004A6C66"/>
    <w:rsid w:val="004A7AA0"/>
    <w:rsid w:val="004C11BC"/>
    <w:rsid w:val="004C5C04"/>
    <w:rsid w:val="004D0448"/>
    <w:rsid w:val="004D4AE6"/>
    <w:rsid w:val="00505AA6"/>
    <w:rsid w:val="00505FCA"/>
    <w:rsid w:val="00510C2D"/>
    <w:rsid w:val="0051519A"/>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1369"/>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4BC2"/>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C611A"/>
    <w:rsid w:val="008C771B"/>
    <w:rsid w:val="008D6ACC"/>
    <w:rsid w:val="008D7AF0"/>
    <w:rsid w:val="008E2CBE"/>
    <w:rsid w:val="008E32DD"/>
    <w:rsid w:val="008E53C5"/>
    <w:rsid w:val="008F4626"/>
    <w:rsid w:val="009004DF"/>
    <w:rsid w:val="00904AA5"/>
    <w:rsid w:val="00951718"/>
    <w:rsid w:val="00960962"/>
    <w:rsid w:val="00972CE0"/>
    <w:rsid w:val="00997F45"/>
    <w:rsid w:val="009A3D30"/>
    <w:rsid w:val="009C70ED"/>
    <w:rsid w:val="009D6348"/>
    <w:rsid w:val="009E4C4B"/>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59AD"/>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07510"/>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D31307"/>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25A9-DF6F-4CC8-A4A4-5517B2FF8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E5C79-25AC-4616-B89D-BDB1F60DBC51}">
  <ds:schemaRefs>
    <ds:schemaRef ds:uri="http://schemas.microsoft.com/sharepoint/v3/contenttype/forms"/>
  </ds:schemaRefs>
</ds:datastoreItem>
</file>

<file path=customXml/itemProps3.xml><?xml version="1.0" encoding="utf-8"?>
<ds:datastoreItem xmlns:ds="http://schemas.openxmlformats.org/officeDocument/2006/customXml" ds:itemID="{11147F6E-D5D9-4C17-A9AF-C85B24C4714D}">
  <ds:schemaRefs>
    <ds:schemaRef ds:uri="http://schemas.microsoft.com/sharepoint/events"/>
  </ds:schemaRefs>
</ds:datastoreItem>
</file>

<file path=customXml/itemProps4.xml><?xml version="1.0" encoding="utf-8"?>
<ds:datastoreItem xmlns:ds="http://schemas.openxmlformats.org/officeDocument/2006/customXml" ds:itemID="{026610AA-256D-41D0-88EC-92289E38238C}">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1509BB4F-E1E1-46BE-AF60-6D7860A9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2088</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R16-WRC19-C-0016!A21-A6!MSW-A</vt:lpstr>
    </vt:vector>
  </TitlesOfParts>
  <Manager>General Secretariat - Pool</Manager>
  <Company>International Telecommunication Union (ITU)</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R16-WRC19-C-0016!A21-A6!MSW-A</dc:title>
  <dc:creator>Documents Proposals Manager (DPM)</dc:creator>
  <cp:keywords>DPM_v2019.10.8.1_prod</cp:keywords>
  <cp:lastModifiedBy>Riz, Imad</cp:lastModifiedBy>
  <cp:revision>9</cp:revision>
  <cp:lastPrinted>2019-10-21T07:34:00Z</cp:lastPrinted>
  <dcterms:created xsi:type="dcterms:W3CDTF">2019-10-18T12:37:00Z</dcterms:created>
  <dcterms:modified xsi:type="dcterms:W3CDTF">2019-10-21T07:34:00Z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