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9A4B43" w14:paraId="71F2F77E" w14:textId="77777777" w:rsidTr="009A4B43">
        <w:trPr>
          <w:cantSplit/>
        </w:trPr>
        <w:tc>
          <w:tcPr>
            <w:tcW w:w="6663" w:type="dxa"/>
          </w:tcPr>
          <w:p w14:paraId="2AC24149" w14:textId="77777777" w:rsidR="005651C9" w:rsidRPr="009A4B4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9A4B4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9A4B43">
              <w:rPr>
                <w:rFonts w:ascii="Verdana" w:hAnsi="Verdana"/>
                <w:b/>
                <w:bCs/>
                <w:szCs w:val="22"/>
              </w:rPr>
              <w:t>9</w:t>
            </w:r>
            <w:r w:rsidRPr="009A4B43">
              <w:rPr>
                <w:rFonts w:ascii="Verdana" w:hAnsi="Verdana"/>
                <w:b/>
                <w:bCs/>
                <w:szCs w:val="22"/>
              </w:rPr>
              <w:t>)</w:t>
            </w:r>
            <w:r w:rsidRPr="009A4B43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A4B4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A4B4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9A4B4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9A4B4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794F4ABC" w14:textId="77777777" w:rsidR="005651C9" w:rsidRPr="009A4B43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A4B43">
              <w:rPr>
                <w:noProof/>
                <w:szCs w:val="22"/>
                <w:lang w:eastAsia="zh-CN"/>
              </w:rPr>
              <w:drawing>
                <wp:inline distT="0" distB="0" distL="0" distR="0" wp14:anchorId="744202B6" wp14:editId="236EFD7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A4B43" w14:paraId="723F35B8" w14:textId="77777777" w:rsidTr="009A4B43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110D9DE1" w14:textId="77777777" w:rsidR="005651C9" w:rsidRPr="009A4B43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526E7304" w14:textId="77777777" w:rsidR="005651C9" w:rsidRPr="009A4B4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A4B43" w14:paraId="3D98BAA4" w14:textId="77777777" w:rsidTr="009A4B43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DFCC8CE" w14:textId="77777777" w:rsidR="005651C9" w:rsidRPr="009A4B4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65B07581" w14:textId="77777777" w:rsidR="005651C9" w:rsidRPr="009A4B4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9A4B43" w14:paraId="764F07B7" w14:textId="77777777" w:rsidTr="009A4B43">
        <w:trPr>
          <w:cantSplit/>
        </w:trPr>
        <w:tc>
          <w:tcPr>
            <w:tcW w:w="6663" w:type="dxa"/>
          </w:tcPr>
          <w:p w14:paraId="273D0B2F" w14:textId="77777777" w:rsidR="005651C9" w:rsidRPr="009A4B4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A4B4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6BE2C93D" w14:textId="77777777" w:rsidR="005651C9" w:rsidRPr="009A4B4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4B43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9A4B43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16(Add.21)</w:t>
            </w:r>
            <w:r w:rsidR="005651C9" w:rsidRPr="009A4B4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A4B4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A4B43" w14:paraId="0567BB08" w14:textId="77777777" w:rsidTr="009A4B43">
        <w:trPr>
          <w:cantSplit/>
        </w:trPr>
        <w:tc>
          <w:tcPr>
            <w:tcW w:w="6663" w:type="dxa"/>
          </w:tcPr>
          <w:p w14:paraId="50E800AC" w14:textId="77777777" w:rsidR="000F33D8" w:rsidRPr="009A4B4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6F6EB6CD" w14:textId="77777777" w:rsidR="000F33D8" w:rsidRPr="009A4B4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A4B43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9A4B43" w14:paraId="390FCE17" w14:textId="77777777" w:rsidTr="009A4B43">
        <w:trPr>
          <w:cantSplit/>
        </w:trPr>
        <w:tc>
          <w:tcPr>
            <w:tcW w:w="6663" w:type="dxa"/>
          </w:tcPr>
          <w:p w14:paraId="777ECC63" w14:textId="77777777" w:rsidR="000F33D8" w:rsidRPr="009A4B4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5673F1CB" w14:textId="77777777" w:rsidR="000F33D8" w:rsidRPr="009A4B4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A4B4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9A4B43" w14:paraId="0522D136" w14:textId="77777777" w:rsidTr="009546EA">
        <w:trPr>
          <w:cantSplit/>
        </w:trPr>
        <w:tc>
          <w:tcPr>
            <w:tcW w:w="10031" w:type="dxa"/>
            <w:gridSpan w:val="2"/>
          </w:tcPr>
          <w:p w14:paraId="2E621DED" w14:textId="77777777" w:rsidR="000F33D8" w:rsidRPr="009A4B4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A4B43" w14:paraId="34071B05" w14:textId="77777777">
        <w:trPr>
          <w:cantSplit/>
        </w:trPr>
        <w:tc>
          <w:tcPr>
            <w:tcW w:w="10031" w:type="dxa"/>
            <w:gridSpan w:val="2"/>
          </w:tcPr>
          <w:p w14:paraId="23C0BC5E" w14:textId="77777777" w:rsidR="000F33D8" w:rsidRPr="009A4B43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9A4B43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9A4B43" w14:paraId="30896FA1" w14:textId="77777777">
        <w:trPr>
          <w:cantSplit/>
        </w:trPr>
        <w:tc>
          <w:tcPr>
            <w:tcW w:w="10031" w:type="dxa"/>
            <w:gridSpan w:val="2"/>
          </w:tcPr>
          <w:p w14:paraId="0FA4637D" w14:textId="77777777" w:rsidR="000F33D8" w:rsidRPr="009A4B43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9A4B43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A4B43" w14:paraId="550CE8E4" w14:textId="77777777">
        <w:trPr>
          <w:cantSplit/>
        </w:trPr>
        <w:tc>
          <w:tcPr>
            <w:tcW w:w="10031" w:type="dxa"/>
            <w:gridSpan w:val="2"/>
          </w:tcPr>
          <w:p w14:paraId="238C3654" w14:textId="77777777" w:rsidR="000F33D8" w:rsidRPr="009A4B43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9A4B43" w14:paraId="5C0C2FFD" w14:textId="77777777">
        <w:trPr>
          <w:cantSplit/>
        </w:trPr>
        <w:tc>
          <w:tcPr>
            <w:tcW w:w="10031" w:type="dxa"/>
            <w:gridSpan w:val="2"/>
          </w:tcPr>
          <w:p w14:paraId="6B4F4B64" w14:textId="77777777" w:rsidR="000F33D8" w:rsidRPr="009A4B43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9A4B43">
              <w:rPr>
                <w:lang w:val="ru-RU"/>
              </w:rPr>
              <w:t>Пункт 9.1(9.1.3) повестки дня</w:t>
            </w:r>
          </w:p>
        </w:tc>
      </w:tr>
    </w:tbl>
    <w:bookmarkEnd w:id="6"/>
    <w:p w14:paraId="5A99F611" w14:textId="77777777" w:rsidR="00D51940" w:rsidRPr="009A4B43" w:rsidRDefault="00D51351" w:rsidP="009A4B43">
      <w:pPr>
        <w:pStyle w:val="Normalaftertitle"/>
        <w:rPr>
          <w:szCs w:val="22"/>
        </w:rPr>
      </w:pPr>
      <w:r w:rsidRPr="009A4B43">
        <w:t>9</w:t>
      </w:r>
      <w:r w:rsidRPr="009A4B43">
        <w:tab/>
        <w:t>рассмотреть и утвердить Отчет Директора Бюро радиосвязи в соответствии со Статьей 7 Конвенции:</w:t>
      </w:r>
    </w:p>
    <w:p w14:paraId="5F81DF5D" w14:textId="77777777" w:rsidR="00D51940" w:rsidRPr="009A4B43" w:rsidRDefault="00D51351" w:rsidP="00822B4E">
      <w:pPr>
        <w:rPr>
          <w:szCs w:val="22"/>
        </w:rPr>
      </w:pPr>
      <w:r w:rsidRPr="009A4B43">
        <w:t>9.1</w:t>
      </w:r>
      <w:r w:rsidRPr="009A4B43">
        <w:tab/>
        <w:t>о деятельности Сектора радиосв</w:t>
      </w:r>
      <w:bookmarkStart w:id="7" w:name="_GoBack"/>
      <w:bookmarkEnd w:id="7"/>
      <w:r w:rsidRPr="009A4B43">
        <w:t>язи в период после ВКР-15;</w:t>
      </w:r>
    </w:p>
    <w:p w14:paraId="1462CFED" w14:textId="36D19BD2" w:rsidR="00D51940" w:rsidRPr="009A4B43" w:rsidRDefault="00D51351" w:rsidP="00684E8A">
      <w:pPr>
        <w:rPr>
          <w:szCs w:val="22"/>
        </w:rPr>
      </w:pPr>
      <w:r w:rsidRPr="009A4B43">
        <w:rPr>
          <w:rFonts w:cstheme="majorBidi"/>
          <w:color w:val="000000"/>
          <w:szCs w:val="24"/>
          <w:lang w:eastAsia="zh-CN"/>
        </w:rPr>
        <w:t>9.1 (</w:t>
      </w:r>
      <w:r w:rsidRPr="009A4B43">
        <w:rPr>
          <w:lang w:eastAsia="zh-CN"/>
        </w:rPr>
        <w:t>9.1.3)</w:t>
      </w:r>
      <w:r w:rsidRPr="009A4B43">
        <w:tab/>
      </w:r>
      <w:hyperlink w:anchor="res_157" w:history="1">
        <w:r w:rsidRPr="009A4B43">
          <w:t xml:space="preserve">Резолюция </w:t>
        </w:r>
        <w:r w:rsidRPr="009A4B43">
          <w:rPr>
            <w:b/>
            <w:bCs/>
          </w:rPr>
          <w:t>157 (ВКР-15)</w:t>
        </w:r>
      </w:hyperlink>
      <w:r w:rsidRPr="009A4B43">
        <w:t xml:space="preserve"> − Исследование технических и эксплуатационных вопросов и регламентарных положений для новых систем на негеостационарной спутниковой орбите в полосах частот 3700−4200 МГц, 4500−4800 МГц, 5925−6425</w:t>
      </w:r>
      <w:r w:rsidR="00D36C58" w:rsidRPr="009A4B43">
        <w:t> </w:t>
      </w:r>
      <w:r w:rsidRPr="009A4B43">
        <w:t>МГц и 6725−7025 МГц, распределенных фиксированной спутниковой службе</w:t>
      </w:r>
    </w:p>
    <w:p w14:paraId="066B0C05" w14:textId="5BFB0C5E" w:rsidR="00812CB7" w:rsidRPr="009A4B43" w:rsidRDefault="007D3676" w:rsidP="00781915">
      <w:pPr>
        <w:pStyle w:val="Headingb"/>
        <w:rPr>
          <w:lang w:val="ru-RU"/>
        </w:rPr>
      </w:pPr>
      <w:r w:rsidRPr="009A4B43">
        <w:rPr>
          <w:lang w:val="ru-RU"/>
        </w:rPr>
        <w:t>Введение</w:t>
      </w:r>
    </w:p>
    <w:p w14:paraId="53B8DC07" w14:textId="43798B4F" w:rsidR="00812CB7" w:rsidRPr="009A4B43" w:rsidRDefault="007D3676" w:rsidP="007D3676">
      <w:r w:rsidRPr="009A4B43">
        <w:t xml:space="preserve">В рамках процесса подготовки МСЭ-R по </w:t>
      </w:r>
      <w:r w:rsidR="009A4B43" w:rsidRPr="009A4B43">
        <w:t xml:space="preserve">вопросу </w:t>
      </w:r>
      <w:r w:rsidRPr="009A4B43">
        <w:t>9.1.3 пункта 9.1 повестки дня ВКР-19 проведен ряд исследований</w:t>
      </w:r>
      <w:r w:rsidR="00812CB7" w:rsidRPr="009A4B43">
        <w:t>.</w:t>
      </w:r>
    </w:p>
    <w:p w14:paraId="32B43D4F" w14:textId="3EA3DB46" w:rsidR="007D3676" w:rsidRPr="009A4B43" w:rsidRDefault="007D3676" w:rsidP="00781915">
      <w:r w:rsidRPr="009A4B43">
        <w:t>Ни одно из этих исследований не подтверждает целесообразность поддержки изменений соответствующих значений э.п.п.м</w:t>
      </w:r>
      <w:r w:rsidR="005C4FB4" w:rsidRPr="009A4B43">
        <w:t>.</w:t>
      </w:r>
      <w:r w:rsidRPr="009A4B43">
        <w:t xml:space="preserve"> и</w:t>
      </w:r>
      <w:r w:rsidR="009A4B43">
        <w:t>ли</w:t>
      </w:r>
      <w:r w:rsidRPr="009A4B43">
        <w:t xml:space="preserve"> п.п.м. в Статьях </w:t>
      </w:r>
      <w:r w:rsidRPr="009A4B43">
        <w:rPr>
          <w:b/>
          <w:bCs/>
        </w:rPr>
        <w:t>22</w:t>
      </w:r>
      <w:r w:rsidRPr="009A4B43">
        <w:t xml:space="preserve"> или </w:t>
      </w:r>
      <w:r w:rsidRPr="009A4B43">
        <w:rPr>
          <w:b/>
          <w:bCs/>
        </w:rPr>
        <w:t>21</w:t>
      </w:r>
      <w:r w:rsidRPr="009A4B43">
        <w:t xml:space="preserve"> РР. </w:t>
      </w:r>
    </w:p>
    <w:p w14:paraId="5DB0FF2C" w14:textId="0DA763AA" w:rsidR="00812CB7" w:rsidRPr="009A4B43" w:rsidRDefault="007D3676" w:rsidP="00781915">
      <w:pPr>
        <w:pStyle w:val="Headingb"/>
        <w:rPr>
          <w:lang w:val="ru-RU"/>
        </w:rPr>
      </w:pPr>
      <w:r w:rsidRPr="009A4B43">
        <w:rPr>
          <w:lang w:val="ru-RU"/>
        </w:rPr>
        <w:t>Предложения</w:t>
      </w:r>
    </w:p>
    <w:p w14:paraId="07F389B1" w14:textId="77777777" w:rsidR="009B5CC2" w:rsidRPr="009A4B43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A4B43">
        <w:br w:type="page"/>
      </w:r>
    </w:p>
    <w:p w14:paraId="24F603A6" w14:textId="77777777" w:rsidR="003A1163" w:rsidRPr="009A4B43" w:rsidRDefault="00D51351">
      <w:pPr>
        <w:pStyle w:val="Proposal"/>
      </w:pPr>
      <w:r w:rsidRPr="009A4B43">
        <w:rPr>
          <w:u w:val="single"/>
        </w:rPr>
        <w:lastRenderedPageBreak/>
        <w:t>NOC</w:t>
      </w:r>
      <w:r w:rsidRPr="009A4B43">
        <w:tab/>
        <w:t>EUR/16A21A3/1</w:t>
      </w:r>
    </w:p>
    <w:p w14:paraId="0CF6C190" w14:textId="77777777" w:rsidR="000C3ACF" w:rsidRPr="009A4B43" w:rsidRDefault="00D51351" w:rsidP="00B95943">
      <w:pPr>
        <w:pStyle w:val="ArtNo"/>
      </w:pPr>
      <w:bookmarkStart w:id="8" w:name="_Toc331607753"/>
      <w:bookmarkStart w:id="9" w:name="_Toc456189643"/>
      <w:r w:rsidRPr="009A4B43">
        <w:t xml:space="preserve">СТАТЬЯ </w:t>
      </w:r>
      <w:r w:rsidRPr="009A4B43">
        <w:rPr>
          <w:rStyle w:val="href"/>
        </w:rPr>
        <w:t>21</w:t>
      </w:r>
      <w:bookmarkEnd w:id="8"/>
      <w:bookmarkEnd w:id="9"/>
    </w:p>
    <w:p w14:paraId="716C6503" w14:textId="07DF29D8" w:rsidR="000C3ACF" w:rsidRPr="009A4B43" w:rsidRDefault="00D51351" w:rsidP="00450154">
      <w:pPr>
        <w:pStyle w:val="Arttitle"/>
      </w:pPr>
      <w:bookmarkStart w:id="10" w:name="_Toc331607754"/>
      <w:bookmarkStart w:id="11" w:name="_Toc456189644"/>
      <w:r w:rsidRPr="009A4B43">
        <w:t xml:space="preserve">Наземные и космические службы, совместно использующие </w:t>
      </w:r>
      <w:r w:rsidRPr="009A4B43">
        <w:br/>
        <w:t>полосы частот выше 1</w:t>
      </w:r>
      <w:r w:rsidR="00812CB7" w:rsidRPr="009A4B43">
        <w:t> </w:t>
      </w:r>
      <w:r w:rsidRPr="009A4B43">
        <w:t>ГГц</w:t>
      </w:r>
      <w:bookmarkEnd w:id="10"/>
      <w:bookmarkEnd w:id="11"/>
    </w:p>
    <w:p w14:paraId="666C0AAA" w14:textId="1F7FBA82" w:rsidR="003A1163" w:rsidRPr="009A4B43" w:rsidRDefault="00D51351" w:rsidP="007D3676">
      <w:pPr>
        <w:pStyle w:val="Reasons"/>
      </w:pPr>
      <w:r w:rsidRPr="009A4B43">
        <w:rPr>
          <w:b/>
        </w:rPr>
        <w:t>Основания</w:t>
      </w:r>
      <w:r w:rsidRPr="009A4B43">
        <w:rPr>
          <w:bCs/>
        </w:rPr>
        <w:t>:</w:t>
      </w:r>
      <w:r w:rsidRPr="009A4B43">
        <w:tab/>
      </w:r>
      <w:r w:rsidR="007D3676" w:rsidRPr="009A4B43">
        <w:t xml:space="preserve">Ни одно из выполненных исследований не указывает на то, что изменения в соответствующие значения п.п.м. в Статье </w:t>
      </w:r>
      <w:r w:rsidR="007D3676" w:rsidRPr="009A4B43">
        <w:rPr>
          <w:b/>
          <w:bCs/>
        </w:rPr>
        <w:t>21</w:t>
      </w:r>
      <w:r w:rsidR="007D3676" w:rsidRPr="009A4B43">
        <w:t xml:space="preserve"> РР заслуживают поддержки</w:t>
      </w:r>
      <w:r w:rsidR="00812CB7" w:rsidRPr="009A4B43">
        <w:t>.</w:t>
      </w:r>
    </w:p>
    <w:p w14:paraId="59E20F39" w14:textId="77777777" w:rsidR="003A1163" w:rsidRPr="009A4B43" w:rsidRDefault="00D51351">
      <w:pPr>
        <w:pStyle w:val="Proposal"/>
      </w:pPr>
      <w:r w:rsidRPr="009A4B43">
        <w:rPr>
          <w:u w:val="single"/>
        </w:rPr>
        <w:t>NOC</w:t>
      </w:r>
      <w:r w:rsidRPr="009A4B43">
        <w:tab/>
        <w:t>EUR/16A21A3/2</w:t>
      </w:r>
    </w:p>
    <w:p w14:paraId="506ED406" w14:textId="77777777" w:rsidR="000C3ACF" w:rsidRPr="009A4B43" w:rsidRDefault="00D51351" w:rsidP="00B95943">
      <w:pPr>
        <w:pStyle w:val="ArtNo"/>
      </w:pPr>
      <w:bookmarkStart w:id="12" w:name="_Toc456189645"/>
      <w:r w:rsidRPr="009A4B43">
        <w:t xml:space="preserve">СТАТЬЯ </w:t>
      </w:r>
      <w:r w:rsidRPr="009A4B43">
        <w:rPr>
          <w:rStyle w:val="href"/>
        </w:rPr>
        <w:t>22</w:t>
      </w:r>
      <w:bookmarkEnd w:id="12"/>
    </w:p>
    <w:p w14:paraId="46C8CD9C" w14:textId="77777777" w:rsidR="000C3ACF" w:rsidRPr="009A4B43" w:rsidRDefault="00D51351" w:rsidP="00450154">
      <w:pPr>
        <w:pStyle w:val="Arttitle"/>
      </w:pPr>
      <w:bookmarkStart w:id="13" w:name="_Toc331607762"/>
      <w:bookmarkStart w:id="14" w:name="_Toc456189646"/>
      <w:r w:rsidRPr="009A4B43">
        <w:t>Космические службы</w:t>
      </w:r>
      <w:bookmarkEnd w:id="13"/>
      <w:r w:rsidRPr="009A4B43">
        <w:rPr>
          <w:rStyle w:val="FootnoteReference"/>
          <w:b w:val="0"/>
          <w:bCs/>
        </w:rPr>
        <w:t>1</w:t>
      </w:r>
      <w:bookmarkEnd w:id="14"/>
    </w:p>
    <w:p w14:paraId="7D6EF0E7" w14:textId="58E9F399" w:rsidR="00812CB7" w:rsidRPr="009A4B43" w:rsidRDefault="00D51351" w:rsidP="007D3676">
      <w:pPr>
        <w:pStyle w:val="Reasons"/>
      </w:pPr>
      <w:r w:rsidRPr="009A4B43">
        <w:rPr>
          <w:b/>
          <w:bCs/>
        </w:rPr>
        <w:t>Основания</w:t>
      </w:r>
      <w:r w:rsidRPr="009A4B43">
        <w:t>:</w:t>
      </w:r>
      <w:r w:rsidRPr="009A4B43">
        <w:tab/>
      </w:r>
      <w:r w:rsidR="007D3676" w:rsidRPr="009A4B43">
        <w:t xml:space="preserve">Ни одно из выполненных исследований не указывает на то, что изменения в соответствующие значения э.п.п.м. в Статье </w:t>
      </w:r>
      <w:r w:rsidR="007D3676" w:rsidRPr="009A4B43">
        <w:rPr>
          <w:b/>
          <w:bCs/>
        </w:rPr>
        <w:t>22</w:t>
      </w:r>
      <w:r w:rsidR="007D3676" w:rsidRPr="009A4B43">
        <w:t xml:space="preserve"> РР заслуживают поддержки</w:t>
      </w:r>
      <w:r w:rsidR="00812CB7" w:rsidRPr="009A4B43">
        <w:t>.</w:t>
      </w:r>
    </w:p>
    <w:p w14:paraId="1E1E17CF" w14:textId="77777777" w:rsidR="003A1163" w:rsidRPr="009A4B43" w:rsidRDefault="00D51351">
      <w:pPr>
        <w:pStyle w:val="Proposal"/>
      </w:pPr>
      <w:r w:rsidRPr="009A4B43">
        <w:t>SUP</w:t>
      </w:r>
      <w:r w:rsidRPr="009A4B43">
        <w:tab/>
        <w:t>EUR/16A21A3/3</w:t>
      </w:r>
    </w:p>
    <w:p w14:paraId="038411A8" w14:textId="2F0E908E" w:rsidR="00E20C53" w:rsidRPr="009A4B43" w:rsidRDefault="00D51351" w:rsidP="00B95943">
      <w:pPr>
        <w:pStyle w:val="ResNo"/>
      </w:pPr>
      <w:bookmarkStart w:id="15" w:name="_Toc450292594"/>
      <w:r w:rsidRPr="009A4B43">
        <w:t xml:space="preserve">РЕЗОЛЮЦИЯ </w:t>
      </w:r>
      <w:r w:rsidRPr="009A4B43">
        <w:rPr>
          <w:rStyle w:val="href"/>
          <w:caps w:val="0"/>
        </w:rPr>
        <w:t>157</w:t>
      </w:r>
      <w:r w:rsidRPr="009A4B43">
        <w:t xml:space="preserve"> (ВКР-15)</w:t>
      </w:r>
      <w:bookmarkEnd w:id="15"/>
    </w:p>
    <w:p w14:paraId="7CA60902" w14:textId="743B6927" w:rsidR="00E20C53" w:rsidRPr="009A4B43" w:rsidRDefault="00D51351" w:rsidP="00E20C53">
      <w:pPr>
        <w:pStyle w:val="Restitle"/>
      </w:pPr>
      <w:bookmarkStart w:id="16" w:name="_Toc450292595"/>
      <w:r w:rsidRPr="009A4B43">
        <w:t>Исследование технических и эксплуатационных вопросов и регламентарных положений для новых систем на негеостационарной спутниковой орбите в полосах частот 3700−4200 МГц, 4500−4800 МГц, 5925−6425</w:t>
      </w:r>
      <w:r w:rsidR="00B95943" w:rsidRPr="009A4B43">
        <w:t> </w:t>
      </w:r>
      <w:r w:rsidRPr="009A4B43">
        <w:t>МГц и 6725−7025 МГц, распределенных фиксированной спутниковой службе</w:t>
      </w:r>
      <w:bookmarkEnd w:id="16"/>
    </w:p>
    <w:p w14:paraId="0ADA8F10" w14:textId="731A1608" w:rsidR="00665C1D" w:rsidRPr="009A4B43" w:rsidRDefault="00D51351" w:rsidP="00781915">
      <w:pPr>
        <w:pStyle w:val="Reasons"/>
      </w:pPr>
      <w:r w:rsidRPr="009A4B43">
        <w:rPr>
          <w:b/>
          <w:bCs/>
        </w:rPr>
        <w:t>Основания</w:t>
      </w:r>
      <w:r w:rsidRPr="009A4B43">
        <w:t>:</w:t>
      </w:r>
      <w:r w:rsidRPr="009A4B43">
        <w:tab/>
      </w:r>
      <w:r w:rsidR="00665C1D" w:rsidRPr="009A4B43">
        <w:t>По результатам исследовани</w:t>
      </w:r>
      <w:r w:rsidR="009A4B43">
        <w:t>й</w:t>
      </w:r>
      <w:r w:rsidR="00665C1D" w:rsidRPr="009A4B43">
        <w:t xml:space="preserve"> был сделан вывод о том, что необходимость во внесении каких-либо изменений в Регламент радиосвязи или иных регламентарных мерах отсутствует.</w:t>
      </w:r>
    </w:p>
    <w:p w14:paraId="26D73000" w14:textId="77777777" w:rsidR="00D51351" w:rsidRPr="009A4B43" w:rsidRDefault="00D51351" w:rsidP="00781915">
      <w:pPr>
        <w:spacing w:before="720"/>
        <w:jc w:val="center"/>
        <w:rPr>
          <w:sz w:val="24"/>
        </w:rPr>
      </w:pPr>
      <w:r w:rsidRPr="009A4B43">
        <w:rPr>
          <w:sz w:val="24"/>
        </w:rPr>
        <w:t>____________</w:t>
      </w:r>
    </w:p>
    <w:sectPr w:rsidR="00D51351" w:rsidRPr="009A4B43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86D4A" w14:textId="77777777" w:rsidR="00F1578A" w:rsidRDefault="00F1578A">
      <w:r>
        <w:separator/>
      </w:r>
    </w:p>
  </w:endnote>
  <w:endnote w:type="continuationSeparator" w:id="0">
    <w:p w14:paraId="16E6C411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E3C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A30FE60" w14:textId="58B71DFF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C707F">
      <w:rPr>
        <w:noProof/>
        <w:lang w:val="fr-FR"/>
      </w:rPr>
      <w:t>P:\RUS\ITU-R\CONF-R\CMR19\000\016ADD21ADD03R.docx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C707F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C707F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88A7" w14:textId="0E5156F1" w:rsidR="00567276" w:rsidRPr="00D36C58" w:rsidRDefault="00D36C58" w:rsidP="00D36C58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C707F">
      <w:rPr>
        <w:lang w:val="fr-FR"/>
      </w:rPr>
      <w:t>P:\RUS\ITU-R\CONF-R\CMR19\000\016ADD21ADD03R.docx</w:t>
    </w:r>
    <w:r>
      <w:fldChar w:fldCharType="end"/>
    </w:r>
    <w:r>
      <w:t xml:space="preserve"> (461927)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4523" w14:textId="2F35D0B3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C707F">
      <w:rPr>
        <w:lang w:val="fr-FR"/>
      </w:rPr>
      <w:t>P:\RUS\ITU-R\CONF-R\CMR19\000\016ADD21ADD03R.docx</w:t>
    </w:r>
    <w:r>
      <w:fldChar w:fldCharType="end"/>
    </w:r>
    <w:r w:rsidR="00D36C58">
      <w:t xml:space="preserve"> (461927)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57F49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1C0E7D4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A21FC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65C1D">
      <w:rPr>
        <w:noProof/>
      </w:rPr>
      <w:t>2</w:t>
    </w:r>
    <w:r>
      <w:fldChar w:fldCharType="end"/>
    </w:r>
  </w:p>
  <w:p w14:paraId="27768B2D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16(Add.21)(Add.3)-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C707F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A1163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C4FB4"/>
    <w:rsid w:val="005D1879"/>
    <w:rsid w:val="005D79A3"/>
    <w:rsid w:val="005E61DD"/>
    <w:rsid w:val="006023DF"/>
    <w:rsid w:val="006115BE"/>
    <w:rsid w:val="00614771"/>
    <w:rsid w:val="00620DD7"/>
    <w:rsid w:val="00657DE0"/>
    <w:rsid w:val="00665C1D"/>
    <w:rsid w:val="00692C06"/>
    <w:rsid w:val="006A6E9B"/>
    <w:rsid w:val="00763F4F"/>
    <w:rsid w:val="00775720"/>
    <w:rsid w:val="00781915"/>
    <w:rsid w:val="007917AE"/>
    <w:rsid w:val="007A08B5"/>
    <w:rsid w:val="007D3676"/>
    <w:rsid w:val="00811633"/>
    <w:rsid w:val="00812452"/>
    <w:rsid w:val="00812CB7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A4B43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9594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36C58"/>
    <w:rsid w:val="00D51351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2114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R16-WRC19-C-0016!A21-A3!MSW-R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86D5B-BA92-40D9-85AC-89452FAF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34287-56AE-4013-80CF-78BE9EEB3391}">
  <ds:schemaRefs>
    <ds:schemaRef ds:uri="http://schemas.microsoft.com/office/2006/documentManagement/types"/>
    <ds:schemaRef ds:uri="32a1a8c5-2265-4ebc-b7a0-2071e2c5c9bb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96b2e75-67fd-4955-a3b0-5ab9934cb5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B3A034-84F6-46BA-AB70-82A3FDD4C2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122D6E-7EB2-4EE5-8723-0FE02F3D3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262</Words>
  <Characters>1748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R16-WRC19-C-0016!A21-A3!MSW-R</vt:lpstr>
    </vt:vector>
  </TitlesOfParts>
  <Manager>General Secretariat - Pool</Manager>
  <Company>International Telecommunication Union (ITU)</Company>
  <LinksUpToDate>false</LinksUpToDate>
  <CharactersWithSpaces>1985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R16-WRC19-C-0016!A21-A3!MSW-R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7</cp:revision>
  <cp:lastPrinted>2019-10-19T16:14:00Z</cp:lastPrinted>
  <dcterms:created xsi:type="dcterms:W3CDTF">2019-10-09T07:34:00Z</dcterms:created>
  <dcterms:modified xsi:type="dcterms:W3CDTF">2019-10-19T16:14:00Z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