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52E5A877" w14:textId="77777777" w:rsidTr="005A0F78">
        <w:trPr>
          <w:cantSplit/>
        </w:trPr>
        <w:tc>
          <w:tcPr>
            <w:tcW w:w="6911" w:type="dxa"/>
          </w:tcPr>
          <w:p w14:paraId="026A4F35" w14:textId="77777777" w:rsidR="00BB1D82" w:rsidRPr="00930FFD" w:rsidRDefault="00851625" w:rsidP="000E45CC">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436D4B11" w14:textId="77777777" w:rsidR="00BB1D82" w:rsidRPr="002A6F8F" w:rsidRDefault="000A55AE" w:rsidP="000E45CC">
            <w:pPr>
              <w:spacing w:before="0"/>
              <w:jc w:val="right"/>
              <w:rPr>
                <w:lang w:val="en-US"/>
              </w:rPr>
            </w:pPr>
            <w:r>
              <w:rPr>
                <w:rFonts w:ascii="Verdana" w:hAnsi="Verdana"/>
                <w:b/>
                <w:bCs/>
                <w:noProof/>
                <w:lang w:eastAsia="fr-FR"/>
              </w:rPr>
              <w:drawing>
                <wp:inline distT="0" distB="0" distL="0" distR="0" wp14:anchorId="202B7105" wp14:editId="3D9B977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6607FA70" w14:textId="77777777" w:rsidTr="005A0F78">
        <w:trPr>
          <w:cantSplit/>
        </w:trPr>
        <w:tc>
          <w:tcPr>
            <w:tcW w:w="6911" w:type="dxa"/>
            <w:tcBorders>
              <w:bottom w:val="single" w:sz="12" w:space="0" w:color="auto"/>
            </w:tcBorders>
          </w:tcPr>
          <w:p w14:paraId="4F7CAD2E" w14:textId="77777777" w:rsidR="00BB1D82" w:rsidRPr="002A6F8F" w:rsidRDefault="00BB1D82" w:rsidP="000E45CC">
            <w:pPr>
              <w:spacing w:before="0" w:after="48"/>
              <w:rPr>
                <w:b/>
                <w:smallCaps/>
                <w:szCs w:val="24"/>
                <w:lang w:val="en-US"/>
              </w:rPr>
            </w:pPr>
            <w:bookmarkStart w:id="0" w:name="dhead"/>
          </w:p>
        </w:tc>
        <w:tc>
          <w:tcPr>
            <w:tcW w:w="3120" w:type="dxa"/>
            <w:tcBorders>
              <w:bottom w:val="single" w:sz="12" w:space="0" w:color="auto"/>
            </w:tcBorders>
          </w:tcPr>
          <w:p w14:paraId="7D0C9047" w14:textId="77777777" w:rsidR="00BB1D82" w:rsidRPr="002A6F8F" w:rsidRDefault="00BB1D82" w:rsidP="000E45CC">
            <w:pPr>
              <w:spacing w:before="0"/>
              <w:rPr>
                <w:rFonts w:ascii="Verdana" w:hAnsi="Verdana"/>
                <w:szCs w:val="24"/>
                <w:lang w:val="en-US"/>
              </w:rPr>
            </w:pPr>
          </w:p>
        </w:tc>
      </w:tr>
      <w:tr w:rsidR="00BB1D82" w:rsidRPr="002A6F8F" w14:paraId="240A92E9" w14:textId="77777777" w:rsidTr="00BB1D82">
        <w:trPr>
          <w:cantSplit/>
        </w:trPr>
        <w:tc>
          <w:tcPr>
            <w:tcW w:w="6911" w:type="dxa"/>
            <w:tcBorders>
              <w:top w:val="single" w:sz="12" w:space="0" w:color="auto"/>
            </w:tcBorders>
          </w:tcPr>
          <w:p w14:paraId="5B1F8443" w14:textId="77777777" w:rsidR="00BB1D82" w:rsidRPr="002A6F8F" w:rsidRDefault="00BB1D82" w:rsidP="000E45CC">
            <w:pPr>
              <w:spacing w:before="0" w:after="48"/>
              <w:rPr>
                <w:rFonts w:ascii="Verdana" w:hAnsi="Verdana"/>
                <w:b/>
                <w:smallCaps/>
                <w:sz w:val="20"/>
                <w:lang w:val="en-US"/>
              </w:rPr>
            </w:pPr>
          </w:p>
        </w:tc>
        <w:tc>
          <w:tcPr>
            <w:tcW w:w="3120" w:type="dxa"/>
            <w:tcBorders>
              <w:top w:val="single" w:sz="12" w:space="0" w:color="auto"/>
            </w:tcBorders>
          </w:tcPr>
          <w:p w14:paraId="6321D58E" w14:textId="77777777" w:rsidR="00BB1D82" w:rsidRPr="002A6F8F" w:rsidRDefault="00BB1D82" w:rsidP="000E45CC">
            <w:pPr>
              <w:spacing w:before="0"/>
              <w:rPr>
                <w:rFonts w:ascii="Verdana" w:hAnsi="Verdana"/>
                <w:sz w:val="20"/>
                <w:lang w:val="en-US"/>
              </w:rPr>
            </w:pPr>
          </w:p>
        </w:tc>
      </w:tr>
      <w:tr w:rsidR="00BB1D82" w:rsidRPr="002A6F8F" w14:paraId="31B2DC57" w14:textId="77777777" w:rsidTr="00BB1D82">
        <w:trPr>
          <w:cantSplit/>
        </w:trPr>
        <w:tc>
          <w:tcPr>
            <w:tcW w:w="6911" w:type="dxa"/>
          </w:tcPr>
          <w:p w14:paraId="44B2C4D1" w14:textId="77777777" w:rsidR="00BB1D82" w:rsidRPr="00930FFD" w:rsidRDefault="006D4724" w:rsidP="000E45CC">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19356D68" w14:textId="77777777" w:rsidR="00BB1D82" w:rsidRPr="002A6F8F" w:rsidRDefault="006D4724" w:rsidP="000E45CC">
            <w:pPr>
              <w:spacing w:before="0"/>
              <w:rPr>
                <w:rFonts w:ascii="Verdana" w:hAnsi="Verdana"/>
                <w:sz w:val="20"/>
                <w:lang w:val="en-US"/>
              </w:rPr>
            </w:pPr>
            <w:r>
              <w:rPr>
                <w:rFonts w:ascii="Verdana" w:hAnsi="Verdana"/>
                <w:b/>
                <w:sz w:val="20"/>
                <w:lang w:val="en-US"/>
              </w:rPr>
              <w:t>Addendum 20 au</w:t>
            </w:r>
            <w:r>
              <w:rPr>
                <w:rFonts w:ascii="Verdana" w:hAnsi="Verdana"/>
                <w:b/>
                <w:sz w:val="20"/>
                <w:lang w:val="en-US"/>
              </w:rPr>
              <w:br/>
              <w:t>Document 16</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1F4876DF" w14:textId="77777777" w:rsidTr="00BB1D82">
        <w:trPr>
          <w:cantSplit/>
        </w:trPr>
        <w:tc>
          <w:tcPr>
            <w:tcW w:w="6911" w:type="dxa"/>
          </w:tcPr>
          <w:p w14:paraId="35BBB9DE" w14:textId="77777777" w:rsidR="00690C7B" w:rsidRPr="00930FFD" w:rsidRDefault="00690C7B" w:rsidP="000E45CC">
            <w:pPr>
              <w:spacing w:before="0"/>
              <w:rPr>
                <w:rFonts w:ascii="Verdana" w:hAnsi="Verdana"/>
                <w:b/>
                <w:sz w:val="20"/>
                <w:lang w:val="en-US"/>
              </w:rPr>
            </w:pPr>
          </w:p>
        </w:tc>
        <w:tc>
          <w:tcPr>
            <w:tcW w:w="3120" w:type="dxa"/>
          </w:tcPr>
          <w:p w14:paraId="7DD63F54" w14:textId="77777777" w:rsidR="00690C7B" w:rsidRPr="002A6F8F" w:rsidRDefault="00690C7B" w:rsidP="000E45CC">
            <w:pPr>
              <w:spacing w:before="0"/>
              <w:rPr>
                <w:rFonts w:ascii="Verdana" w:hAnsi="Verdana"/>
                <w:b/>
                <w:sz w:val="20"/>
                <w:lang w:val="en-US"/>
              </w:rPr>
            </w:pPr>
            <w:r w:rsidRPr="002A6F8F">
              <w:rPr>
                <w:rFonts w:ascii="Verdana" w:hAnsi="Verdana"/>
                <w:b/>
                <w:sz w:val="20"/>
                <w:lang w:val="en-US"/>
              </w:rPr>
              <w:t>4 octobre 2019</w:t>
            </w:r>
          </w:p>
        </w:tc>
      </w:tr>
      <w:tr w:rsidR="00690C7B" w:rsidRPr="002A6F8F" w14:paraId="7549DE60" w14:textId="77777777" w:rsidTr="00BB1D82">
        <w:trPr>
          <w:cantSplit/>
        </w:trPr>
        <w:tc>
          <w:tcPr>
            <w:tcW w:w="6911" w:type="dxa"/>
          </w:tcPr>
          <w:p w14:paraId="3A051E81" w14:textId="77777777" w:rsidR="00690C7B" w:rsidRPr="002A6F8F" w:rsidRDefault="00690C7B" w:rsidP="000E45CC">
            <w:pPr>
              <w:spacing w:before="0" w:after="48"/>
              <w:rPr>
                <w:rFonts w:ascii="Verdana" w:hAnsi="Verdana"/>
                <w:b/>
                <w:smallCaps/>
                <w:sz w:val="20"/>
                <w:lang w:val="en-US"/>
              </w:rPr>
            </w:pPr>
          </w:p>
        </w:tc>
        <w:tc>
          <w:tcPr>
            <w:tcW w:w="3120" w:type="dxa"/>
          </w:tcPr>
          <w:p w14:paraId="71701E5E" w14:textId="77777777" w:rsidR="00690C7B" w:rsidRPr="002A6F8F" w:rsidRDefault="00690C7B" w:rsidP="000E45CC">
            <w:pPr>
              <w:spacing w:before="0"/>
              <w:rPr>
                <w:rFonts w:ascii="Verdana" w:hAnsi="Verdana"/>
                <w:b/>
                <w:sz w:val="20"/>
                <w:lang w:val="en-US"/>
              </w:rPr>
            </w:pPr>
            <w:r w:rsidRPr="002A6F8F">
              <w:rPr>
                <w:rFonts w:ascii="Verdana" w:hAnsi="Verdana"/>
                <w:b/>
                <w:sz w:val="20"/>
                <w:lang w:val="en-US"/>
              </w:rPr>
              <w:t>Original: anglais</w:t>
            </w:r>
          </w:p>
        </w:tc>
      </w:tr>
      <w:tr w:rsidR="00690C7B" w:rsidRPr="002A6F8F" w14:paraId="475D8D38" w14:textId="77777777" w:rsidTr="005A0F78">
        <w:trPr>
          <w:cantSplit/>
        </w:trPr>
        <w:tc>
          <w:tcPr>
            <w:tcW w:w="10031" w:type="dxa"/>
            <w:gridSpan w:val="2"/>
          </w:tcPr>
          <w:p w14:paraId="2DE50E2D" w14:textId="77777777" w:rsidR="00690C7B" w:rsidRPr="002A6F8F" w:rsidRDefault="00690C7B" w:rsidP="000E45CC">
            <w:pPr>
              <w:spacing w:before="0"/>
              <w:rPr>
                <w:rFonts w:ascii="Verdana" w:hAnsi="Verdana"/>
                <w:b/>
                <w:sz w:val="20"/>
                <w:lang w:val="en-US"/>
              </w:rPr>
            </w:pPr>
          </w:p>
        </w:tc>
      </w:tr>
      <w:tr w:rsidR="00690C7B" w:rsidRPr="002A6F8F" w14:paraId="64C5C0AB" w14:textId="77777777" w:rsidTr="005A0F78">
        <w:trPr>
          <w:cantSplit/>
        </w:trPr>
        <w:tc>
          <w:tcPr>
            <w:tcW w:w="10031" w:type="dxa"/>
            <w:gridSpan w:val="2"/>
          </w:tcPr>
          <w:p w14:paraId="6AFF7203" w14:textId="77777777" w:rsidR="00690C7B" w:rsidRPr="002A6F8F" w:rsidRDefault="00690C7B" w:rsidP="000E45CC">
            <w:pPr>
              <w:pStyle w:val="Source"/>
              <w:rPr>
                <w:lang w:val="en-US"/>
              </w:rPr>
            </w:pPr>
            <w:bookmarkStart w:id="1" w:name="dsource" w:colFirst="0" w:colLast="0"/>
            <w:r w:rsidRPr="002A6F8F">
              <w:rPr>
                <w:lang w:val="en-US"/>
              </w:rPr>
              <w:t>Propositions européennes communes</w:t>
            </w:r>
          </w:p>
        </w:tc>
      </w:tr>
      <w:tr w:rsidR="00690C7B" w:rsidRPr="002A6F8F" w14:paraId="0E758967" w14:textId="77777777" w:rsidTr="005A0F78">
        <w:trPr>
          <w:cantSplit/>
        </w:trPr>
        <w:tc>
          <w:tcPr>
            <w:tcW w:w="10031" w:type="dxa"/>
            <w:gridSpan w:val="2"/>
          </w:tcPr>
          <w:p w14:paraId="117D4966" w14:textId="77777777" w:rsidR="00690C7B" w:rsidRPr="00492FA6" w:rsidRDefault="00690C7B" w:rsidP="000E45CC">
            <w:pPr>
              <w:pStyle w:val="Title1"/>
              <w:rPr>
                <w:lang w:val="fr-CH"/>
              </w:rPr>
            </w:pPr>
            <w:bookmarkStart w:id="2" w:name="dtitle1" w:colFirst="0" w:colLast="0"/>
            <w:bookmarkEnd w:id="1"/>
            <w:r w:rsidRPr="00492FA6">
              <w:rPr>
                <w:lang w:val="fr-CH"/>
              </w:rPr>
              <w:t>Propositions pour les travaux de la conférence</w:t>
            </w:r>
          </w:p>
        </w:tc>
      </w:tr>
      <w:tr w:rsidR="00690C7B" w:rsidRPr="002A6F8F" w14:paraId="7812172C" w14:textId="77777777" w:rsidTr="005A0F78">
        <w:trPr>
          <w:cantSplit/>
        </w:trPr>
        <w:tc>
          <w:tcPr>
            <w:tcW w:w="10031" w:type="dxa"/>
            <w:gridSpan w:val="2"/>
          </w:tcPr>
          <w:p w14:paraId="4E24E280" w14:textId="77777777" w:rsidR="00690C7B" w:rsidRPr="00492FA6" w:rsidRDefault="00690C7B" w:rsidP="000E45CC">
            <w:pPr>
              <w:pStyle w:val="Title2"/>
              <w:rPr>
                <w:lang w:val="fr-CH"/>
              </w:rPr>
            </w:pPr>
            <w:bookmarkStart w:id="3" w:name="dtitle2" w:colFirst="0" w:colLast="0"/>
            <w:bookmarkEnd w:id="2"/>
          </w:p>
        </w:tc>
      </w:tr>
      <w:tr w:rsidR="00690C7B" w14:paraId="22591C8D" w14:textId="77777777" w:rsidTr="005A0F78">
        <w:trPr>
          <w:cantSplit/>
        </w:trPr>
        <w:tc>
          <w:tcPr>
            <w:tcW w:w="10031" w:type="dxa"/>
            <w:gridSpan w:val="2"/>
          </w:tcPr>
          <w:p w14:paraId="690FE88B" w14:textId="77777777" w:rsidR="00690C7B" w:rsidRDefault="00690C7B" w:rsidP="000E45CC">
            <w:pPr>
              <w:pStyle w:val="Agendaitem"/>
            </w:pPr>
            <w:bookmarkStart w:id="4" w:name="dtitle3" w:colFirst="0" w:colLast="0"/>
            <w:bookmarkEnd w:id="3"/>
            <w:r w:rsidRPr="006D4724">
              <w:t>Point 8 de l'ordre du jour</w:t>
            </w:r>
          </w:p>
        </w:tc>
      </w:tr>
    </w:tbl>
    <w:bookmarkEnd w:id="4"/>
    <w:p w14:paraId="6BF90475" w14:textId="4B2CE734" w:rsidR="00616264" w:rsidRPr="00616264" w:rsidRDefault="002129AF" w:rsidP="00670E32">
      <w:pPr>
        <w:pStyle w:val="Normalaftertitle"/>
      </w:pPr>
      <w:r w:rsidRPr="009B46DD">
        <w:t>8</w:t>
      </w:r>
      <w:r w:rsidRPr="009B46DD">
        <w:tab/>
        <w:t xml:space="preserve">examiner les demandes des administrations qui souhaitent supprimer des renvois relatifs à leur pays ou le nom de leur pays de certains renvois, s'ils ne sont plus nécessaires, compte tenu de la Résolution </w:t>
      </w:r>
      <w:r w:rsidRPr="009B46DD">
        <w:rPr>
          <w:b/>
          <w:bCs/>
        </w:rPr>
        <w:t>26 (Rév.CMR-07)</w:t>
      </w:r>
      <w:r w:rsidRPr="009B46DD">
        <w:t>, et prendre les mesures voulues à ce sujet;</w:t>
      </w:r>
    </w:p>
    <w:p w14:paraId="429FF232" w14:textId="77777777" w:rsidR="00D027B1" w:rsidRPr="00D027B1" w:rsidRDefault="00D027B1" w:rsidP="000E45CC">
      <w:pPr>
        <w:pStyle w:val="Headingb"/>
        <w:rPr>
          <w:lang w:val="fr-CH"/>
        </w:rPr>
      </w:pPr>
      <w:r w:rsidRPr="00D027B1">
        <w:rPr>
          <w:lang w:val="fr-CH"/>
        </w:rPr>
        <w:t>Introduction</w:t>
      </w:r>
    </w:p>
    <w:p w14:paraId="63F84FB9" w14:textId="50B64339" w:rsidR="00A6044F" w:rsidRPr="00492FA6" w:rsidRDefault="00A6044F" w:rsidP="000E45CC">
      <w:pPr>
        <w:rPr>
          <w:lang w:val="fr-CH"/>
        </w:rPr>
      </w:pPr>
      <w:r w:rsidRPr="00492FA6">
        <w:rPr>
          <w:lang w:val="fr-CH"/>
        </w:rPr>
        <w:t>Le point 8 de l'ordre du jour</w:t>
      </w:r>
      <w:r w:rsidR="00487A9F" w:rsidRPr="00492FA6">
        <w:rPr>
          <w:lang w:val="fr-CH"/>
        </w:rPr>
        <w:t xml:space="preserve"> est un point permanent de l'ordre du jour</w:t>
      </w:r>
      <w:r w:rsidR="001602F3" w:rsidRPr="00492FA6">
        <w:rPr>
          <w:lang w:val="fr-CH"/>
        </w:rPr>
        <w:t xml:space="preserve"> des </w:t>
      </w:r>
      <w:r w:rsidR="00487A9F" w:rsidRPr="00492FA6">
        <w:rPr>
          <w:lang w:val="fr-CH"/>
        </w:rPr>
        <w:t>CMR</w:t>
      </w:r>
      <w:r w:rsidR="001602F3" w:rsidRPr="00492FA6">
        <w:rPr>
          <w:lang w:val="fr-CH"/>
        </w:rPr>
        <w:t>,</w:t>
      </w:r>
      <w:r w:rsidR="00487A9F" w:rsidRPr="00492FA6">
        <w:rPr>
          <w:lang w:val="fr-CH"/>
        </w:rPr>
        <w:t xml:space="preserve"> qui encourag</w:t>
      </w:r>
      <w:r w:rsidR="008272FB" w:rsidRPr="00492FA6">
        <w:rPr>
          <w:lang w:val="fr-CH"/>
        </w:rPr>
        <w:t>e la mise à jour du Tableau d</w:t>
      </w:r>
      <w:r w:rsidR="00487A9F" w:rsidRPr="00492FA6">
        <w:rPr>
          <w:lang w:val="fr-CH"/>
        </w:rPr>
        <w:t xml:space="preserve">'attribution des </w:t>
      </w:r>
      <w:r w:rsidR="008272FB" w:rsidRPr="00492FA6">
        <w:rPr>
          <w:lang w:val="fr-CH"/>
        </w:rPr>
        <w:t xml:space="preserve">bandes de </w:t>
      </w:r>
      <w:r w:rsidR="00487A9F" w:rsidRPr="00492FA6">
        <w:rPr>
          <w:lang w:val="fr-CH"/>
        </w:rPr>
        <w:t>fréquences</w:t>
      </w:r>
      <w:r w:rsidR="001602F3" w:rsidRPr="00492FA6">
        <w:rPr>
          <w:lang w:val="fr-CH"/>
        </w:rPr>
        <w:t>,</w:t>
      </w:r>
      <w:r w:rsidR="00487A9F" w:rsidRPr="00492FA6">
        <w:rPr>
          <w:lang w:val="fr-CH"/>
        </w:rPr>
        <w:t xml:space="preserve"> </w:t>
      </w:r>
      <w:r w:rsidR="001602F3" w:rsidRPr="00492FA6">
        <w:rPr>
          <w:lang w:val="fr-CH"/>
        </w:rPr>
        <w:t>et au titre duquel il est</w:t>
      </w:r>
      <w:r w:rsidR="00487A9F" w:rsidRPr="00492FA6">
        <w:rPr>
          <w:lang w:val="fr-CH"/>
        </w:rPr>
        <w:t xml:space="preserve"> deman</w:t>
      </w:r>
      <w:r w:rsidR="001602F3" w:rsidRPr="00492FA6">
        <w:rPr>
          <w:lang w:val="fr-CH"/>
        </w:rPr>
        <w:t>dé</w:t>
      </w:r>
      <w:r w:rsidR="00487A9F" w:rsidRPr="00492FA6">
        <w:rPr>
          <w:lang w:val="fr-CH"/>
        </w:rPr>
        <w:t xml:space="preserve"> aux administrations</w:t>
      </w:r>
      <w:r w:rsidR="005A0F78" w:rsidRPr="00492FA6">
        <w:rPr>
          <w:lang w:val="fr-CH"/>
        </w:rPr>
        <w:t xml:space="preserve"> de revoir les renvois de manière approfondie et de proposer </w:t>
      </w:r>
      <w:r w:rsidR="007B0E55" w:rsidRPr="00492FA6">
        <w:rPr>
          <w:lang w:val="fr-CH"/>
        </w:rPr>
        <w:t xml:space="preserve">que les </w:t>
      </w:r>
      <w:r w:rsidR="005A0F78" w:rsidRPr="00492FA6">
        <w:rPr>
          <w:lang w:val="fr-CH"/>
        </w:rPr>
        <w:t xml:space="preserve">renvois </w:t>
      </w:r>
      <w:r w:rsidR="007B0E55" w:rsidRPr="00492FA6">
        <w:rPr>
          <w:lang w:val="fr-CH"/>
        </w:rPr>
        <w:t xml:space="preserve">concernant </w:t>
      </w:r>
      <w:r w:rsidR="005A0F78" w:rsidRPr="00492FA6">
        <w:rPr>
          <w:lang w:val="fr-CH"/>
        </w:rPr>
        <w:t>leur pays</w:t>
      </w:r>
      <w:r w:rsidR="007B0E55" w:rsidRPr="00492FA6">
        <w:rPr>
          <w:lang w:val="fr-CH"/>
        </w:rPr>
        <w:t>,</w:t>
      </w:r>
      <w:r w:rsidR="005A0F78" w:rsidRPr="00492FA6">
        <w:rPr>
          <w:lang w:val="fr-CH"/>
        </w:rPr>
        <w:t xml:space="preserve"> ou </w:t>
      </w:r>
      <w:r w:rsidR="007B0E55" w:rsidRPr="00492FA6">
        <w:rPr>
          <w:lang w:val="fr-CH"/>
        </w:rPr>
        <w:t xml:space="preserve">que </w:t>
      </w:r>
      <w:r w:rsidR="005A0F78" w:rsidRPr="00492FA6">
        <w:rPr>
          <w:lang w:val="fr-CH"/>
        </w:rPr>
        <w:t>le nom de leur pays</w:t>
      </w:r>
      <w:r w:rsidR="007B0E55" w:rsidRPr="00492FA6">
        <w:rPr>
          <w:lang w:val="fr-CH"/>
        </w:rPr>
        <w:t xml:space="preserve"> figurant dans des </w:t>
      </w:r>
      <w:r w:rsidR="005A0F78" w:rsidRPr="00492FA6">
        <w:rPr>
          <w:lang w:val="fr-CH"/>
        </w:rPr>
        <w:t>renvois</w:t>
      </w:r>
      <w:r w:rsidR="007B0E55" w:rsidRPr="00492FA6">
        <w:rPr>
          <w:lang w:val="fr-CH"/>
        </w:rPr>
        <w:t>, selon le cas, soient supprimés.</w:t>
      </w:r>
    </w:p>
    <w:p w14:paraId="0D1B3006" w14:textId="6FC79B43" w:rsidR="00D027B1" w:rsidRPr="00492FA6" w:rsidRDefault="007B0E55" w:rsidP="000E45CC">
      <w:pPr>
        <w:rPr>
          <w:lang w:val="fr-CH"/>
        </w:rPr>
      </w:pPr>
      <w:r w:rsidRPr="0038693C">
        <w:rPr>
          <w:lang w:val="fr-CH"/>
        </w:rPr>
        <w:t>Les ren</w:t>
      </w:r>
      <w:r w:rsidR="008272FB" w:rsidRPr="0038693C">
        <w:rPr>
          <w:lang w:val="fr-CH"/>
        </w:rPr>
        <w:t>vois font partie intégrante du T</w:t>
      </w:r>
      <w:r w:rsidRPr="0038693C">
        <w:rPr>
          <w:lang w:val="fr-CH"/>
        </w:rPr>
        <w:t xml:space="preserve">ableau </w:t>
      </w:r>
      <w:r w:rsidR="001602F3" w:rsidRPr="0038693C">
        <w:rPr>
          <w:lang w:val="fr-CH"/>
        </w:rPr>
        <w:t>d'attribution des fréquences (A</w:t>
      </w:r>
      <w:r w:rsidRPr="0038693C">
        <w:rPr>
          <w:lang w:val="fr-CH"/>
        </w:rPr>
        <w:t xml:space="preserve">rticle </w:t>
      </w:r>
      <w:r w:rsidRPr="0038693C">
        <w:rPr>
          <w:b/>
          <w:lang w:val="fr-CH"/>
        </w:rPr>
        <w:t>5</w:t>
      </w:r>
      <w:r w:rsidRPr="0038693C">
        <w:rPr>
          <w:lang w:val="fr-CH"/>
        </w:rPr>
        <w:t>) du Règlement des radiocommunications de l'UIT</w:t>
      </w:r>
      <w:r w:rsidR="008272FB" w:rsidRPr="0038693C">
        <w:rPr>
          <w:lang w:val="fr-CH"/>
        </w:rPr>
        <w:t xml:space="preserve"> et doivent être tenus à jour. </w:t>
      </w:r>
      <w:r w:rsidR="008272FB" w:rsidRPr="00492FA6">
        <w:rPr>
          <w:lang w:val="fr-CH"/>
        </w:rPr>
        <w:t xml:space="preserve">Toute adjonction, modification ou suppression d'un renvoi est examinée et décidée par la CMR, conformément à la Résolution </w:t>
      </w:r>
      <w:r w:rsidR="008272FB" w:rsidRPr="00492FA6">
        <w:rPr>
          <w:b/>
          <w:lang w:val="fr-CH"/>
        </w:rPr>
        <w:t>26 (Rév.CMR-07)</w:t>
      </w:r>
      <w:r w:rsidR="008272FB" w:rsidRPr="00492FA6">
        <w:rPr>
          <w:lang w:val="fr-CH"/>
        </w:rPr>
        <w:t>.</w:t>
      </w:r>
    </w:p>
    <w:p w14:paraId="221E8B8C" w14:textId="77777777" w:rsidR="003F36F3" w:rsidRPr="000E45CC" w:rsidRDefault="00D027B1" w:rsidP="000E45CC">
      <w:r w:rsidRPr="000E45CC">
        <w:t>La CEPT soutient les initiatives des administrations visant à examiner leurs renvois et à proposer la suppression du nom de leur pays ou la suppression du renvoi relatif à ce pays lorsqu</w:t>
      </w:r>
      <w:r w:rsidR="009B7FA2" w:rsidRPr="000E45CC">
        <w:t>'</w:t>
      </w:r>
      <w:r w:rsidRPr="000E45CC">
        <w:t>il n</w:t>
      </w:r>
      <w:r w:rsidR="009B7FA2" w:rsidRPr="000E45CC">
        <w:t>'</w:t>
      </w:r>
      <w:r w:rsidRPr="000E45CC">
        <w:t xml:space="preserve">est plus nécessaire. </w:t>
      </w:r>
    </w:p>
    <w:p w14:paraId="6953DECD" w14:textId="0631FC25" w:rsidR="005B269D" w:rsidRPr="00492FA6" w:rsidRDefault="001725EB" w:rsidP="000E45CC">
      <w:pPr>
        <w:rPr>
          <w:lang w:val="fr-CH"/>
        </w:rPr>
      </w:pPr>
      <w:r w:rsidRPr="000E45CC">
        <w:t>Ce point de l'ordre du jour vise à harmoniser, à l'échelle mondiale, l'utilisation du spectre en supprimant des noms de pays de certains renvois. Toutefois, le libellé du point 8 de l'ordre du jour fait mention de la Résolution </w:t>
      </w:r>
      <w:r w:rsidRPr="000E45CC">
        <w:rPr>
          <w:b/>
        </w:rPr>
        <w:t>26 (Rév.CMR-07)</w:t>
      </w:r>
      <w:r w:rsidRPr="000E45CC">
        <w:t>, qui traite également d'aspects autres que la suppression de noms de pays de certains renvois, notamment des mesures possibles concernant les renvois telles que l'adjonction de nouveaux renvois relatifs à des pays ou la modification de renvois.</w:t>
      </w:r>
      <w:r w:rsidR="003F36F3">
        <w:t xml:space="preserve"> Les propositions correspondantes des administrations en vue de l'adjonction ou de la modification de renvois, qui ne relevaient pas des </w:t>
      </w:r>
      <w:r w:rsidR="003F36F3" w:rsidRPr="00A52D28">
        <w:t>dispositions</w:t>
      </w:r>
      <w:r w:rsidR="000E45CC">
        <w:t xml:space="preserve"> des points </w:t>
      </w:r>
      <w:r w:rsidR="000E45CC">
        <w:rPr>
          <w:i/>
        </w:rPr>
        <w:t xml:space="preserve">1a, 1b </w:t>
      </w:r>
      <w:r w:rsidR="000E45CC">
        <w:t xml:space="preserve">et </w:t>
      </w:r>
      <w:r w:rsidR="000E45CC">
        <w:rPr>
          <w:i/>
        </w:rPr>
        <w:t>1c</w:t>
      </w:r>
      <w:r w:rsidR="000E45CC">
        <w:t xml:space="preserve"> </w:t>
      </w:r>
      <w:r w:rsidR="003F36F3">
        <w:t xml:space="preserve">du </w:t>
      </w:r>
      <w:r w:rsidR="003F36F3">
        <w:rPr>
          <w:i/>
        </w:rPr>
        <w:t xml:space="preserve">décide en outre </w:t>
      </w:r>
      <w:r w:rsidR="003F36F3">
        <w:t xml:space="preserve">de la Résolution </w:t>
      </w:r>
      <w:r w:rsidR="003F36F3" w:rsidRPr="003F36F3">
        <w:rPr>
          <w:b/>
        </w:rPr>
        <w:t>26 (Rév.CMR-07)</w:t>
      </w:r>
      <w:r w:rsidR="003F36F3">
        <w:t xml:space="preserve"> ont été examinées par les dernières CMR au titre de ce point de </w:t>
      </w:r>
      <w:r w:rsidR="005F7C82">
        <w:t>l'ordre du jour, sous réserve des principes suivants</w:t>
      </w:r>
      <w:r w:rsidR="005B269D" w:rsidRPr="00492FA6">
        <w:rPr>
          <w:lang w:val="fr-CH"/>
        </w:rPr>
        <w:t xml:space="preserve"> (</w:t>
      </w:r>
      <w:r w:rsidR="005F7C82" w:rsidRPr="00492FA6">
        <w:rPr>
          <w:lang w:val="fr-CH"/>
        </w:rPr>
        <w:t xml:space="preserve">voir le </w:t>
      </w:r>
      <w:hyperlink r:id="rId12" w:history="1">
        <w:r w:rsidR="005F7C82" w:rsidRPr="00492FA6">
          <w:rPr>
            <w:rStyle w:val="Hyperlink"/>
            <w:lang w:val="fr-CH"/>
          </w:rPr>
          <w:t>Document 142 de la CMR-15</w:t>
        </w:r>
      </w:hyperlink>
      <w:r w:rsidR="005B269D" w:rsidRPr="00492FA6">
        <w:rPr>
          <w:lang w:val="fr-CH"/>
        </w:rPr>
        <w:t>):</w:t>
      </w:r>
    </w:p>
    <w:p w14:paraId="0FAC9C26" w14:textId="77777777" w:rsidR="00670E32" w:rsidRDefault="00670E32" w:rsidP="000E45CC">
      <w:pPr>
        <w:pStyle w:val="enumlev1"/>
        <w:rPr>
          <w:lang w:val="fr-CH"/>
        </w:rPr>
      </w:pPr>
      <w:r>
        <w:rPr>
          <w:lang w:val="fr-CH"/>
        </w:rPr>
        <w:br w:type="page"/>
      </w:r>
    </w:p>
    <w:p w14:paraId="1E6FE2B3" w14:textId="5CFA76CE" w:rsidR="005B269D" w:rsidRPr="000E45CC" w:rsidRDefault="000E45CC" w:rsidP="000E45CC">
      <w:pPr>
        <w:pStyle w:val="enumlev1"/>
        <w:rPr>
          <w:lang w:val="fr-CH"/>
        </w:rPr>
      </w:pPr>
      <w:r w:rsidRPr="000E45CC">
        <w:rPr>
          <w:lang w:val="fr-CH"/>
        </w:rPr>
        <w:lastRenderedPageBreak/>
        <w:t>–</w:t>
      </w:r>
      <w:r w:rsidR="00A772AC" w:rsidRPr="000E45CC">
        <w:rPr>
          <w:lang w:val="fr-CH"/>
        </w:rPr>
        <w:tab/>
        <w:t>La CMR</w:t>
      </w:r>
      <w:r w:rsidR="005B269D" w:rsidRPr="000E45CC">
        <w:rPr>
          <w:lang w:val="fr-CH"/>
        </w:rPr>
        <w:t xml:space="preserve"> n'a pas pour objectif d'encourager l'adjonction de noms de pays dans des renvois existants. Cela étant, dans certaines circonstances, à titre purement exceptionnel et si cela est justifié, les propositions d'adjonction de noms de pays dans des renvois existants peuvent être examinées, mais leur approbation est subordonnée à la condition expresse qu'il n'y ait pas d'objections de la part des pays affectés.</w:t>
      </w:r>
    </w:p>
    <w:p w14:paraId="37051F64" w14:textId="5794F470" w:rsidR="005B269D" w:rsidRDefault="000E45CC" w:rsidP="000E45CC">
      <w:pPr>
        <w:pStyle w:val="enumlev1"/>
        <w:rPr>
          <w:lang w:val="fr-CH"/>
        </w:rPr>
      </w:pPr>
      <w:r w:rsidRPr="000E45CC">
        <w:rPr>
          <w:lang w:val="fr-CH"/>
        </w:rPr>
        <w:t>–</w:t>
      </w:r>
      <w:r w:rsidR="005B269D" w:rsidRPr="000E45CC">
        <w:rPr>
          <w:lang w:val="fr-CH"/>
        </w:rPr>
        <w:tab/>
        <w:t>Les propositions d'adjonction de nouveaux renvois concernant des pays, qui ne sont pas liées à des points de l'ordre du jour de la Conférence, ne devraient pas être examinées.</w:t>
      </w:r>
    </w:p>
    <w:p w14:paraId="763111D5" w14:textId="4DBBC5B9" w:rsidR="00810973" w:rsidRDefault="00810973" w:rsidP="000E45CC">
      <w:r>
        <w:t xml:space="preserve">La CEPT a pris note du fait que la pratique existante </w:t>
      </w:r>
      <w:r w:rsidR="005A5A1D">
        <w:t>a donné de bons résultats</w:t>
      </w:r>
      <w:r>
        <w:t xml:space="preserve"> jusqu'à présent. Elle </w:t>
      </w:r>
      <w:r w:rsidR="007D15B6">
        <w:t xml:space="preserve">donne la possibilité </w:t>
      </w:r>
      <w:r>
        <w:t>aux administrations</w:t>
      </w:r>
      <w:r w:rsidR="00BB740C">
        <w:t>, lorsqu'elles le juge</w:t>
      </w:r>
      <w:r w:rsidR="007D15B6">
        <w:t>nt</w:t>
      </w:r>
      <w:r w:rsidR="00BB740C">
        <w:t xml:space="preserve"> nécessaire, </w:t>
      </w:r>
      <w:r w:rsidR="007D15B6">
        <w:t xml:space="preserve">de demander à la Conférence d'ajouter </w:t>
      </w:r>
      <w:r w:rsidR="000E45CC">
        <w:t>le nom de leur pays</w:t>
      </w:r>
      <w:r w:rsidR="007D15B6">
        <w:t xml:space="preserve"> dans un certain renvoi, mais permet également de faire en sorte que les pays affectés puissent s'opposer à la proposition </w:t>
      </w:r>
      <w:r w:rsidR="00143E2D">
        <w:t>en cas de risques de</w:t>
      </w:r>
      <w:r w:rsidR="007D15B6">
        <w:t xml:space="preserve"> </w:t>
      </w:r>
      <w:r w:rsidR="00143E2D">
        <w:t>brouillages</w:t>
      </w:r>
      <w:r w:rsidR="007D15B6">
        <w:t xml:space="preserve"> préjudiciables. </w:t>
      </w:r>
      <w:r w:rsidR="00A772AC">
        <w:t xml:space="preserve">Il convient également de noter </w:t>
      </w:r>
      <w:r w:rsidR="007D15B6">
        <w:t xml:space="preserve">que la possibilité d'ajouter le nom d'un pays dans un renvoi peut dans certains cas améliorer l'harmonisation </w:t>
      </w:r>
      <w:r w:rsidR="00726B9C">
        <w:t>des fréquences utilisées au</w:t>
      </w:r>
      <w:r w:rsidR="00670E32">
        <w:t>x</w:t>
      </w:r>
      <w:r w:rsidR="00726B9C">
        <w:t xml:space="preserve"> niveau</w:t>
      </w:r>
      <w:r w:rsidR="00670E32">
        <w:t>x</w:t>
      </w:r>
      <w:r w:rsidR="00726B9C">
        <w:t xml:space="preserve"> régional et sous-régional.</w:t>
      </w:r>
    </w:p>
    <w:p w14:paraId="5BAE391F" w14:textId="43D93D79" w:rsidR="00726B9C" w:rsidRDefault="00726B9C" w:rsidP="000E45CC">
      <w:r>
        <w:t xml:space="preserve">La pratique existante peut entraîner des difficultés pour les administrations pendant les CMR, puisqu'elle suppose qu'une évaluation immédiate de la compatibilité soit menée et qu'une définition des conditions de partage avec les services existants soit effectuée en ce qui concerne les modifications proposées, </w:t>
      </w:r>
      <w:r w:rsidR="00A772AC">
        <w:t>et que celles-ci soient</w:t>
      </w:r>
      <w:r>
        <w:t xml:space="preserve"> approuvées par les administrations concernées. Dans certains cas, ce processus ne peut </w:t>
      </w:r>
      <w:r w:rsidR="00143E2D">
        <w:t xml:space="preserve">pas </w:t>
      </w:r>
      <w:r>
        <w:t xml:space="preserve">être mené à bien pendant la Conférence </w:t>
      </w:r>
      <w:r w:rsidR="003D61B6">
        <w:t>faute de compétences et de temps.</w:t>
      </w:r>
    </w:p>
    <w:p w14:paraId="798E3FDA" w14:textId="1DA00478" w:rsidR="003D61B6" w:rsidRDefault="003D61B6" w:rsidP="000E45CC">
      <w:r>
        <w:t xml:space="preserve">Afin </w:t>
      </w:r>
      <w:r w:rsidR="00A772AC">
        <w:t>de laisser suffisamment de temps</w:t>
      </w:r>
      <w:r>
        <w:t xml:space="preserve"> aux administrations avant la Conférence pour examiner les conséquences éventuelles de leurs propositions au titre du point 8 de l'ordre du jour</w:t>
      </w:r>
      <w:r w:rsidR="00894F1B">
        <w:t>, et pour favoriser l'obtention d'un consensus pendant la Conférence</w:t>
      </w:r>
      <w:r w:rsidR="005A61F4">
        <w:t xml:space="preserve">, il est d'une grande </w:t>
      </w:r>
      <w:r w:rsidR="005A61F4" w:rsidRPr="000E45CC">
        <w:t>utilité</w:t>
      </w:r>
      <w:r w:rsidR="00F400AE">
        <w:t xml:space="preserve"> de notifier</w:t>
      </w:r>
      <w:r w:rsidR="000E45CC">
        <w:t xml:space="preserve"> à l'avance</w:t>
      </w:r>
      <w:r w:rsidR="00F400AE">
        <w:t xml:space="preserve">, aux niveaux régional et interrégional, </w:t>
      </w:r>
      <w:r w:rsidR="00B65E84">
        <w:t xml:space="preserve">les renvois qu'il est proposé de modifier. </w:t>
      </w:r>
      <w:r w:rsidR="00720EDB">
        <w:t>Cela a g</w:t>
      </w:r>
      <w:r w:rsidR="00B65E84">
        <w:t>énéralement</w:t>
      </w:r>
      <w:r w:rsidR="00720EDB">
        <w:t xml:space="preserve"> lieu </w:t>
      </w:r>
      <w:r w:rsidR="00B65E84">
        <w:t xml:space="preserve">dans le cadre de la participation des administrations aux </w:t>
      </w:r>
      <w:r w:rsidR="000E45CC">
        <w:t>travaux</w:t>
      </w:r>
      <w:r w:rsidR="00B65E84">
        <w:t xml:space="preserve"> préparatoires en vue de la CMR</w:t>
      </w:r>
      <w:r w:rsidR="00720EDB">
        <w:t xml:space="preserve"> organisés par les organisations régionales de télécommunication correspondantes et moyennant la collaboration d</w:t>
      </w:r>
      <w:r w:rsidR="00183AC3">
        <w:t>es groupes régionaux avant les C</w:t>
      </w:r>
      <w:r w:rsidR="00720EDB">
        <w:t>onférences.</w:t>
      </w:r>
    </w:p>
    <w:p w14:paraId="007F71BA" w14:textId="70BE6BA3" w:rsidR="005B269D" w:rsidRPr="005D4232" w:rsidRDefault="00720EDB" w:rsidP="000E45CC">
      <w:r>
        <w:t>Selon l'avis de la CEPT:</w:t>
      </w:r>
    </w:p>
    <w:p w14:paraId="343A92DC" w14:textId="379D33EF" w:rsidR="005B269D" w:rsidRPr="00720EDB" w:rsidRDefault="005B269D" w:rsidP="000E45CC">
      <w:pPr>
        <w:pStyle w:val="enumlev1"/>
        <w:rPr>
          <w:b/>
        </w:rPr>
      </w:pPr>
      <w:r w:rsidRPr="005D4232">
        <w:t>–</w:t>
      </w:r>
      <w:r w:rsidRPr="005D4232">
        <w:tab/>
      </w:r>
      <w:r w:rsidR="00720EDB">
        <w:t xml:space="preserve">Il n'est pas nécessaire de modifier la Résolution </w:t>
      </w:r>
      <w:r w:rsidR="00720EDB">
        <w:rPr>
          <w:b/>
        </w:rPr>
        <w:t>26 (Rév.CMR-07)</w:t>
      </w:r>
      <w:r w:rsidR="00183AC3" w:rsidRPr="00183AC3">
        <w:t>.</w:t>
      </w:r>
    </w:p>
    <w:p w14:paraId="4620D4CB" w14:textId="1A1531D6" w:rsidR="005B269D" w:rsidRPr="005D4232" w:rsidRDefault="005B269D" w:rsidP="000E45CC">
      <w:pPr>
        <w:pStyle w:val="enumlev1"/>
      </w:pPr>
      <w:r w:rsidRPr="005D4232">
        <w:t>–</w:t>
      </w:r>
      <w:r w:rsidRPr="005D4232">
        <w:tab/>
      </w:r>
      <w:r w:rsidR="00720EDB">
        <w:t>L'objectif du point 8 de l'ordre du jour n'est pas d'ajouter de</w:t>
      </w:r>
      <w:r w:rsidR="00C95B56">
        <w:t>s</w:t>
      </w:r>
      <w:r w:rsidR="00720EDB">
        <w:t xml:space="preserve"> noms </w:t>
      </w:r>
      <w:r w:rsidR="00C95B56">
        <w:t xml:space="preserve">de pays </w:t>
      </w:r>
      <w:r w:rsidR="00720EDB">
        <w:t>dans les renvois ni d'ajouter de nouveaux renvois concernant des pays.</w:t>
      </w:r>
    </w:p>
    <w:p w14:paraId="63AFEC04" w14:textId="72559FE8" w:rsidR="00720EDB" w:rsidRPr="000E45CC" w:rsidRDefault="005B269D" w:rsidP="000E45CC">
      <w:pPr>
        <w:pStyle w:val="enumlev1"/>
      </w:pPr>
      <w:r w:rsidRPr="005D4232">
        <w:t>–</w:t>
      </w:r>
      <w:r w:rsidRPr="005D4232">
        <w:tab/>
      </w:r>
      <w:r w:rsidR="00B40B75" w:rsidRPr="000E45CC">
        <w:t>La présente Conférence peu</w:t>
      </w:r>
      <w:r w:rsidR="00720EDB" w:rsidRPr="000E45CC">
        <w:t xml:space="preserve">t continuer </w:t>
      </w:r>
      <w:r w:rsidR="00B40B75" w:rsidRPr="000E45CC">
        <w:t>d'</w:t>
      </w:r>
      <w:r w:rsidR="00720EDB" w:rsidRPr="000E45CC">
        <w:t xml:space="preserve">examiner les demandes d'adjonction de noms de pays </w:t>
      </w:r>
      <w:r w:rsidR="00B40B75" w:rsidRPr="000E45CC">
        <w:t>dans d</w:t>
      </w:r>
      <w:r w:rsidR="00720EDB" w:rsidRPr="000E45CC">
        <w:t>es renvois existants au cas par cas, sous réserve</w:t>
      </w:r>
      <w:r w:rsidR="00B40B75" w:rsidRPr="000E45CC">
        <w:t xml:space="preserve"> du principe selon lequel les propositions d'adjonction de noms de pays dans des renvois existants peuvent être examinées, mais leur approbation est subordonnée à la condition expresse qu'il n'y ait pas d'objections de la part des pays affectés.</w:t>
      </w:r>
    </w:p>
    <w:p w14:paraId="35899B9D" w14:textId="68D9AC43" w:rsidR="005B269D" w:rsidRDefault="000E45CC" w:rsidP="000E45CC">
      <w:pPr>
        <w:pStyle w:val="enumlev1"/>
        <w:rPr>
          <w:lang w:val="fr-CH"/>
        </w:rPr>
      </w:pPr>
      <w:r w:rsidRPr="000E45CC">
        <w:rPr>
          <w:lang w:val="fr-CH"/>
        </w:rPr>
        <w:t>–</w:t>
      </w:r>
      <w:r w:rsidR="005B269D" w:rsidRPr="000E45CC">
        <w:rPr>
          <w:lang w:val="fr-CH"/>
        </w:rPr>
        <w:tab/>
        <w:t>Les propositions d'adjonction de nouveaux renvois concernant des pays, qui ne sont pas liées à des points de l'ordre du jour de la présente Conférence, ne devraient pas être examinées.</w:t>
      </w:r>
    </w:p>
    <w:p w14:paraId="7590E994" w14:textId="65D1EAB8" w:rsidR="003C3BBC" w:rsidRDefault="00B40B75" w:rsidP="000E45CC">
      <w:r>
        <w:t>La proposition repose sur la position de la CEPT exposée ci-dessus</w:t>
      </w:r>
      <w:r w:rsidR="00C95B56">
        <w:t>.</w:t>
      </w:r>
    </w:p>
    <w:p w14:paraId="41268C48" w14:textId="77777777" w:rsidR="00670E32" w:rsidRDefault="00670E32" w:rsidP="000E45CC"/>
    <w:p w14:paraId="254702B1" w14:textId="77777777" w:rsidR="0015203F" w:rsidRDefault="0015203F" w:rsidP="000E45CC">
      <w:pPr>
        <w:tabs>
          <w:tab w:val="clear" w:pos="1134"/>
          <w:tab w:val="clear" w:pos="1871"/>
          <w:tab w:val="clear" w:pos="2268"/>
        </w:tabs>
        <w:overflowPunct/>
        <w:autoSpaceDE/>
        <w:autoSpaceDN/>
        <w:adjustRightInd/>
        <w:spacing w:before="0"/>
        <w:textAlignment w:val="auto"/>
      </w:pPr>
      <w:r>
        <w:br w:type="page"/>
      </w:r>
    </w:p>
    <w:p w14:paraId="7EE06E29" w14:textId="77777777" w:rsidR="00670E32" w:rsidRDefault="00670E32" w:rsidP="00670E32">
      <w:pPr>
        <w:pStyle w:val="Headingb"/>
      </w:pPr>
      <w:r>
        <w:lastRenderedPageBreak/>
        <w:t>Proposition</w:t>
      </w:r>
    </w:p>
    <w:p w14:paraId="303F1319" w14:textId="77777777" w:rsidR="00F95ED3" w:rsidRDefault="002129AF" w:rsidP="000E45CC">
      <w:pPr>
        <w:pStyle w:val="Proposal"/>
      </w:pPr>
      <w:r>
        <w:rPr>
          <w:u w:val="single"/>
        </w:rPr>
        <w:t>NOC</w:t>
      </w:r>
      <w:r>
        <w:tab/>
        <w:t>EUR/16A20/1</w:t>
      </w:r>
    </w:p>
    <w:p w14:paraId="7ECC74E7" w14:textId="77777777" w:rsidR="005A0F78" w:rsidRPr="00D9123C" w:rsidRDefault="002129AF" w:rsidP="000E45CC">
      <w:pPr>
        <w:pStyle w:val="ResNo"/>
      </w:pPr>
      <w:r>
        <w:t>RÉSOLUTION</w:t>
      </w:r>
      <w:r w:rsidRPr="00D9123C">
        <w:t xml:space="preserve"> </w:t>
      </w:r>
      <w:r w:rsidRPr="00D9123C">
        <w:rPr>
          <w:rStyle w:val="href"/>
        </w:rPr>
        <w:t>26</w:t>
      </w:r>
      <w:r w:rsidRPr="00D9123C">
        <w:t xml:space="preserve"> (</w:t>
      </w:r>
      <w:r>
        <w:t>RÉV.CMR</w:t>
      </w:r>
      <w:r w:rsidRPr="00D9123C">
        <w:t>-07)</w:t>
      </w:r>
    </w:p>
    <w:p w14:paraId="04ADC56C" w14:textId="77777777" w:rsidR="005A0F78" w:rsidRPr="00654ABC" w:rsidRDefault="002129AF" w:rsidP="000E45CC">
      <w:pPr>
        <w:pStyle w:val="Restitle"/>
      </w:pPr>
      <w:bookmarkStart w:id="5" w:name="_Toc450208552"/>
      <w:r w:rsidRPr="00654ABC">
        <w:t xml:space="preserve">Renvois du Tableau d'attribution </w:t>
      </w:r>
      <w:bookmarkStart w:id="6" w:name="_GoBack"/>
      <w:bookmarkEnd w:id="6"/>
      <w:r w:rsidRPr="00654ABC">
        <w:t>des bandes de fréquences dans</w:t>
      </w:r>
      <w:r w:rsidRPr="00654ABC">
        <w:br/>
        <w:t>l'Article 5 du Règlement des radiocommunications</w:t>
      </w:r>
      <w:bookmarkEnd w:id="5"/>
    </w:p>
    <w:p w14:paraId="2ED0ED46" w14:textId="4D5C0A8E" w:rsidR="00F95ED3" w:rsidRDefault="002129AF" w:rsidP="000E45CC">
      <w:pPr>
        <w:pStyle w:val="Reasons"/>
        <w:rPr>
          <w:lang w:val="en-GB"/>
        </w:rPr>
      </w:pPr>
      <w:r>
        <w:rPr>
          <w:b/>
        </w:rPr>
        <w:t>Motifs:</w:t>
      </w:r>
      <w:r>
        <w:tab/>
      </w:r>
      <w:r w:rsidR="0020676C">
        <w:t>En ce qui concerne l'adjonction</w:t>
      </w:r>
      <w:r w:rsidR="003C3BBC" w:rsidRPr="00492FA6">
        <w:rPr>
          <w:lang w:val="fr-CH"/>
        </w:rPr>
        <w:t xml:space="preserve">, </w:t>
      </w:r>
      <w:r w:rsidR="0020676C" w:rsidRPr="00492FA6">
        <w:rPr>
          <w:lang w:val="fr-CH"/>
        </w:rPr>
        <w:t xml:space="preserve">la </w:t>
      </w:r>
      <w:r w:rsidR="003C3BBC" w:rsidRPr="00492FA6">
        <w:rPr>
          <w:lang w:val="fr-CH"/>
        </w:rPr>
        <w:t xml:space="preserve">modification </w:t>
      </w:r>
      <w:r w:rsidR="0020676C" w:rsidRPr="00492FA6">
        <w:rPr>
          <w:lang w:val="fr-CH"/>
        </w:rPr>
        <w:t>ou la suppression de renvois du Tableau d'attribution des bande de fréquences</w:t>
      </w:r>
      <w:r w:rsidR="003C3BBC" w:rsidRPr="00492FA6">
        <w:rPr>
          <w:lang w:val="fr-CH"/>
        </w:rPr>
        <w:t xml:space="preserve">, </w:t>
      </w:r>
      <w:r w:rsidR="0020676C" w:rsidRPr="00492FA6">
        <w:rPr>
          <w:lang w:val="fr-CH"/>
        </w:rPr>
        <w:t xml:space="preserve">la </w:t>
      </w:r>
      <w:r w:rsidR="003C3BBC" w:rsidRPr="00492FA6">
        <w:rPr>
          <w:lang w:val="fr-CH"/>
        </w:rPr>
        <w:t xml:space="preserve">CEPT </w:t>
      </w:r>
      <w:r w:rsidR="0020676C" w:rsidRPr="00492FA6">
        <w:rPr>
          <w:lang w:val="fr-CH"/>
        </w:rPr>
        <w:t>fait observer que la pratique existante a donné de bons résultats jusqu'à présent et que, par conséquent, il n'est pas nécessaire de modifier la Ré</w:t>
      </w:r>
      <w:r w:rsidR="003C3BBC" w:rsidRPr="00492FA6">
        <w:rPr>
          <w:lang w:val="fr-CH"/>
        </w:rPr>
        <w:t xml:space="preserve">solution </w:t>
      </w:r>
      <w:r w:rsidR="0020676C" w:rsidRPr="00492FA6">
        <w:rPr>
          <w:b/>
          <w:lang w:val="fr-CH"/>
        </w:rPr>
        <w:t>26 (Ré</w:t>
      </w:r>
      <w:r w:rsidR="003C3BBC" w:rsidRPr="00492FA6">
        <w:rPr>
          <w:b/>
          <w:lang w:val="fr-CH"/>
        </w:rPr>
        <w:t xml:space="preserve">v. </w:t>
      </w:r>
      <w:r w:rsidR="0020676C">
        <w:rPr>
          <w:b/>
          <w:lang w:val="en-GB"/>
        </w:rPr>
        <w:t>CMR</w:t>
      </w:r>
      <w:r w:rsidR="003C3BBC" w:rsidRPr="003C3BBC">
        <w:rPr>
          <w:b/>
          <w:lang w:val="en-GB"/>
        </w:rPr>
        <w:t>-07)</w:t>
      </w:r>
      <w:r w:rsidR="003C3BBC" w:rsidRPr="003C3BBC">
        <w:rPr>
          <w:lang w:val="en-GB"/>
        </w:rPr>
        <w:t>.</w:t>
      </w:r>
    </w:p>
    <w:p w14:paraId="38137596" w14:textId="77777777" w:rsidR="003C3BBC" w:rsidRDefault="003C3BBC" w:rsidP="000E45CC"/>
    <w:p w14:paraId="5D92D3AE" w14:textId="77777777" w:rsidR="003C3BBC" w:rsidRDefault="003C3BBC" w:rsidP="000E45CC">
      <w:pPr>
        <w:jc w:val="center"/>
      </w:pPr>
      <w:r>
        <w:t>______________</w:t>
      </w:r>
    </w:p>
    <w:sectPr w:rsidR="003C3BBC">
      <w:headerReference w:type="default" r:id="rId13"/>
      <w:footerReference w:type="even" r:id="rId14"/>
      <w:footerReference w:type="default" r:id="rId15"/>
      <w:footerReference w:type="first" r:id="rId16"/>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26F4D" w14:textId="77777777" w:rsidR="00143E2D" w:rsidRDefault="00143E2D">
      <w:r>
        <w:separator/>
      </w:r>
    </w:p>
  </w:endnote>
  <w:endnote w:type="continuationSeparator" w:id="0">
    <w:p w14:paraId="784A1B1F" w14:textId="77777777" w:rsidR="00143E2D" w:rsidRDefault="0014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FCF1" w14:textId="0D2A88BB" w:rsidR="00143E2D" w:rsidRDefault="00143E2D">
    <w:pPr>
      <w:rPr>
        <w:lang w:val="en-US"/>
      </w:rPr>
    </w:pPr>
    <w:r>
      <w:fldChar w:fldCharType="begin"/>
    </w:r>
    <w:r>
      <w:rPr>
        <w:lang w:val="en-US"/>
      </w:rPr>
      <w:instrText xml:space="preserve"> FILENAME \p  \* MERGEFORMAT </w:instrText>
    </w:r>
    <w:r>
      <w:fldChar w:fldCharType="separate"/>
    </w:r>
    <w:r w:rsidR="00E37C5F">
      <w:rPr>
        <w:noProof/>
        <w:lang w:val="en-US"/>
      </w:rPr>
      <w:t>P:\FRA\ITU-R\CONF-R\CMR19\000\016ADD20F.docx</w:t>
    </w:r>
    <w:r>
      <w:fldChar w:fldCharType="end"/>
    </w:r>
    <w:r>
      <w:rPr>
        <w:lang w:val="en-US"/>
      </w:rPr>
      <w:tab/>
    </w:r>
    <w:r>
      <w:fldChar w:fldCharType="begin"/>
    </w:r>
    <w:r>
      <w:instrText xml:space="preserve"> SAVEDATE \@ DD.MM.YY </w:instrText>
    </w:r>
    <w:r>
      <w:fldChar w:fldCharType="separate"/>
    </w:r>
    <w:r w:rsidR="00E37C5F">
      <w:rPr>
        <w:noProof/>
      </w:rPr>
      <w:t>14.10.19</w:t>
    </w:r>
    <w:r>
      <w:fldChar w:fldCharType="end"/>
    </w:r>
    <w:r>
      <w:rPr>
        <w:lang w:val="en-US"/>
      </w:rPr>
      <w:tab/>
    </w:r>
    <w:r>
      <w:fldChar w:fldCharType="begin"/>
    </w:r>
    <w:r>
      <w:instrText xml:space="preserve"> PRINTDATE \@ DD.MM.YY </w:instrText>
    </w:r>
    <w:r>
      <w:fldChar w:fldCharType="separate"/>
    </w:r>
    <w:r w:rsidR="00E37C5F">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C26B" w14:textId="387852D6" w:rsidR="00143E2D" w:rsidRDefault="00B453B3" w:rsidP="007B2C34">
    <w:pPr>
      <w:pStyle w:val="Footer"/>
      <w:rPr>
        <w:lang w:val="en-US"/>
      </w:rPr>
    </w:pPr>
    <w:r>
      <w:fldChar w:fldCharType="begin"/>
    </w:r>
    <w:r w:rsidRPr="00492FA6">
      <w:rPr>
        <w:lang w:val="en-GB"/>
      </w:rPr>
      <w:instrText xml:space="preserve"> FILENAME \p  \* MERGEFORMAT </w:instrText>
    </w:r>
    <w:r>
      <w:fldChar w:fldCharType="separate"/>
    </w:r>
    <w:r w:rsidR="00E37C5F">
      <w:rPr>
        <w:lang w:val="en-GB"/>
      </w:rPr>
      <w:t>P:\FRA\ITU-R\CONF-R\CMR19\000\016ADD20F.docx</w:t>
    </w:r>
    <w:r>
      <w:fldChar w:fldCharType="end"/>
    </w:r>
    <w:r w:rsidR="00143E2D" w:rsidRPr="00492FA6">
      <w:rPr>
        <w:lang w:val="en-GB"/>
      </w:rPr>
      <w:t xml:space="preserve"> (461935)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4CCA" w14:textId="7C537E13" w:rsidR="00143E2D" w:rsidRDefault="00492FA6" w:rsidP="00492FA6">
    <w:pPr>
      <w:pStyle w:val="Footer"/>
      <w:rPr>
        <w:lang w:val="en-US"/>
      </w:rPr>
    </w:pPr>
    <w:r>
      <w:fldChar w:fldCharType="begin"/>
    </w:r>
    <w:r w:rsidRPr="00492FA6">
      <w:rPr>
        <w:lang w:val="en-GB"/>
      </w:rPr>
      <w:instrText xml:space="preserve"> FILENAME \p  \* MERGEFORMAT </w:instrText>
    </w:r>
    <w:r>
      <w:fldChar w:fldCharType="separate"/>
    </w:r>
    <w:r w:rsidR="00E37C5F">
      <w:rPr>
        <w:lang w:val="en-GB"/>
      </w:rPr>
      <w:t>P:\FRA\ITU-R\CONF-R\CMR19\000\016ADD20F.docx</w:t>
    </w:r>
    <w:r>
      <w:fldChar w:fldCharType="end"/>
    </w:r>
    <w:r w:rsidR="00143E2D" w:rsidRPr="00492FA6">
      <w:rPr>
        <w:lang w:val="en-GB"/>
      </w:rPr>
      <w:t xml:space="preserve"> (461935)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676FA" w14:textId="77777777" w:rsidR="00143E2D" w:rsidRDefault="00143E2D">
      <w:r>
        <w:rPr>
          <w:b/>
        </w:rPr>
        <w:t>_______________</w:t>
      </w:r>
    </w:p>
  </w:footnote>
  <w:footnote w:type="continuationSeparator" w:id="0">
    <w:p w14:paraId="33EA2DF3" w14:textId="77777777" w:rsidR="00143E2D" w:rsidRDefault="0014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01F1" w14:textId="77777777" w:rsidR="00143E2D" w:rsidRDefault="00143E2D" w:rsidP="004F1F8E">
    <w:pPr>
      <w:pStyle w:val="Header"/>
    </w:pPr>
    <w:r>
      <w:fldChar w:fldCharType="begin"/>
    </w:r>
    <w:r>
      <w:instrText xml:space="preserve"> PAGE </w:instrText>
    </w:r>
    <w:r>
      <w:fldChar w:fldCharType="separate"/>
    </w:r>
    <w:r w:rsidR="00183AC3">
      <w:rPr>
        <w:noProof/>
      </w:rPr>
      <w:t>3</w:t>
    </w:r>
    <w:r>
      <w:fldChar w:fldCharType="end"/>
    </w:r>
  </w:p>
  <w:p w14:paraId="25826267" w14:textId="77777777" w:rsidR="00143E2D" w:rsidRDefault="00143E2D" w:rsidP="00FD7AA3">
    <w:pPr>
      <w:pStyle w:val="Header"/>
    </w:pPr>
    <w:r>
      <w:t>CMR19/16(Add.20)-</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3040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74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4666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462B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30F9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2897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3CCA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3E1B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707C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3ECB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3929"/>
    <w:rsid w:val="000A4755"/>
    <w:rsid w:val="000A55AE"/>
    <w:rsid w:val="000B2E0C"/>
    <w:rsid w:val="000B3D0C"/>
    <w:rsid w:val="000D30F7"/>
    <w:rsid w:val="000E45CC"/>
    <w:rsid w:val="001167B9"/>
    <w:rsid w:val="001267A0"/>
    <w:rsid w:val="00143E2D"/>
    <w:rsid w:val="0015203F"/>
    <w:rsid w:val="001602F3"/>
    <w:rsid w:val="00160C64"/>
    <w:rsid w:val="001725EB"/>
    <w:rsid w:val="0018169B"/>
    <w:rsid w:val="00183AC3"/>
    <w:rsid w:val="0019352B"/>
    <w:rsid w:val="001960D0"/>
    <w:rsid w:val="001A11F6"/>
    <w:rsid w:val="001C74D0"/>
    <w:rsid w:val="001F17E8"/>
    <w:rsid w:val="00204306"/>
    <w:rsid w:val="0020676C"/>
    <w:rsid w:val="002129AF"/>
    <w:rsid w:val="00232FD2"/>
    <w:rsid w:val="0026554E"/>
    <w:rsid w:val="002A4622"/>
    <w:rsid w:val="002A6F8F"/>
    <w:rsid w:val="002B17E5"/>
    <w:rsid w:val="002C0EBF"/>
    <w:rsid w:val="002C28A4"/>
    <w:rsid w:val="002D7E0A"/>
    <w:rsid w:val="00315AFE"/>
    <w:rsid w:val="003606A6"/>
    <w:rsid w:val="00363672"/>
    <w:rsid w:val="0036650C"/>
    <w:rsid w:val="0038693C"/>
    <w:rsid w:val="00393ACD"/>
    <w:rsid w:val="003A583E"/>
    <w:rsid w:val="003C3BBC"/>
    <w:rsid w:val="003D61B6"/>
    <w:rsid w:val="003E112B"/>
    <w:rsid w:val="003E1D1C"/>
    <w:rsid w:val="003E7B05"/>
    <w:rsid w:val="003F36F3"/>
    <w:rsid w:val="003F3719"/>
    <w:rsid w:val="003F6F2D"/>
    <w:rsid w:val="00466211"/>
    <w:rsid w:val="00483196"/>
    <w:rsid w:val="004834A9"/>
    <w:rsid w:val="00487A9F"/>
    <w:rsid w:val="00492FA6"/>
    <w:rsid w:val="004D01FC"/>
    <w:rsid w:val="004E28C3"/>
    <w:rsid w:val="004F1F8E"/>
    <w:rsid w:val="00512A32"/>
    <w:rsid w:val="005343DA"/>
    <w:rsid w:val="00560874"/>
    <w:rsid w:val="00586CF2"/>
    <w:rsid w:val="005A0F78"/>
    <w:rsid w:val="005A5A1D"/>
    <w:rsid w:val="005A61F4"/>
    <w:rsid w:val="005A7C75"/>
    <w:rsid w:val="005B269D"/>
    <w:rsid w:val="005C3768"/>
    <w:rsid w:val="005C6C3F"/>
    <w:rsid w:val="005F7C82"/>
    <w:rsid w:val="00613635"/>
    <w:rsid w:val="00616264"/>
    <w:rsid w:val="0062093D"/>
    <w:rsid w:val="00637ECF"/>
    <w:rsid w:val="00647B59"/>
    <w:rsid w:val="00670E32"/>
    <w:rsid w:val="00690C7B"/>
    <w:rsid w:val="006A4B45"/>
    <w:rsid w:val="006D4724"/>
    <w:rsid w:val="006F5FA2"/>
    <w:rsid w:val="0070076C"/>
    <w:rsid w:val="00701BAE"/>
    <w:rsid w:val="00720EDB"/>
    <w:rsid w:val="00721F04"/>
    <w:rsid w:val="00726B9C"/>
    <w:rsid w:val="00730E95"/>
    <w:rsid w:val="007426B9"/>
    <w:rsid w:val="00764342"/>
    <w:rsid w:val="00774362"/>
    <w:rsid w:val="00786598"/>
    <w:rsid w:val="00790C74"/>
    <w:rsid w:val="007A04E8"/>
    <w:rsid w:val="007B0E55"/>
    <w:rsid w:val="007B2C34"/>
    <w:rsid w:val="007D15B6"/>
    <w:rsid w:val="00810973"/>
    <w:rsid w:val="008272FB"/>
    <w:rsid w:val="00830086"/>
    <w:rsid w:val="00851625"/>
    <w:rsid w:val="00863C0A"/>
    <w:rsid w:val="00894F1B"/>
    <w:rsid w:val="008A3120"/>
    <w:rsid w:val="008A4B97"/>
    <w:rsid w:val="008C5B8E"/>
    <w:rsid w:val="008C5DD5"/>
    <w:rsid w:val="008D41BE"/>
    <w:rsid w:val="008D58D3"/>
    <w:rsid w:val="008E0303"/>
    <w:rsid w:val="008E3BC9"/>
    <w:rsid w:val="00923064"/>
    <w:rsid w:val="00930FFD"/>
    <w:rsid w:val="00936D25"/>
    <w:rsid w:val="00941EA5"/>
    <w:rsid w:val="00964700"/>
    <w:rsid w:val="00966C16"/>
    <w:rsid w:val="0098732F"/>
    <w:rsid w:val="009A045F"/>
    <w:rsid w:val="009A6A2B"/>
    <w:rsid w:val="009B7FA2"/>
    <w:rsid w:val="009C7E7C"/>
    <w:rsid w:val="00A00473"/>
    <w:rsid w:val="00A03C9B"/>
    <w:rsid w:val="00A37105"/>
    <w:rsid w:val="00A52D28"/>
    <w:rsid w:val="00A6044F"/>
    <w:rsid w:val="00A606C3"/>
    <w:rsid w:val="00A772AC"/>
    <w:rsid w:val="00A83B09"/>
    <w:rsid w:val="00A84541"/>
    <w:rsid w:val="00AE36A0"/>
    <w:rsid w:val="00B00294"/>
    <w:rsid w:val="00B3749C"/>
    <w:rsid w:val="00B40B75"/>
    <w:rsid w:val="00B453B3"/>
    <w:rsid w:val="00B64FD0"/>
    <w:rsid w:val="00B65E84"/>
    <w:rsid w:val="00BA5BD0"/>
    <w:rsid w:val="00BB1D82"/>
    <w:rsid w:val="00BB740C"/>
    <w:rsid w:val="00BD51C5"/>
    <w:rsid w:val="00BF26E7"/>
    <w:rsid w:val="00C53FCA"/>
    <w:rsid w:val="00C76BAF"/>
    <w:rsid w:val="00C814B9"/>
    <w:rsid w:val="00C946F3"/>
    <w:rsid w:val="00C95B56"/>
    <w:rsid w:val="00CD516F"/>
    <w:rsid w:val="00D027B1"/>
    <w:rsid w:val="00D11281"/>
    <w:rsid w:val="00D119A7"/>
    <w:rsid w:val="00D25FBA"/>
    <w:rsid w:val="00D32B28"/>
    <w:rsid w:val="00D42954"/>
    <w:rsid w:val="00D66EAC"/>
    <w:rsid w:val="00D730DF"/>
    <w:rsid w:val="00D772F0"/>
    <w:rsid w:val="00D77BDC"/>
    <w:rsid w:val="00DC402B"/>
    <w:rsid w:val="00DE0932"/>
    <w:rsid w:val="00E03A27"/>
    <w:rsid w:val="00E049F1"/>
    <w:rsid w:val="00E37A25"/>
    <w:rsid w:val="00E37C5F"/>
    <w:rsid w:val="00E537FF"/>
    <w:rsid w:val="00E6539B"/>
    <w:rsid w:val="00E70A31"/>
    <w:rsid w:val="00E723A7"/>
    <w:rsid w:val="00E94CC9"/>
    <w:rsid w:val="00E95AB0"/>
    <w:rsid w:val="00EA3F38"/>
    <w:rsid w:val="00EA5AB6"/>
    <w:rsid w:val="00EC7615"/>
    <w:rsid w:val="00ED16AA"/>
    <w:rsid w:val="00ED6B8D"/>
    <w:rsid w:val="00EE3D7B"/>
    <w:rsid w:val="00EF662E"/>
    <w:rsid w:val="00F10064"/>
    <w:rsid w:val="00F148F1"/>
    <w:rsid w:val="00F400AE"/>
    <w:rsid w:val="00F711A7"/>
    <w:rsid w:val="00F95ED3"/>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D75E85C"/>
  <w15:docId w15:val="{C5B9E184-F751-4BED-A735-FA822E16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basedOn w:val="DefaultParagraphFont"/>
    <w:unhideWhenUsed/>
    <w:rsid w:val="005B269D"/>
    <w:rPr>
      <w:color w:val="0000FF" w:themeColor="hyperlink"/>
      <w:u w:val="single"/>
    </w:rPr>
  </w:style>
  <w:style w:type="character" w:customStyle="1" w:styleId="UnresolvedMention1">
    <w:name w:val="Unresolved Mention1"/>
    <w:basedOn w:val="DefaultParagraphFont"/>
    <w:uiPriority w:val="99"/>
    <w:semiHidden/>
    <w:unhideWhenUsed/>
    <w:rsid w:val="005B269D"/>
    <w:rPr>
      <w:color w:val="605E5C"/>
      <w:shd w:val="clear" w:color="auto" w:fill="E1DFDD"/>
    </w:rPr>
  </w:style>
  <w:style w:type="character" w:styleId="CommentReference">
    <w:name w:val="annotation reference"/>
    <w:basedOn w:val="DefaultParagraphFont"/>
    <w:semiHidden/>
    <w:unhideWhenUsed/>
    <w:rsid w:val="007B0E55"/>
    <w:rPr>
      <w:sz w:val="18"/>
      <w:szCs w:val="18"/>
    </w:rPr>
  </w:style>
  <w:style w:type="paragraph" w:styleId="CommentText">
    <w:name w:val="annotation text"/>
    <w:basedOn w:val="Normal"/>
    <w:link w:val="CommentTextChar"/>
    <w:semiHidden/>
    <w:unhideWhenUsed/>
    <w:rsid w:val="007B0E55"/>
    <w:rPr>
      <w:szCs w:val="24"/>
    </w:rPr>
  </w:style>
  <w:style w:type="character" w:customStyle="1" w:styleId="CommentTextChar">
    <w:name w:val="Comment Text Char"/>
    <w:basedOn w:val="DefaultParagraphFont"/>
    <w:link w:val="CommentText"/>
    <w:semiHidden/>
    <w:rsid w:val="007B0E55"/>
    <w:rPr>
      <w:rFonts w:ascii="Times New Roman" w:hAnsi="Times New Roman"/>
      <w:sz w:val="24"/>
      <w:szCs w:val="24"/>
      <w:lang w:val="fr-FR" w:eastAsia="en-US"/>
    </w:rPr>
  </w:style>
  <w:style w:type="paragraph" w:styleId="CommentSubject">
    <w:name w:val="annotation subject"/>
    <w:basedOn w:val="CommentText"/>
    <w:next w:val="CommentText"/>
    <w:link w:val="CommentSubjectChar"/>
    <w:semiHidden/>
    <w:unhideWhenUsed/>
    <w:rsid w:val="007B0E55"/>
    <w:rPr>
      <w:b/>
      <w:bCs/>
      <w:sz w:val="20"/>
      <w:szCs w:val="20"/>
    </w:rPr>
  </w:style>
  <w:style w:type="character" w:customStyle="1" w:styleId="CommentSubjectChar">
    <w:name w:val="Comment Subject Char"/>
    <w:basedOn w:val="CommentTextChar"/>
    <w:link w:val="CommentSubject"/>
    <w:semiHidden/>
    <w:rsid w:val="007B0E55"/>
    <w:rPr>
      <w:rFonts w:ascii="Times New Roman" w:hAnsi="Times New Roman"/>
      <w:b/>
      <w:bCs/>
      <w:sz w:val="24"/>
      <w:szCs w:val="24"/>
      <w:lang w:val="fr-FR" w:eastAsia="en-US"/>
    </w:rPr>
  </w:style>
  <w:style w:type="paragraph" w:styleId="Revision">
    <w:name w:val="Revision"/>
    <w:hidden/>
    <w:uiPriority w:val="99"/>
    <w:semiHidden/>
    <w:rsid w:val="007B0E55"/>
    <w:rPr>
      <w:rFonts w:ascii="Times New Roman" w:hAnsi="Times New Roman"/>
      <w:sz w:val="24"/>
      <w:lang w:val="fr-FR" w:eastAsia="en-US"/>
    </w:rPr>
  </w:style>
  <w:style w:type="paragraph" w:styleId="BalloonText">
    <w:name w:val="Balloon Text"/>
    <w:basedOn w:val="Normal"/>
    <w:link w:val="BalloonTextChar"/>
    <w:semiHidden/>
    <w:unhideWhenUsed/>
    <w:rsid w:val="007B0E55"/>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7B0E55"/>
    <w:rPr>
      <w:rFonts w:ascii="Lucida Grande" w:hAnsi="Lucida Grande" w:cs="Lucida Grande"/>
      <w:sz w:val="18"/>
      <w:szCs w:val="18"/>
      <w:lang w:val="fr-FR" w:eastAsia="en-US"/>
    </w:rPr>
  </w:style>
  <w:style w:type="character" w:styleId="FollowedHyperlink">
    <w:name w:val="FollowedHyperlink"/>
    <w:basedOn w:val="DefaultParagraphFont"/>
    <w:semiHidden/>
    <w:unhideWhenUsed/>
    <w:rsid w:val="00B453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15-WRC15-C-0142/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R16-WRC19-C-0016!A20!MSW-F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0F518B-2ED3-4580-82E8-2C402FEF4547}">
  <ds:schemaRefs>
    <ds:schemaRef ds:uri="http://schemas.microsoft.com/sharepoint/v3/contenttype/forms"/>
  </ds:schemaRefs>
</ds:datastoreItem>
</file>

<file path=customXml/itemProps2.xml><?xml version="1.0" encoding="utf-8"?>
<ds:datastoreItem xmlns:ds="http://schemas.openxmlformats.org/officeDocument/2006/customXml" ds:itemID="{D1865EB6-A72B-47BA-A283-E4D06F02030C}">
  <ds:schemaRefs>
    <ds:schemaRef ds:uri="http://schemas.microsoft.com/office/2006/metadata/properties"/>
    <ds:schemaRef ds:uri="http://schemas.openxmlformats.org/package/2006/metadata/core-properties"/>
    <ds:schemaRef ds:uri="996b2e75-67fd-4955-a3b0-5ab9934cb50b"/>
    <ds:schemaRef ds:uri="http://purl.org/dc/dcmitype/"/>
    <ds:schemaRef ds:uri="http://purl.org/dc/terms/"/>
    <ds:schemaRef ds:uri="32a1a8c5-2265-4ebc-b7a0-2071e2c5c9bb"/>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A91DD9E-E143-4DE9-B567-FC40A6D58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965</Words>
  <Characters>5244</Characters>
  <Application>Microsoft Office Word</Application>
  <DocSecurity>0</DocSecurity>
  <Lines>100</Lines>
  <Paragraphs>37</Paragraphs>
  <ScaleCrop>false</ScaleCrop>
  <HeadingPairs>
    <vt:vector size="2" baseType="variant">
      <vt:variant>
        <vt:lpstr>Title</vt:lpstr>
      </vt:variant>
      <vt:variant>
        <vt:i4>1</vt:i4>
      </vt:variant>
    </vt:vector>
  </HeadingPairs>
  <TitlesOfParts>
    <vt:vector size="1" baseType="lpstr">
      <vt:lpstr>R16-WRC19-C-0016!A20!MSW-F</vt:lpstr>
    </vt:vector>
  </TitlesOfParts>
  <Manager>Secrétariat général - Pool</Manager>
  <Company>Union internationale des télécommunications (UIT)</Company>
  <LinksUpToDate>false</LinksUpToDate>
  <CharactersWithSpaces>6172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R16-WRC19-C-0016!A20!MSW-F</dc:title>
  <dc:subject>Conférence mondiale des radiocommunications - 2019</dc:subject>
  <dc:creator>Documents Proposals Manager (DPM)</dc:creator>
  <cp:keywords>DPM_v2019.10.8.1_prod</cp:keywords>
  <dc:description/>
  <cp:lastModifiedBy>Royer, Veronique</cp:lastModifiedBy>
  <cp:revision>10</cp:revision>
  <cp:lastPrinted>2019-10-14T12:10:00Z</cp:lastPrinted>
  <dcterms:created xsi:type="dcterms:W3CDTF">2019-10-14T08:25:00Z</dcterms:created>
  <dcterms:modified xsi:type="dcterms:W3CDTF">2019-10-14T12:10:00Z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