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6879A9" w14:paraId="6DA3C517" w14:textId="77777777" w:rsidTr="0050008E">
        <w:trPr>
          <w:cantSplit/>
        </w:trPr>
        <w:tc>
          <w:tcPr>
            <w:tcW w:w="6911" w:type="dxa"/>
          </w:tcPr>
          <w:p w14:paraId="473D2860" w14:textId="77777777" w:rsidR="00BB1D82" w:rsidRPr="006879A9" w:rsidRDefault="00851625" w:rsidP="006002F7">
            <w:pPr>
              <w:spacing w:before="400" w:after="48"/>
              <w:rPr>
                <w:rFonts w:ascii="Verdana" w:hAnsi="Verdana"/>
                <w:b/>
                <w:bCs/>
                <w:sz w:val="20"/>
              </w:rPr>
            </w:pPr>
            <w:r w:rsidRPr="006879A9">
              <w:rPr>
                <w:rFonts w:ascii="Verdana" w:hAnsi="Verdana"/>
                <w:b/>
                <w:bCs/>
                <w:sz w:val="20"/>
              </w:rPr>
              <w:t>Conférence mondiale des radiocommunications (CMR-1</w:t>
            </w:r>
            <w:r w:rsidR="00FD7AA3" w:rsidRPr="006879A9">
              <w:rPr>
                <w:rFonts w:ascii="Verdana" w:hAnsi="Verdana"/>
                <w:b/>
                <w:bCs/>
                <w:sz w:val="20"/>
              </w:rPr>
              <w:t>9</w:t>
            </w:r>
            <w:r w:rsidRPr="006879A9">
              <w:rPr>
                <w:rFonts w:ascii="Verdana" w:hAnsi="Verdana"/>
                <w:b/>
                <w:bCs/>
                <w:sz w:val="20"/>
              </w:rPr>
              <w:t>)</w:t>
            </w:r>
            <w:r w:rsidRPr="006879A9">
              <w:rPr>
                <w:rFonts w:ascii="Verdana" w:hAnsi="Verdana"/>
                <w:b/>
                <w:bCs/>
                <w:sz w:val="20"/>
              </w:rPr>
              <w:br/>
            </w:r>
            <w:proofErr w:type="spellStart"/>
            <w:r w:rsidR="00063A1F" w:rsidRPr="006879A9">
              <w:rPr>
                <w:rFonts w:ascii="Verdana" w:hAnsi="Verdana"/>
                <w:b/>
                <w:bCs/>
                <w:sz w:val="18"/>
                <w:szCs w:val="18"/>
              </w:rPr>
              <w:t>Charm</w:t>
            </w:r>
            <w:proofErr w:type="spellEnd"/>
            <w:r w:rsidR="00063A1F" w:rsidRPr="006879A9">
              <w:rPr>
                <w:rFonts w:ascii="Verdana" w:hAnsi="Verdana"/>
                <w:b/>
                <w:bCs/>
                <w:sz w:val="18"/>
                <w:szCs w:val="18"/>
              </w:rPr>
              <w:t xml:space="preserve"> el-Cheikh, </w:t>
            </w:r>
            <w:r w:rsidR="00081366" w:rsidRPr="006879A9">
              <w:rPr>
                <w:rFonts w:ascii="Verdana" w:hAnsi="Verdana"/>
                <w:b/>
                <w:bCs/>
                <w:sz w:val="18"/>
                <w:szCs w:val="18"/>
              </w:rPr>
              <w:t>É</w:t>
            </w:r>
            <w:r w:rsidR="00063A1F" w:rsidRPr="006879A9">
              <w:rPr>
                <w:rFonts w:ascii="Verdana" w:hAnsi="Verdana"/>
                <w:b/>
                <w:bCs/>
                <w:sz w:val="18"/>
                <w:szCs w:val="18"/>
              </w:rPr>
              <w:t>gypte</w:t>
            </w:r>
            <w:r w:rsidRPr="006879A9">
              <w:rPr>
                <w:rFonts w:ascii="Verdana" w:hAnsi="Verdana"/>
                <w:b/>
                <w:bCs/>
                <w:sz w:val="18"/>
                <w:szCs w:val="18"/>
              </w:rPr>
              <w:t>,</w:t>
            </w:r>
            <w:r w:rsidR="00E537FF" w:rsidRPr="006879A9">
              <w:rPr>
                <w:rFonts w:ascii="Verdana" w:hAnsi="Verdana"/>
                <w:b/>
                <w:bCs/>
                <w:sz w:val="18"/>
                <w:szCs w:val="18"/>
              </w:rPr>
              <w:t xml:space="preserve"> </w:t>
            </w:r>
            <w:r w:rsidRPr="006879A9">
              <w:rPr>
                <w:rFonts w:ascii="Verdana" w:hAnsi="Verdana"/>
                <w:b/>
                <w:bCs/>
                <w:sz w:val="18"/>
                <w:szCs w:val="18"/>
              </w:rPr>
              <w:t>2</w:t>
            </w:r>
            <w:r w:rsidR="00FD7AA3" w:rsidRPr="006879A9">
              <w:rPr>
                <w:rFonts w:ascii="Verdana" w:hAnsi="Verdana"/>
                <w:b/>
                <w:bCs/>
                <w:sz w:val="18"/>
                <w:szCs w:val="18"/>
              </w:rPr>
              <w:t xml:space="preserve">8 octobre </w:t>
            </w:r>
            <w:r w:rsidR="00F10064" w:rsidRPr="006879A9">
              <w:rPr>
                <w:rFonts w:ascii="Verdana" w:hAnsi="Verdana"/>
                <w:b/>
                <w:bCs/>
                <w:sz w:val="18"/>
                <w:szCs w:val="18"/>
              </w:rPr>
              <w:t>–</w:t>
            </w:r>
            <w:r w:rsidR="00FD7AA3" w:rsidRPr="006879A9">
              <w:rPr>
                <w:rFonts w:ascii="Verdana" w:hAnsi="Verdana"/>
                <w:b/>
                <w:bCs/>
                <w:sz w:val="18"/>
                <w:szCs w:val="18"/>
              </w:rPr>
              <w:t xml:space="preserve"> </w:t>
            </w:r>
            <w:r w:rsidRPr="006879A9">
              <w:rPr>
                <w:rFonts w:ascii="Verdana" w:hAnsi="Verdana"/>
                <w:b/>
                <w:bCs/>
                <w:sz w:val="18"/>
                <w:szCs w:val="18"/>
              </w:rPr>
              <w:t>2</w:t>
            </w:r>
            <w:r w:rsidR="00FD7AA3" w:rsidRPr="006879A9">
              <w:rPr>
                <w:rFonts w:ascii="Verdana" w:hAnsi="Verdana"/>
                <w:b/>
                <w:bCs/>
                <w:sz w:val="18"/>
                <w:szCs w:val="18"/>
              </w:rPr>
              <w:t>2</w:t>
            </w:r>
            <w:r w:rsidRPr="006879A9">
              <w:rPr>
                <w:rFonts w:ascii="Verdana" w:hAnsi="Verdana"/>
                <w:b/>
                <w:bCs/>
                <w:sz w:val="18"/>
                <w:szCs w:val="18"/>
              </w:rPr>
              <w:t xml:space="preserve"> novembre 201</w:t>
            </w:r>
            <w:r w:rsidR="00FD7AA3" w:rsidRPr="006879A9">
              <w:rPr>
                <w:rFonts w:ascii="Verdana" w:hAnsi="Verdana"/>
                <w:b/>
                <w:bCs/>
                <w:sz w:val="18"/>
                <w:szCs w:val="18"/>
              </w:rPr>
              <w:t>9</w:t>
            </w:r>
          </w:p>
        </w:tc>
        <w:tc>
          <w:tcPr>
            <w:tcW w:w="3120" w:type="dxa"/>
          </w:tcPr>
          <w:p w14:paraId="1042CC49" w14:textId="77777777" w:rsidR="00BB1D82" w:rsidRPr="006879A9" w:rsidRDefault="000A55AE" w:rsidP="006002F7">
            <w:pPr>
              <w:spacing w:before="0"/>
              <w:jc w:val="right"/>
            </w:pPr>
            <w:r w:rsidRPr="006879A9">
              <w:rPr>
                <w:rFonts w:ascii="Verdana" w:hAnsi="Verdana"/>
                <w:b/>
                <w:bCs/>
                <w:noProof/>
                <w:lang w:eastAsia="zh-CN"/>
              </w:rPr>
              <w:drawing>
                <wp:inline distT="0" distB="0" distL="0" distR="0" wp14:anchorId="11425E3A" wp14:editId="3A258B72">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6879A9" w14:paraId="7BD7411B" w14:textId="77777777" w:rsidTr="0050008E">
        <w:trPr>
          <w:cantSplit/>
        </w:trPr>
        <w:tc>
          <w:tcPr>
            <w:tcW w:w="6911" w:type="dxa"/>
            <w:tcBorders>
              <w:bottom w:val="single" w:sz="12" w:space="0" w:color="auto"/>
            </w:tcBorders>
          </w:tcPr>
          <w:p w14:paraId="3ECCE284" w14:textId="77777777" w:rsidR="00BB1D82" w:rsidRPr="006879A9" w:rsidRDefault="00BB1D82" w:rsidP="006002F7">
            <w:pPr>
              <w:spacing w:before="0" w:after="48"/>
              <w:rPr>
                <w:b/>
                <w:smallCaps/>
                <w:szCs w:val="24"/>
              </w:rPr>
            </w:pPr>
            <w:bookmarkStart w:id="0" w:name="dhead"/>
          </w:p>
        </w:tc>
        <w:tc>
          <w:tcPr>
            <w:tcW w:w="3120" w:type="dxa"/>
            <w:tcBorders>
              <w:bottom w:val="single" w:sz="12" w:space="0" w:color="auto"/>
            </w:tcBorders>
          </w:tcPr>
          <w:p w14:paraId="551AAFCD" w14:textId="77777777" w:rsidR="00BB1D82" w:rsidRPr="006879A9" w:rsidRDefault="00BB1D82" w:rsidP="006002F7">
            <w:pPr>
              <w:spacing w:before="0"/>
              <w:rPr>
                <w:rFonts w:ascii="Verdana" w:hAnsi="Verdana"/>
                <w:szCs w:val="24"/>
              </w:rPr>
            </w:pPr>
          </w:p>
        </w:tc>
      </w:tr>
      <w:tr w:rsidR="00BB1D82" w:rsidRPr="006879A9" w14:paraId="1F129143" w14:textId="77777777" w:rsidTr="00BB1D82">
        <w:trPr>
          <w:cantSplit/>
        </w:trPr>
        <w:tc>
          <w:tcPr>
            <w:tcW w:w="6911" w:type="dxa"/>
            <w:tcBorders>
              <w:top w:val="single" w:sz="12" w:space="0" w:color="auto"/>
            </w:tcBorders>
          </w:tcPr>
          <w:p w14:paraId="0BE9AFC2" w14:textId="77777777" w:rsidR="00BB1D82" w:rsidRPr="006879A9" w:rsidRDefault="00BB1D82" w:rsidP="006002F7">
            <w:pPr>
              <w:spacing w:before="0" w:after="48"/>
              <w:rPr>
                <w:rFonts w:ascii="Verdana" w:hAnsi="Verdana"/>
                <w:b/>
                <w:smallCaps/>
                <w:sz w:val="20"/>
              </w:rPr>
            </w:pPr>
          </w:p>
        </w:tc>
        <w:tc>
          <w:tcPr>
            <w:tcW w:w="3120" w:type="dxa"/>
            <w:tcBorders>
              <w:top w:val="single" w:sz="12" w:space="0" w:color="auto"/>
            </w:tcBorders>
          </w:tcPr>
          <w:p w14:paraId="1F085E33" w14:textId="77777777" w:rsidR="00BB1D82" w:rsidRPr="006879A9" w:rsidRDefault="00BB1D82" w:rsidP="006002F7">
            <w:pPr>
              <w:spacing w:before="0"/>
              <w:rPr>
                <w:rFonts w:ascii="Verdana" w:hAnsi="Verdana"/>
                <w:sz w:val="20"/>
              </w:rPr>
            </w:pPr>
          </w:p>
        </w:tc>
      </w:tr>
      <w:tr w:rsidR="00BB1D82" w:rsidRPr="006879A9" w14:paraId="1A69FDBC" w14:textId="77777777" w:rsidTr="00BB1D82">
        <w:trPr>
          <w:cantSplit/>
        </w:trPr>
        <w:tc>
          <w:tcPr>
            <w:tcW w:w="6911" w:type="dxa"/>
          </w:tcPr>
          <w:p w14:paraId="265B7CCD" w14:textId="77777777" w:rsidR="00BB1D82" w:rsidRPr="006879A9" w:rsidRDefault="006D4724" w:rsidP="006002F7">
            <w:pPr>
              <w:spacing w:before="0"/>
              <w:rPr>
                <w:rFonts w:ascii="Verdana" w:hAnsi="Verdana"/>
                <w:b/>
                <w:sz w:val="20"/>
              </w:rPr>
            </w:pPr>
            <w:r w:rsidRPr="006879A9">
              <w:rPr>
                <w:rFonts w:ascii="Verdana" w:hAnsi="Verdana"/>
                <w:b/>
                <w:sz w:val="20"/>
              </w:rPr>
              <w:t>SÉANCE PLÉNIÈRE</w:t>
            </w:r>
          </w:p>
        </w:tc>
        <w:tc>
          <w:tcPr>
            <w:tcW w:w="3120" w:type="dxa"/>
          </w:tcPr>
          <w:p w14:paraId="1ECF8690" w14:textId="77777777" w:rsidR="00BB1D82" w:rsidRPr="006879A9" w:rsidRDefault="006D4724" w:rsidP="006002F7">
            <w:pPr>
              <w:spacing w:before="0"/>
              <w:rPr>
                <w:rFonts w:ascii="Verdana" w:hAnsi="Verdana"/>
                <w:sz w:val="20"/>
              </w:rPr>
            </w:pPr>
            <w:r w:rsidRPr="006879A9">
              <w:rPr>
                <w:rFonts w:ascii="Verdana" w:hAnsi="Verdana"/>
                <w:b/>
                <w:sz w:val="20"/>
              </w:rPr>
              <w:t>Addendum 5 au</w:t>
            </w:r>
            <w:r w:rsidRPr="006879A9">
              <w:rPr>
                <w:rFonts w:ascii="Verdana" w:hAnsi="Verdana"/>
                <w:b/>
                <w:sz w:val="20"/>
              </w:rPr>
              <w:br/>
              <w:t>Document 16(Add.16)</w:t>
            </w:r>
            <w:r w:rsidR="00BB1D82" w:rsidRPr="006879A9">
              <w:rPr>
                <w:rFonts w:ascii="Verdana" w:hAnsi="Verdana"/>
                <w:b/>
                <w:sz w:val="20"/>
              </w:rPr>
              <w:t>-</w:t>
            </w:r>
            <w:r w:rsidRPr="006879A9">
              <w:rPr>
                <w:rFonts w:ascii="Verdana" w:hAnsi="Verdana"/>
                <w:b/>
                <w:sz w:val="20"/>
              </w:rPr>
              <w:t>F</w:t>
            </w:r>
          </w:p>
        </w:tc>
      </w:tr>
      <w:bookmarkEnd w:id="0"/>
      <w:tr w:rsidR="00690C7B" w:rsidRPr="006879A9" w14:paraId="0D5C0E1E" w14:textId="77777777" w:rsidTr="00BB1D82">
        <w:trPr>
          <w:cantSplit/>
        </w:trPr>
        <w:tc>
          <w:tcPr>
            <w:tcW w:w="6911" w:type="dxa"/>
          </w:tcPr>
          <w:p w14:paraId="6F37CA58" w14:textId="77777777" w:rsidR="00690C7B" w:rsidRPr="006879A9" w:rsidRDefault="00690C7B" w:rsidP="006002F7">
            <w:pPr>
              <w:spacing w:before="0"/>
              <w:rPr>
                <w:rFonts w:ascii="Verdana" w:hAnsi="Verdana"/>
                <w:b/>
                <w:sz w:val="20"/>
              </w:rPr>
            </w:pPr>
          </w:p>
        </w:tc>
        <w:tc>
          <w:tcPr>
            <w:tcW w:w="3120" w:type="dxa"/>
          </w:tcPr>
          <w:p w14:paraId="4A5A82E3" w14:textId="77777777" w:rsidR="00690C7B" w:rsidRPr="006879A9" w:rsidRDefault="00690C7B" w:rsidP="006002F7">
            <w:pPr>
              <w:spacing w:before="0"/>
              <w:rPr>
                <w:rFonts w:ascii="Verdana" w:hAnsi="Verdana"/>
                <w:b/>
                <w:sz w:val="20"/>
              </w:rPr>
            </w:pPr>
            <w:r w:rsidRPr="006879A9">
              <w:rPr>
                <w:rFonts w:ascii="Verdana" w:hAnsi="Verdana"/>
                <w:b/>
                <w:sz w:val="20"/>
              </w:rPr>
              <w:t>4 octobre 2019</w:t>
            </w:r>
          </w:p>
        </w:tc>
      </w:tr>
      <w:tr w:rsidR="00690C7B" w:rsidRPr="006879A9" w14:paraId="7BB6098B" w14:textId="77777777" w:rsidTr="00BB1D82">
        <w:trPr>
          <w:cantSplit/>
        </w:trPr>
        <w:tc>
          <w:tcPr>
            <w:tcW w:w="6911" w:type="dxa"/>
          </w:tcPr>
          <w:p w14:paraId="1F964B99" w14:textId="77777777" w:rsidR="00690C7B" w:rsidRPr="006879A9" w:rsidRDefault="00690C7B" w:rsidP="006002F7">
            <w:pPr>
              <w:spacing w:before="0" w:after="48"/>
              <w:rPr>
                <w:rFonts w:ascii="Verdana" w:hAnsi="Verdana"/>
                <w:b/>
                <w:smallCaps/>
                <w:sz w:val="20"/>
              </w:rPr>
            </w:pPr>
          </w:p>
        </w:tc>
        <w:tc>
          <w:tcPr>
            <w:tcW w:w="3120" w:type="dxa"/>
          </w:tcPr>
          <w:p w14:paraId="63DEF6FC" w14:textId="77777777" w:rsidR="00690C7B" w:rsidRPr="006879A9" w:rsidRDefault="00690C7B" w:rsidP="006002F7">
            <w:pPr>
              <w:spacing w:before="0"/>
              <w:rPr>
                <w:rFonts w:ascii="Verdana" w:hAnsi="Verdana"/>
                <w:b/>
                <w:sz w:val="20"/>
              </w:rPr>
            </w:pPr>
            <w:r w:rsidRPr="006879A9">
              <w:rPr>
                <w:rFonts w:ascii="Verdana" w:hAnsi="Verdana"/>
                <w:b/>
                <w:sz w:val="20"/>
              </w:rPr>
              <w:t>Original: anglais</w:t>
            </w:r>
          </w:p>
        </w:tc>
      </w:tr>
      <w:tr w:rsidR="00690C7B" w:rsidRPr="006879A9" w14:paraId="3A283204" w14:textId="77777777" w:rsidTr="00C11970">
        <w:trPr>
          <w:cantSplit/>
        </w:trPr>
        <w:tc>
          <w:tcPr>
            <w:tcW w:w="10031" w:type="dxa"/>
            <w:gridSpan w:val="2"/>
          </w:tcPr>
          <w:p w14:paraId="11991E32" w14:textId="77777777" w:rsidR="00690C7B" w:rsidRPr="006879A9" w:rsidRDefault="00690C7B" w:rsidP="006002F7">
            <w:pPr>
              <w:spacing w:before="0"/>
              <w:rPr>
                <w:rFonts w:ascii="Verdana" w:hAnsi="Verdana"/>
                <w:b/>
                <w:sz w:val="20"/>
              </w:rPr>
            </w:pPr>
          </w:p>
        </w:tc>
      </w:tr>
      <w:tr w:rsidR="00690C7B" w:rsidRPr="006879A9" w14:paraId="10F0CA28" w14:textId="77777777" w:rsidTr="0050008E">
        <w:trPr>
          <w:cantSplit/>
        </w:trPr>
        <w:tc>
          <w:tcPr>
            <w:tcW w:w="10031" w:type="dxa"/>
            <w:gridSpan w:val="2"/>
          </w:tcPr>
          <w:p w14:paraId="331392BA" w14:textId="77777777" w:rsidR="00690C7B" w:rsidRPr="006879A9" w:rsidRDefault="00690C7B" w:rsidP="006002F7">
            <w:pPr>
              <w:pStyle w:val="Source"/>
            </w:pPr>
            <w:bookmarkStart w:id="1" w:name="dsource" w:colFirst="0" w:colLast="0"/>
            <w:r w:rsidRPr="006879A9">
              <w:t>Propositions eu</w:t>
            </w:r>
            <w:bookmarkStart w:id="2" w:name="_GoBack"/>
            <w:bookmarkEnd w:id="2"/>
            <w:r w:rsidRPr="006879A9">
              <w:t>ropéennes communes</w:t>
            </w:r>
          </w:p>
        </w:tc>
      </w:tr>
      <w:tr w:rsidR="00690C7B" w:rsidRPr="006879A9" w14:paraId="003AB97B" w14:textId="77777777" w:rsidTr="0050008E">
        <w:trPr>
          <w:cantSplit/>
        </w:trPr>
        <w:tc>
          <w:tcPr>
            <w:tcW w:w="10031" w:type="dxa"/>
            <w:gridSpan w:val="2"/>
          </w:tcPr>
          <w:p w14:paraId="0088192E" w14:textId="77777777" w:rsidR="00690C7B" w:rsidRPr="006879A9" w:rsidRDefault="00690C7B" w:rsidP="006002F7">
            <w:pPr>
              <w:pStyle w:val="Title1"/>
            </w:pPr>
            <w:bookmarkStart w:id="3" w:name="dtitle1" w:colFirst="0" w:colLast="0"/>
            <w:bookmarkEnd w:id="1"/>
            <w:r w:rsidRPr="006879A9">
              <w:t>Propositions pour les travaux de la conférence</w:t>
            </w:r>
          </w:p>
        </w:tc>
      </w:tr>
      <w:tr w:rsidR="00690C7B" w:rsidRPr="006879A9" w14:paraId="21AED922" w14:textId="77777777" w:rsidTr="0050008E">
        <w:trPr>
          <w:cantSplit/>
        </w:trPr>
        <w:tc>
          <w:tcPr>
            <w:tcW w:w="10031" w:type="dxa"/>
            <w:gridSpan w:val="2"/>
          </w:tcPr>
          <w:p w14:paraId="67EA46E6" w14:textId="77777777" w:rsidR="00690C7B" w:rsidRPr="006879A9" w:rsidRDefault="00690C7B" w:rsidP="006002F7">
            <w:pPr>
              <w:pStyle w:val="Title2"/>
            </w:pPr>
            <w:bookmarkStart w:id="4" w:name="dtitle2" w:colFirst="0" w:colLast="0"/>
            <w:bookmarkEnd w:id="3"/>
          </w:p>
        </w:tc>
      </w:tr>
      <w:tr w:rsidR="00690C7B" w:rsidRPr="006879A9" w14:paraId="0528AC58" w14:textId="77777777" w:rsidTr="0050008E">
        <w:trPr>
          <w:cantSplit/>
        </w:trPr>
        <w:tc>
          <w:tcPr>
            <w:tcW w:w="10031" w:type="dxa"/>
            <w:gridSpan w:val="2"/>
          </w:tcPr>
          <w:p w14:paraId="4BCCA6D2" w14:textId="77777777" w:rsidR="00690C7B" w:rsidRPr="006879A9" w:rsidRDefault="00690C7B" w:rsidP="006002F7">
            <w:pPr>
              <w:pStyle w:val="Agendaitem"/>
              <w:rPr>
                <w:lang w:val="fr-FR"/>
              </w:rPr>
            </w:pPr>
            <w:bookmarkStart w:id="5" w:name="dtitle3" w:colFirst="0" w:colLast="0"/>
            <w:bookmarkEnd w:id="4"/>
            <w:r w:rsidRPr="006879A9">
              <w:rPr>
                <w:lang w:val="fr-FR"/>
              </w:rPr>
              <w:t>Point 1.16 de l'ordre du jour</w:t>
            </w:r>
          </w:p>
        </w:tc>
      </w:tr>
    </w:tbl>
    <w:bookmarkEnd w:id="5"/>
    <w:p w14:paraId="04686E95" w14:textId="77777777" w:rsidR="001C0E40" w:rsidRPr="006879A9" w:rsidRDefault="00EA737C" w:rsidP="004B2916">
      <w:pPr>
        <w:pStyle w:val="Normalaftertitle"/>
      </w:pPr>
      <w:r w:rsidRPr="006879A9">
        <w:t>1.16</w:t>
      </w:r>
      <w:r w:rsidRPr="006879A9">
        <w:tab/>
        <w:t xml:space="preserve">examiner les questions relatives aux systèmes d'accès hertzien, y compris les réseaux locaux hertziens (WAS/RLAN), dans les bandes de fréquences comprises entre 5 150 MHz et 5 925 MHz, et prendre les mesures réglementaires appropriées, y compris des attributions de fréquences additionnelles au service mobile, conformément à la Résolution </w:t>
      </w:r>
      <w:r w:rsidRPr="006879A9">
        <w:rPr>
          <w:b/>
          <w:bCs/>
        </w:rPr>
        <w:t>239 (CMR-15)</w:t>
      </w:r>
      <w:r w:rsidRPr="006879A9">
        <w:t>;</w:t>
      </w:r>
    </w:p>
    <w:p w14:paraId="64C3DDFB" w14:textId="1C69F1C4" w:rsidR="00EA737C" w:rsidRPr="006879A9" w:rsidRDefault="00EA737C" w:rsidP="004B2916">
      <w:pPr>
        <w:pStyle w:val="Title4"/>
      </w:pPr>
      <w:r w:rsidRPr="006879A9">
        <w:t>Part</w:t>
      </w:r>
      <w:r w:rsidR="00523477" w:rsidRPr="006879A9">
        <w:t>ie</w:t>
      </w:r>
      <w:r w:rsidRPr="006879A9">
        <w:t xml:space="preserve"> 5 –</w:t>
      </w:r>
      <w:r w:rsidR="004B2916">
        <w:t xml:space="preserve"> </w:t>
      </w:r>
      <w:r w:rsidR="00523477" w:rsidRPr="006879A9">
        <w:t xml:space="preserve">Bande de fréquences </w:t>
      </w:r>
      <w:r w:rsidRPr="006879A9">
        <w:t>5 850-5 925 MHz</w:t>
      </w:r>
    </w:p>
    <w:p w14:paraId="4927DB85" w14:textId="760DA8B1" w:rsidR="00EA737C" w:rsidRPr="006879A9" w:rsidRDefault="00EA737C" w:rsidP="006002F7">
      <w:pPr>
        <w:pStyle w:val="Headingb"/>
      </w:pPr>
      <w:r w:rsidRPr="006879A9">
        <w:t>Introduction</w:t>
      </w:r>
    </w:p>
    <w:p w14:paraId="191D6864" w14:textId="614927F3" w:rsidR="00EA737C" w:rsidRPr="006879A9" w:rsidRDefault="00523477" w:rsidP="006002F7">
      <w:r w:rsidRPr="006879A9">
        <w:t xml:space="preserve">Dans la bande </w:t>
      </w:r>
      <w:r w:rsidR="00EA737C" w:rsidRPr="006879A9">
        <w:t xml:space="preserve">5 850-5 925 MHz, </w:t>
      </w:r>
      <w:r w:rsidRPr="006879A9">
        <w:t>le service mobile bénéficie d</w:t>
      </w:r>
      <w:r w:rsidR="006002F7" w:rsidRPr="006879A9">
        <w:t>'</w:t>
      </w:r>
      <w:r w:rsidRPr="006879A9">
        <w:t xml:space="preserve">une attribution à titre primaire avec égalité des droits avec le service fixe et le service fixe par satellite </w:t>
      </w:r>
      <w:r w:rsidR="00EA737C" w:rsidRPr="006879A9">
        <w:t>(</w:t>
      </w:r>
      <w:r w:rsidRPr="006879A9">
        <w:t>SFS</w:t>
      </w:r>
      <w:r w:rsidR="00EA737C" w:rsidRPr="006879A9">
        <w:t>).</w:t>
      </w:r>
    </w:p>
    <w:p w14:paraId="183A8D76" w14:textId="111C1B03" w:rsidR="00EA737C" w:rsidRPr="006879A9" w:rsidRDefault="00523477" w:rsidP="006002F7">
      <w:r w:rsidRPr="006879A9">
        <w:t>En Europe, il existe une Décision de la Commission européenne sur la mise à disposition, sur une base non exclusive, d</w:t>
      </w:r>
      <w:r w:rsidR="006002F7" w:rsidRPr="006879A9">
        <w:t>'</w:t>
      </w:r>
      <w:r w:rsidRPr="006879A9">
        <w:t>une bande de fréquences pour les systèmes de transport intelligents (ITS) dans le cadre de l</w:t>
      </w:r>
      <w:r w:rsidR="006002F7" w:rsidRPr="006879A9">
        <w:t>'</w:t>
      </w:r>
      <w:r w:rsidRPr="006879A9">
        <w:t>attribution existante à titre primaire au service mobile et de la</w:t>
      </w:r>
      <w:r w:rsidR="00EA737C" w:rsidRPr="006879A9">
        <w:t xml:space="preserve"> CEPT. </w:t>
      </w:r>
      <w:r w:rsidRPr="006879A9">
        <w:t>Il ressort des résultats actuels des études effectuées</w:t>
      </w:r>
      <w:r w:rsidR="00841BFF" w:rsidRPr="006879A9">
        <w:t xml:space="preserve"> en Europe</w:t>
      </w:r>
      <w:r w:rsidRPr="006879A9">
        <w:t xml:space="preserve"> qu</w:t>
      </w:r>
      <w:r w:rsidR="006002F7" w:rsidRPr="006879A9">
        <w:t>'</w:t>
      </w:r>
      <w:r w:rsidRPr="006879A9">
        <w:t>aucune des techniques d</w:t>
      </w:r>
      <w:r w:rsidR="006002F7" w:rsidRPr="006879A9">
        <w:t>'</w:t>
      </w:r>
      <w:r w:rsidRPr="006879A9">
        <w:t xml:space="preserve">atténuation des brouillages étudiées ne suffit à elle seule à protéger les systèmes ITS contre les brouillages causés par les systèmes </w:t>
      </w:r>
      <w:r w:rsidR="00EA737C" w:rsidRPr="006879A9">
        <w:t>WAS/RLAN</w:t>
      </w:r>
      <w:r w:rsidRPr="006879A9">
        <w:t>, de sorte que la question appelle un complément d</w:t>
      </w:r>
      <w:r w:rsidR="006002F7" w:rsidRPr="006879A9">
        <w:t>'</w:t>
      </w:r>
      <w:r w:rsidRPr="006879A9">
        <w:t>étude. En outre, la</w:t>
      </w:r>
      <w:r w:rsidR="004B2916">
        <w:t> </w:t>
      </w:r>
      <w:r w:rsidRPr="006879A9">
        <w:t>CEPT examine le principe de l</w:t>
      </w:r>
      <w:r w:rsidR="006002F7" w:rsidRPr="006879A9">
        <w:t>'</w:t>
      </w:r>
      <w:r w:rsidRPr="006879A9">
        <w:t>égalité d</w:t>
      </w:r>
      <w:r w:rsidR="006002F7" w:rsidRPr="006879A9">
        <w:t>'</w:t>
      </w:r>
      <w:r w:rsidRPr="006879A9">
        <w:t xml:space="preserve">accès à des bandes de fréquences utilisées en partage pour les systèmes ferroviaires urbains dans une partie de cette bande, pour ce qui est des systèmes </w:t>
      </w:r>
      <w:r w:rsidR="00EA737C" w:rsidRPr="006879A9">
        <w:t xml:space="preserve">ITS. </w:t>
      </w:r>
      <w:r w:rsidRPr="006879A9">
        <w:t>La bande 5</w:t>
      </w:r>
      <w:r w:rsidR="00841BFF" w:rsidRPr="006879A9">
        <w:t> </w:t>
      </w:r>
      <w:r w:rsidRPr="006879A9">
        <w:t>725</w:t>
      </w:r>
      <w:r w:rsidR="00841BFF" w:rsidRPr="006879A9">
        <w:noBreakHyphen/>
      </w:r>
      <w:r w:rsidRPr="006879A9">
        <w:t>5</w:t>
      </w:r>
      <w:r w:rsidR="00841BFF" w:rsidRPr="006879A9">
        <w:t> </w:t>
      </w:r>
      <w:r w:rsidRPr="006879A9">
        <w:t>875</w:t>
      </w:r>
      <w:r w:rsidR="00841BFF" w:rsidRPr="006879A9">
        <w:t> </w:t>
      </w:r>
      <w:r w:rsidRPr="006879A9">
        <w:t>MHz est également désignée comme bande</w:t>
      </w:r>
      <w:r w:rsidRPr="006879A9">
        <w:rPr>
          <w:color w:val="000000"/>
        </w:rPr>
        <w:t xml:space="preserve"> utilisable par les applications industrielles, scientifiques et médicales (ISM) dans le Règlement des radiocommunications, de sorte que les services utilisant cette bande devraient être suffisamment robustes pour fonctionner dans un environnement contraignant.</w:t>
      </w:r>
    </w:p>
    <w:p w14:paraId="1951A623" w14:textId="7E44EA8C" w:rsidR="00EA737C" w:rsidRPr="006879A9" w:rsidRDefault="00523477" w:rsidP="006002F7">
      <w:r w:rsidRPr="006879A9">
        <w:t xml:space="preserve">La </w:t>
      </w:r>
      <w:r w:rsidR="00EA737C" w:rsidRPr="006879A9">
        <w:t>CEPT note</w:t>
      </w:r>
      <w:r w:rsidRPr="006879A9">
        <w:t xml:space="preserve"> qu</w:t>
      </w:r>
      <w:r w:rsidR="006002F7" w:rsidRPr="006879A9">
        <w:t>'</w:t>
      </w:r>
      <w:r w:rsidRPr="006879A9">
        <w:t>il ressort des études actuelles qu</w:t>
      </w:r>
      <w:r w:rsidR="006002F7" w:rsidRPr="006879A9">
        <w:t>'</w:t>
      </w:r>
      <w:r w:rsidRPr="006879A9">
        <w:t>il sera</w:t>
      </w:r>
      <w:r w:rsidR="00485C73" w:rsidRPr="006879A9">
        <w:t>it</w:t>
      </w:r>
      <w:r w:rsidRPr="006879A9">
        <w:t xml:space="preserve"> difficile d</w:t>
      </w:r>
      <w:r w:rsidR="006002F7" w:rsidRPr="006879A9">
        <w:t>'</w:t>
      </w:r>
      <w:r w:rsidRPr="006879A9">
        <w:t xml:space="preserve">assurer la coexistence entre les réseaux LAN fonctionnant </w:t>
      </w:r>
      <w:r w:rsidR="00841BFF" w:rsidRPr="006879A9">
        <w:t xml:space="preserve">en </w:t>
      </w:r>
      <w:r w:rsidRPr="006879A9">
        <w:t xml:space="preserve">extérieur </w:t>
      </w:r>
      <w:r w:rsidR="00485C73" w:rsidRPr="006879A9">
        <w:t xml:space="preserve">avec une puissance maximale de </w:t>
      </w:r>
      <w:r w:rsidR="00EA737C" w:rsidRPr="006879A9">
        <w:t>1</w:t>
      </w:r>
      <w:r w:rsidR="004B2916">
        <w:t xml:space="preserve"> </w:t>
      </w:r>
      <w:r w:rsidR="00EA737C" w:rsidRPr="006879A9">
        <w:t xml:space="preserve">W </w:t>
      </w:r>
      <w:r w:rsidR="00485C73" w:rsidRPr="006879A9">
        <w:t>sans restriction d</w:t>
      </w:r>
      <w:r w:rsidR="006002F7" w:rsidRPr="006879A9">
        <w:t>'</w:t>
      </w:r>
      <w:r w:rsidR="00485C73" w:rsidRPr="006879A9">
        <w:t xml:space="preserve">utilisation </w:t>
      </w:r>
      <w:r w:rsidR="00841BFF" w:rsidRPr="006879A9">
        <w:t xml:space="preserve">et </w:t>
      </w:r>
      <w:r w:rsidR="00485C73" w:rsidRPr="006879A9">
        <w:t>avec d</w:t>
      </w:r>
      <w:r w:rsidR="006002F7" w:rsidRPr="006879A9">
        <w:t>'</w:t>
      </w:r>
      <w:r w:rsidR="00485C73" w:rsidRPr="006879A9">
        <w:t>autres services existants, sans que des contraintes additionnelles soient imposées à des services existants tels que le SFS (récepteurs de stations spatiales) et les applications existantes au titre du service mobile telles que les systèmes</w:t>
      </w:r>
      <w:r w:rsidR="00EA737C" w:rsidRPr="006879A9">
        <w:t xml:space="preserve"> ITS (</w:t>
      </w:r>
      <w:r w:rsidR="00485C73" w:rsidRPr="006879A9">
        <w:t>y compris les systèmes ferroviaires urbains</w:t>
      </w:r>
      <w:r w:rsidR="00EA737C" w:rsidRPr="006879A9">
        <w:t xml:space="preserve">). </w:t>
      </w:r>
      <w:r w:rsidR="00485C73" w:rsidRPr="006879A9">
        <w:t>En conséquence, la CEPT estime qu</w:t>
      </w:r>
      <w:r w:rsidR="006002F7" w:rsidRPr="006879A9">
        <w:t>'</w:t>
      </w:r>
      <w:r w:rsidR="00485C73" w:rsidRPr="006879A9">
        <w:t>aucune modification ne doit être apportée au Règlement des radiocommunications (RR) dans cette bande.</w:t>
      </w:r>
    </w:p>
    <w:p w14:paraId="6C5F3E04" w14:textId="1B8C7267" w:rsidR="00EA737C" w:rsidRPr="006879A9" w:rsidRDefault="00485C73" w:rsidP="006002F7">
      <w:pPr>
        <w:tabs>
          <w:tab w:val="clear" w:pos="1134"/>
          <w:tab w:val="clear" w:pos="1871"/>
          <w:tab w:val="clear" w:pos="2268"/>
        </w:tabs>
        <w:overflowPunct/>
        <w:autoSpaceDE/>
        <w:autoSpaceDN/>
        <w:adjustRightInd/>
        <w:spacing w:before="0"/>
        <w:textAlignment w:val="auto"/>
      </w:pPr>
      <w:r w:rsidRPr="006879A9">
        <w:rPr>
          <w:szCs w:val="24"/>
        </w:rPr>
        <w:lastRenderedPageBreak/>
        <w:t>Étant donné que les études</w:t>
      </w:r>
      <w:r w:rsidR="00266018" w:rsidRPr="006879A9">
        <w:rPr>
          <w:szCs w:val="24"/>
        </w:rPr>
        <w:t xml:space="preserve"> au</w:t>
      </w:r>
      <w:r w:rsidRPr="006879A9">
        <w:rPr>
          <w:szCs w:val="24"/>
        </w:rPr>
        <w:t xml:space="preserve"> titre</w:t>
      </w:r>
      <w:r w:rsidR="00266018" w:rsidRPr="006879A9">
        <w:rPr>
          <w:szCs w:val="24"/>
        </w:rPr>
        <w:t xml:space="preserve"> </w:t>
      </w:r>
      <w:r w:rsidRPr="006879A9">
        <w:rPr>
          <w:szCs w:val="24"/>
        </w:rPr>
        <w:t>de ce point de l</w:t>
      </w:r>
      <w:r w:rsidR="006002F7" w:rsidRPr="006879A9">
        <w:rPr>
          <w:szCs w:val="24"/>
        </w:rPr>
        <w:t>'</w:t>
      </w:r>
      <w:r w:rsidRPr="006879A9">
        <w:rPr>
          <w:szCs w:val="24"/>
        </w:rPr>
        <w:t>ordre du jour ont été achevées et qu</w:t>
      </w:r>
      <w:r w:rsidR="006002F7" w:rsidRPr="006879A9">
        <w:rPr>
          <w:szCs w:val="24"/>
        </w:rPr>
        <w:t>'</w:t>
      </w:r>
      <w:r w:rsidRPr="006879A9">
        <w:rPr>
          <w:szCs w:val="24"/>
        </w:rPr>
        <w:t>il n</w:t>
      </w:r>
      <w:r w:rsidR="006002F7" w:rsidRPr="006879A9">
        <w:rPr>
          <w:szCs w:val="24"/>
        </w:rPr>
        <w:t>'</w:t>
      </w:r>
      <w:r w:rsidRPr="006879A9">
        <w:rPr>
          <w:szCs w:val="24"/>
        </w:rPr>
        <w:t>est pas</w:t>
      </w:r>
      <w:r w:rsidR="004B2916">
        <w:rPr>
          <w:szCs w:val="24"/>
        </w:rPr>
        <w:t> </w:t>
      </w:r>
      <w:r w:rsidRPr="006879A9">
        <w:rPr>
          <w:szCs w:val="24"/>
        </w:rPr>
        <w:t>proposé d</w:t>
      </w:r>
      <w:r w:rsidR="006002F7" w:rsidRPr="006879A9">
        <w:rPr>
          <w:szCs w:val="24"/>
        </w:rPr>
        <w:t>'</w:t>
      </w:r>
      <w:r w:rsidRPr="006879A9">
        <w:rPr>
          <w:szCs w:val="24"/>
        </w:rPr>
        <w:t>entreprendre des travaux complémentaires, il n</w:t>
      </w:r>
      <w:r w:rsidR="006002F7" w:rsidRPr="006879A9">
        <w:rPr>
          <w:szCs w:val="24"/>
        </w:rPr>
        <w:t>'</w:t>
      </w:r>
      <w:r w:rsidRPr="006879A9">
        <w:rPr>
          <w:szCs w:val="24"/>
        </w:rPr>
        <w:t>y a pas lieu de maintenir la Résolution</w:t>
      </w:r>
      <w:r w:rsidR="004B2916">
        <w:rPr>
          <w:szCs w:val="24"/>
        </w:rPr>
        <w:t> </w:t>
      </w:r>
      <w:r w:rsidR="00EA737C" w:rsidRPr="006879A9">
        <w:rPr>
          <w:b/>
          <w:szCs w:val="24"/>
        </w:rPr>
        <w:t>239 (</w:t>
      </w:r>
      <w:r w:rsidRPr="006879A9">
        <w:rPr>
          <w:b/>
          <w:szCs w:val="24"/>
        </w:rPr>
        <w:t>CMR</w:t>
      </w:r>
      <w:r w:rsidR="00EA737C" w:rsidRPr="006879A9">
        <w:rPr>
          <w:b/>
          <w:szCs w:val="24"/>
        </w:rPr>
        <w:t>-15)</w:t>
      </w:r>
      <w:r w:rsidR="00EA737C" w:rsidRPr="004B2916">
        <w:rPr>
          <w:bCs/>
          <w:szCs w:val="24"/>
        </w:rPr>
        <w:t>.</w:t>
      </w:r>
    </w:p>
    <w:p w14:paraId="4DDC354C" w14:textId="77777777" w:rsidR="0015203F" w:rsidRPr="006879A9" w:rsidRDefault="0015203F" w:rsidP="006002F7">
      <w:pPr>
        <w:tabs>
          <w:tab w:val="clear" w:pos="1134"/>
          <w:tab w:val="clear" w:pos="1871"/>
          <w:tab w:val="clear" w:pos="2268"/>
        </w:tabs>
        <w:overflowPunct/>
        <w:autoSpaceDE/>
        <w:autoSpaceDN/>
        <w:adjustRightInd/>
        <w:spacing w:before="0"/>
        <w:textAlignment w:val="auto"/>
      </w:pPr>
      <w:r w:rsidRPr="006879A9">
        <w:br w:type="page"/>
      </w:r>
    </w:p>
    <w:p w14:paraId="1D059ADF" w14:textId="77777777" w:rsidR="004B2916" w:rsidRPr="006879A9" w:rsidRDefault="004B2916" w:rsidP="004B2916">
      <w:pPr>
        <w:pStyle w:val="Headingb"/>
      </w:pPr>
      <w:bookmarkStart w:id="6" w:name="_Toc455752914"/>
      <w:bookmarkStart w:id="7" w:name="_Toc455756153"/>
      <w:r w:rsidRPr="006879A9">
        <w:lastRenderedPageBreak/>
        <w:t>Propositions</w:t>
      </w:r>
    </w:p>
    <w:p w14:paraId="13F571CA" w14:textId="77777777" w:rsidR="007F3F42" w:rsidRPr="006879A9" w:rsidRDefault="00EA737C" w:rsidP="004B2916">
      <w:pPr>
        <w:pStyle w:val="ArtNo"/>
      </w:pPr>
      <w:r w:rsidRPr="006879A9">
        <w:t xml:space="preserve">ARTICLE </w:t>
      </w:r>
      <w:r w:rsidRPr="006879A9">
        <w:rPr>
          <w:rStyle w:val="href"/>
          <w:color w:val="000000"/>
        </w:rPr>
        <w:t>5</w:t>
      </w:r>
      <w:bookmarkEnd w:id="6"/>
      <w:bookmarkEnd w:id="7"/>
    </w:p>
    <w:p w14:paraId="4A1B094E" w14:textId="77777777" w:rsidR="007F3F42" w:rsidRPr="006879A9" w:rsidRDefault="00EA737C" w:rsidP="006002F7">
      <w:pPr>
        <w:pStyle w:val="Arttitle"/>
      </w:pPr>
      <w:bookmarkStart w:id="8" w:name="_Toc455752915"/>
      <w:bookmarkStart w:id="9" w:name="_Toc455756154"/>
      <w:r w:rsidRPr="006879A9">
        <w:t>Attribution des bandes de fréquences</w:t>
      </w:r>
      <w:bookmarkEnd w:id="8"/>
      <w:bookmarkEnd w:id="9"/>
    </w:p>
    <w:p w14:paraId="0A40D4A6" w14:textId="7B13217E" w:rsidR="00D73104" w:rsidRPr="006879A9" w:rsidRDefault="00EA737C" w:rsidP="006002F7">
      <w:pPr>
        <w:pStyle w:val="Section1"/>
        <w:keepNext/>
        <w:rPr>
          <w:b w:val="0"/>
          <w:color w:val="000000"/>
        </w:rPr>
      </w:pPr>
      <w:r w:rsidRPr="006879A9">
        <w:t>Section IV – Tableau d'attribution des bandes de fréquences</w:t>
      </w:r>
      <w:r w:rsidRPr="006879A9">
        <w:br/>
      </w:r>
      <w:r w:rsidRPr="006879A9">
        <w:rPr>
          <w:b w:val="0"/>
          <w:bCs/>
        </w:rPr>
        <w:t xml:space="preserve">(Voir le numéro </w:t>
      </w:r>
      <w:r w:rsidRPr="006879A9">
        <w:t>2.1</w:t>
      </w:r>
      <w:r w:rsidRPr="006879A9">
        <w:rPr>
          <w:b w:val="0"/>
          <w:bCs/>
        </w:rPr>
        <w:t>)</w:t>
      </w:r>
    </w:p>
    <w:p w14:paraId="742A9993" w14:textId="6F114EF3" w:rsidR="003B6271" w:rsidRPr="006879A9" w:rsidRDefault="004B2916" w:rsidP="006002F7">
      <w:pPr>
        <w:pStyle w:val="Proposal"/>
      </w:pPr>
      <w:r w:rsidRPr="00647483">
        <w:rPr>
          <w:u w:val="single"/>
          <w:lang w:val="fr-CH"/>
        </w:rPr>
        <w:t>NOC</w:t>
      </w:r>
      <w:r w:rsidR="00EA737C" w:rsidRPr="006879A9">
        <w:tab/>
        <w:t>EUR/16A16A5/1</w:t>
      </w:r>
      <w:r w:rsidR="00EA737C" w:rsidRPr="006879A9">
        <w:rPr>
          <w:vanish/>
          <w:color w:val="7F7F7F" w:themeColor="text1" w:themeTint="80"/>
          <w:vertAlign w:val="superscript"/>
        </w:rPr>
        <w:t>#49958</w:t>
      </w:r>
    </w:p>
    <w:p w14:paraId="2152A23A" w14:textId="77777777" w:rsidR="007132E2" w:rsidRPr="006879A9" w:rsidRDefault="00EA737C" w:rsidP="006002F7">
      <w:pPr>
        <w:pStyle w:val="Tabletitle"/>
        <w:spacing w:before="120"/>
        <w:rPr>
          <w:color w:val="000000"/>
        </w:rPr>
      </w:pPr>
      <w:r w:rsidRPr="006879A9">
        <w:rPr>
          <w:color w:val="000000"/>
        </w:rPr>
        <w:t>5 570-6 700 MHz</w:t>
      </w:r>
    </w:p>
    <w:p w14:paraId="47E85773" w14:textId="13BBDAA7" w:rsidR="003B6271" w:rsidRPr="006879A9" w:rsidRDefault="00EA737C" w:rsidP="006002F7">
      <w:pPr>
        <w:pStyle w:val="Reasons"/>
      </w:pPr>
      <w:r w:rsidRPr="006879A9">
        <w:rPr>
          <w:b/>
        </w:rPr>
        <w:t>Motifs:</w:t>
      </w:r>
      <w:r w:rsidRPr="006879A9">
        <w:tab/>
      </w:r>
      <w:r w:rsidR="00266018" w:rsidRPr="006879A9">
        <w:t xml:space="preserve">La </w:t>
      </w:r>
      <w:r w:rsidRPr="006879A9">
        <w:t xml:space="preserve">CEPT </w:t>
      </w:r>
      <w:r w:rsidR="00266018" w:rsidRPr="006879A9">
        <w:t>note qu</w:t>
      </w:r>
      <w:r w:rsidR="006002F7" w:rsidRPr="006879A9">
        <w:t>'</w:t>
      </w:r>
      <w:r w:rsidR="00266018" w:rsidRPr="006879A9">
        <w:t>il ressort des études actuelles qu</w:t>
      </w:r>
      <w:r w:rsidR="006002F7" w:rsidRPr="006879A9">
        <w:t>'</w:t>
      </w:r>
      <w:r w:rsidR="00266018" w:rsidRPr="006879A9">
        <w:t>il serait difficile d</w:t>
      </w:r>
      <w:r w:rsidR="006002F7" w:rsidRPr="006879A9">
        <w:t>'</w:t>
      </w:r>
      <w:r w:rsidR="00266018" w:rsidRPr="006879A9">
        <w:t>assurer la coexistence entre les réseaux LAN fonctionnant en extérieur avec une puissance maximale de</w:t>
      </w:r>
      <w:r w:rsidR="006002F7" w:rsidRPr="006879A9">
        <w:t xml:space="preserve"> </w:t>
      </w:r>
      <w:r w:rsidR="00266018" w:rsidRPr="006879A9">
        <w:t>1W sans restriction d</w:t>
      </w:r>
      <w:r w:rsidR="006002F7" w:rsidRPr="006879A9">
        <w:t>'</w:t>
      </w:r>
      <w:r w:rsidR="00266018" w:rsidRPr="006879A9">
        <w:t xml:space="preserve">utilisation </w:t>
      </w:r>
      <w:r w:rsidR="006002F7" w:rsidRPr="006879A9">
        <w:t xml:space="preserve">et </w:t>
      </w:r>
      <w:r w:rsidR="00266018" w:rsidRPr="006879A9">
        <w:t>avec d</w:t>
      </w:r>
      <w:r w:rsidR="006002F7" w:rsidRPr="006879A9">
        <w:t>'</w:t>
      </w:r>
      <w:r w:rsidR="00266018" w:rsidRPr="006879A9">
        <w:t>autres services existants, sans que des contraintes additionnelles soient imposées à des services existants tels que le SFS (récepteurs de stations spatiales) et les applications existantes au titre du service mobile telles que les systèmes ITS (y compris les systèmes ferroviaires urbains). En conséquence, la CEPT estime qu</w:t>
      </w:r>
      <w:r w:rsidR="006002F7" w:rsidRPr="006879A9">
        <w:t>'</w:t>
      </w:r>
      <w:r w:rsidR="00266018" w:rsidRPr="006879A9">
        <w:t>aucune modification ne doit être apportée au Règlement des radiocommunications (RR) dans cette bande.</w:t>
      </w:r>
    </w:p>
    <w:p w14:paraId="376FA3BB" w14:textId="77777777" w:rsidR="003B6271" w:rsidRPr="006879A9" w:rsidRDefault="00EA737C" w:rsidP="006002F7">
      <w:pPr>
        <w:pStyle w:val="Proposal"/>
      </w:pPr>
      <w:r w:rsidRPr="006879A9">
        <w:t>SUP</w:t>
      </w:r>
      <w:r w:rsidRPr="006879A9">
        <w:tab/>
        <w:t>EUR/16A16A5/2</w:t>
      </w:r>
      <w:r w:rsidRPr="006879A9">
        <w:rPr>
          <w:vanish/>
          <w:color w:val="7F7F7F" w:themeColor="text1" w:themeTint="80"/>
          <w:vertAlign w:val="superscript"/>
        </w:rPr>
        <w:t>#49964</w:t>
      </w:r>
    </w:p>
    <w:p w14:paraId="50E90550" w14:textId="77777777" w:rsidR="007132E2" w:rsidRPr="006879A9" w:rsidRDefault="00EA737C" w:rsidP="006002F7">
      <w:pPr>
        <w:pStyle w:val="ResNo"/>
      </w:pPr>
      <w:bookmarkStart w:id="10" w:name="_Toc450207191"/>
      <w:bookmarkStart w:id="11" w:name="_Toc450208668"/>
      <w:r w:rsidRPr="006879A9">
        <w:rPr>
          <w:caps w:val="0"/>
        </w:rPr>
        <w:t xml:space="preserve">RÉSOLUTION </w:t>
      </w:r>
      <w:r w:rsidRPr="006879A9">
        <w:rPr>
          <w:rStyle w:val="href"/>
        </w:rPr>
        <w:t>239</w:t>
      </w:r>
      <w:r w:rsidRPr="006879A9">
        <w:rPr>
          <w:caps w:val="0"/>
        </w:rPr>
        <w:t xml:space="preserve"> (CMR-15)</w:t>
      </w:r>
      <w:bookmarkEnd w:id="10"/>
      <w:bookmarkEnd w:id="11"/>
      <w:r w:rsidRPr="006879A9">
        <w:rPr>
          <w:caps w:val="0"/>
        </w:rPr>
        <w:t xml:space="preserve"> </w:t>
      </w:r>
    </w:p>
    <w:p w14:paraId="167DB9BD" w14:textId="77777777" w:rsidR="007132E2" w:rsidRPr="006879A9" w:rsidRDefault="00EA737C" w:rsidP="006002F7">
      <w:pPr>
        <w:pStyle w:val="Restitle"/>
      </w:pPr>
      <w:proofErr w:type="spellStart"/>
      <w:r w:rsidRPr="006879A9">
        <w:t>Etudes</w:t>
      </w:r>
      <w:proofErr w:type="spellEnd"/>
      <w:r w:rsidRPr="006879A9">
        <w:t xml:space="preserve"> relatives aux systèmes d'accès hertzien, y compris les réseaux locaux hertziens, dans les bandes de fréquences comprises </w:t>
      </w:r>
      <w:r w:rsidRPr="006879A9">
        <w:br/>
        <w:t>entre 5 150 MHz et 5 925 MHz</w:t>
      </w:r>
    </w:p>
    <w:p w14:paraId="1474C002" w14:textId="050D85E4" w:rsidR="00EA737C" w:rsidRDefault="00EA737C" w:rsidP="006002F7">
      <w:pPr>
        <w:pStyle w:val="Reasons"/>
        <w:rPr>
          <w:b/>
        </w:rPr>
      </w:pPr>
      <w:r w:rsidRPr="006879A9">
        <w:rPr>
          <w:b/>
        </w:rPr>
        <w:t>Motifs:</w:t>
      </w:r>
      <w:r w:rsidRPr="006879A9">
        <w:tab/>
      </w:r>
      <w:r w:rsidR="00266018" w:rsidRPr="006879A9">
        <w:t>Étant donné que les études au titre de ce point de l</w:t>
      </w:r>
      <w:r w:rsidR="006002F7" w:rsidRPr="006879A9">
        <w:t>'</w:t>
      </w:r>
      <w:r w:rsidR="00266018" w:rsidRPr="006879A9">
        <w:t>ordre du jour ont été achevées et qu</w:t>
      </w:r>
      <w:r w:rsidR="006002F7" w:rsidRPr="006879A9">
        <w:t>'</w:t>
      </w:r>
      <w:r w:rsidR="00266018" w:rsidRPr="006879A9">
        <w:t>il n</w:t>
      </w:r>
      <w:r w:rsidR="006002F7" w:rsidRPr="006879A9">
        <w:t>'</w:t>
      </w:r>
      <w:r w:rsidR="00266018" w:rsidRPr="006879A9">
        <w:t>est pas proposé d</w:t>
      </w:r>
      <w:r w:rsidR="006002F7" w:rsidRPr="006879A9">
        <w:t>'</w:t>
      </w:r>
      <w:r w:rsidR="00266018" w:rsidRPr="006879A9">
        <w:t>entreprendre des travaux complémentaires, il n</w:t>
      </w:r>
      <w:r w:rsidR="006002F7" w:rsidRPr="006879A9">
        <w:t>'</w:t>
      </w:r>
      <w:r w:rsidR="00266018" w:rsidRPr="006879A9">
        <w:t xml:space="preserve">y a pas lieu de maintenir la Résolution </w:t>
      </w:r>
      <w:r w:rsidR="00266018" w:rsidRPr="006879A9">
        <w:rPr>
          <w:b/>
        </w:rPr>
        <w:t>239 (CMR-15)</w:t>
      </w:r>
      <w:r w:rsidR="00266018" w:rsidRPr="004B2916">
        <w:rPr>
          <w:bCs/>
        </w:rPr>
        <w:t>.</w:t>
      </w:r>
    </w:p>
    <w:p w14:paraId="72D62B68" w14:textId="77777777" w:rsidR="004B2916" w:rsidRPr="006879A9" w:rsidRDefault="004B2916" w:rsidP="004B2916"/>
    <w:p w14:paraId="056E0B96" w14:textId="77777777" w:rsidR="007E20F5" w:rsidRPr="006879A9" w:rsidRDefault="007E20F5">
      <w:pPr>
        <w:jc w:val="center"/>
      </w:pPr>
      <w:r w:rsidRPr="006879A9">
        <w:t>______________</w:t>
      </w:r>
    </w:p>
    <w:p w14:paraId="5DF6C85E" w14:textId="2CCAF833" w:rsidR="00EA737C" w:rsidRPr="006879A9" w:rsidRDefault="00EA737C" w:rsidP="007E20F5"/>
    <w:sectPr w:rsidR="00EA737C" w:rsidRPr="006879A9">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451C6" w14:textId="77777777" w:rsidR="0070076C" w:rsidRDefault="0070076C">
      <w:r>
        <w:separator/>
      </w:r>
    </w:p>
  </w:endnote>
  <w:endnote w:type="continuationSeparator" w:id="0">
    <w:p w14:paraId="6F93CC0B"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581EE" w14:textId="6DD2099B" w:rsidR="00936D25" w:rsidRDefault="00936D25">
    <w:pPr>
      <w:rPr>
        <w:lang w:val="en-US"/>
      </w:rPr>
    </w:pPr>
    <w:r>
      <w:fldChar w:fldCharType="begin"/>
    </w:r>
    <w:r>
      <w:rPr>
        <w:lang w:val="en-US"/>
      </w:rPr>
      <w:instrText xml:space="preserve"> FILENAME \p  \* MERGEFORMAT </w:instrText>
    </w:r>
    <w:r>
      <w:fldChar w:fldCharType="separate"/>
    </w:r>
    <w:r w:rsidR="00647483">
      <w:rPr>
        <w:noProof/>
        <w:lang w:val="en-US"/>
      </w:rPr>
      <w:t>P:\FRA\ITU-R\CONF-R\CMR19\000\016ADD16ADD05F.docx</w:t>
    </w:r>
    <w:r>
      <w:fldChar w:fldCharType="end"/>
    </w:r>
    <w:r>
      <w:rPr>
        <w:lang w:val="en-US"/>
      </w:rPr>
      <w:tab/>
    </w:r>
    <w:r>
      <w:fldChar w:fldCharType="begin"/>
    </w:r>
    <w:r>
      <w:instrText xml:space="preserve"> SAVEDATE \@ DD.MM.YY </w:instrText>
    </w:r>
    <w:r>
      <w:fldChar w:fldCharType="separate"/>
    </w:r>
    <w:r w:rsidR="00647483">
      <w:rPr>
        <w:noProof/>
      </w:rPr>
      <w:t>21.10.19</w:t>
    </w:r>
    <w:r>
      <w:fldChar w:fldCharType="end"/>
    </w:r>
    <w:r>
      <w:rPr>
        <w:lang w:val="en-US"/>
      </w:rPr>
      <w:tab/>
    </w:r>
    <w:r>
      <w:fldChar w:fldCharType="begin"/>
    </w:r>
    <w:r>
      <w:instrText xml:space="preserve"> PRINTDATE \@ DD.MM.YY </w:instrText>
    </w:r>
    <w:r>
      <w:fldChar w:fldCharType="separate"/>
    </w:r>
    <w:r w:rsidR="00647483">
      <w:rPr>
        <w:noProof/>
      </w:rPr>
      <w:t>21.10.19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58E4D" w14:textId="054FCB14" w:rsidR="00936D25" w:rsidRPr="00EA737C" w:rsidRDefault="00936D25" w:rsidP="007B2C34">
    <w:pPr>
      <w:pStyle w:val="Footer"/>
      <w:rPr>
        <w:lang w:val="en-GB"/>
      </w:rPr>
    </w:pPr>
    <w:r>
      <w:fldChar w:fldCharType="begin"/>
    </w:r>
    <w:r>
      <w:rPr>
        <w:lang w:val="en-US"/>
      </w:rPr>
      <w:instrText xml:space="preserve"> FILENAME \p  \* MERGEFORMAT </w:instrText>
    </w:r>
    <w:r>
      <w:fldChar w:fldCharType="separate"/>
    </w:r>
    <w:r w:rsidR="00647483">
      <w:rPr>
        <w:lang w:val="en-US"/>
      </w:rPr>
      <w:t>P:\FRA\ITU-R\CONF-R\CMR19\000\016ADD16ADD05F.docx</w:t>
    </w:r>
    <w:r>
      <w:fldChar w:fldCharType="end"/>
    </w:r>
    <w:r w:rsidR="00EA737C" w:rsidRPr="00EA737C">
      <w:rPr>
        <w:lang w:val="en-GB"/>
      </w:rPr>
      <w:t xml:space="preserve"> </w:t>
    </w:r>
    <w:r w:rsidR="00EA737C">
      <w:rPr>
        <w:lang w:val="en-GB"/>
      </w:rPr>
      <w:t>(461989)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1A10" w14:textId="4D8C3AAB" w:rsidR="00936D25" w:rsidRDefault="00EA737C" w:rsidP="00EA737C">
    <w:pPr>
      <w:pStyle w:val="Footer"/>
      <w:rPr>
        <w:lang w:val="en-US"/>
      </w:rPr>
    </w:pPr>
    <w:r>
      <w:fldChar w:fldCharType="begin"/>
    </w:r>
    <w:r w:rsidRPr="00EA737C">
      <w:rPr>
        <w:lang w:val="en-GB"/>
      </w:rPr>
      <w:instrText xml:space="preserve"> FILENAME \p  \* MERGEFORMAT </w:instrText>
    </w:r>
    <w:r>
      <w:fldChar w:fldCharType="separate"/>
    </w:r>
    <w:r w:rsidR="00647483">
      <w:rPr>
        <w:lang w:val="en-GB"/>
      </w:rPr>
      <w:t>P:\FRA\ITU-R\CONF-R\CMR19\000\016ADD16ADD05F.docx</w:t>
    </w:r>
    <w:r>
      <w:fldChar w:fldCharType="end"/>
    </w:r>
    <w:r w:rsidRPr="00EA737C">
      <w:rPr>
        <w:lang w:val="en-GB"/>
      </w:rPr>
      <w:t xml:space="preserve"> (</w:t>
    </w:r>
    <w:r>
      <w:rPr>
        <w:lang w:val="en-GB"/>
      </w:rPr>
      <w:t>461989</w:t>
    </w:r>
    <w:r w:rsidRPr="00EA737C">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8A77B" w14:textId="77777777" w:rsidR="0070076C" w:rsidRDefault="0070076C">
      <w:r>
        <w:rPr>
          <w:b/>
        </w:rPr>
        <w:t>_______________</w:t>
      </w:r>
    </w:p>
  </w:footnote>
  <w:footnote w:type="continuationSeparator" w:id="0">
    <w:p w14:paraId="3AC2D76C"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0E48"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3D8B9727" w14:textId="77777777" w:rsidR="004F1F8E" w:rsidRDefault="004F1F8E" w:rsidP="00FD7AA3">
    <w:pPr>
      <w:pStyle w:val="Header"/>
    </w:pPr>
    <w:r>
      <w:t>CMR1</w:t>
    </w:r>
    <w:r w:rsidR="00FD7AA3">
      <w:t>9</w:t>
    </w:r>
    <w:r>
      <w:t>/</w:t>
    </w:r>
    <w:r w:rsidR="006A4B45">
      <w:t>16(Add.16)(Add.5)-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435DA15-1C68-4AD3-B6A5-BB2726883175}"/>
    <w:docVar w:name="dgnword-eventsink" w:val="2934151625536"/>
  </w:docVars>
  <w:rsids>
    <w:rsidRoot w:val="00BB1D82"/>
    <w:rsid w:val="00007EC7"/>
    <w:rsid w:val="00010B43"/>
    <w:rsid w:val="00016648"/>
    <w:rsid w:val="0003522F"/>
    <w:rsid w:val="00063A1F"/>
    <w:rsid w:val="00080E2C"/>
    <w:rsid w:val="00081366"/>
    <w:rsid w:val="000863B3"/>
    <w:rsid w:val="000A4755"/>
    <w:rsid w:val="000A55AE"/>
    <w:rsid w:val="000B2E0C"/>
    <w:rsid w:val="000B3D0C"/>
    <w:rsid w:val="001167B9"/>
    <w:rsid w:val="001267A0"/>
    <w:rsid w:val="0015203F"/>
    <w:rsid w:val="00160C64"/>
    <w:rsid w:val="0018169B"/>
    <w:rsid w:val="0019352B"/>
    <w:rsid w:val="001960D0"/>
    <w:rsid w:val="001A11F6"/>
    <w:rsid w:val="001F17E8"/>
    <w:rsid w:val="001F365D"/>
    <w:rsid w:val="00201B41"/>
    <w:rsid w:val="00204306"/>
    <w:rsid w:val="00232FD2"/>
    <w:rsid w:val="0026554E"/>
    <w:rsid w:val="00266018"/>
    <w:rsid w:val="002A4622"/>
    <w:rsid w:val="002A6F8F"/>
    <w:rsid w:val="002B17E5"/>
    <w:rsid w:val="002C0EBF"/>
    <w:rsid w:val="002C28A4"/>
    <w:rsid w:val="002D7E0A"/>
    <w:rsid w:val="00315AFE"/>
    <w:rsid w:val="003606A6"/>
    <w:rsid w:val="0036650C"/>
    <w:rsid w:val="00393ACD"/>
    <w:rsid w:val="003A583E"/>
    <w:rsid w:val="003B6271"/>
    <w:rsid w:val="003E112B"/>
    <w:rsid w:val="003E1D1C"/>
    <w:rsid w:val="003E7B05"/>
    <w:rsid w:val="003F3719"/>
    <w:rsid w:val="003F6F2D"/>
    <w:rsid w:val="00466211"/>
    <w:rsid w:val="00483196"/>
    <w:rsid w:val="004834A9"/>
    <w:rsid w:val="00485C73"/>
    <w:rsid w:val="004B2916"/>
    <w:rsid w:val="004D01FC"/>
    <w:rsid w:val="004E28C3"/>
    <w:rsid w:val="004F1F8E"/>
    <w:rsid w:val="00512A32"/>
    <w:rsid w:val="00523477"/>
    <w:rsid w:val="005343DA"/>
    <w:rsid w:val="00560874"/>
    <w:rsid w:val="0057578B"/>
    <w:rsid w:val="00586CF2"/>
    <w:rsid w:val="005A7C75"/>
    <w:rsid w:val="005B7BB0"/>
    <w:rsid w:val="005C3768"/>
    <w:rsid w:val="005C6C3F"/>
    <w:rsid w:val="006002F7"/>
    <w:rsid w:val="00613635"/>
    <w:rsid w:val="0062093D"/>
    <w:rsid w:val="00637ECF"/>
    <w:rsid w:val="00647483"/>
    <w:rsid w:val="00647B59"/>
    <w:rsid w:val="006879A9"/>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B2C34"/>
    <w:rsid w:val="007E20F5"/>
    <w:rsid w:val="00830086"/>
    <w:rsid w:val="00841BFF"/>
    <w:rsid w:val="00851625"/>
    <w:rsid w:val="00863C0A"/>
    <w:rsid w:val="008A3120"/>
    <w:rsid w:val="008A4B97"/>
    <w:rsid w:val="008C5B8E"/>
    <w:rsid w:val="008C5DD5"/>
    <w:rsid w:val="008D41BE"/>
    <w:rsid w:val="008D58D3"/>
    <w:rsid w:val="008E3BC9"/>
    <w:rsid w:val="00923064"/>
    <w:rsid w:val="00924461"/>
    <w:rsid w:val="00930FFD"/>
    <w:rsid w:val="00936D25"/>
    <w:rsid w:val="00941EA5"/>
    <w:rsid w:val="00964700"/>
    <w:rsid w:val="00966C16"/>
    <w:rsid w:val="0098732F"/>
    <w:rsid w:val="009A045F"/>
    <w:rsid w:val="009A6A2B"/>
    <w:rsid w:val="009C7E7C"/>
    <w:rsid w:val="00A00473"/>
    <w:rsid w:val="00A03C9B"/>
    <w:rsid w:val="00A37105"/>
    <w:rsid w:val="00A566DD"/>
    <w:rsid w:val="00A606C3"/>
    <w:rsid w:val="00A83B09"/>
    <w:rsid w:val="00A84541"/>
    <w:rsid w:val="00AE36A0"/>
    <w:rsid w:val="00B00294"/>
    <w:rsid w:val="00B3749C"/>
    <w:rsid w:val="00B64FD0"/>
    <w:rsid w:val="00BA5BD0"/>
    <w:rsid w:val="00BB1D82"/>
    <w:rsid w:val="00BD51C5"/>
    <w:rsid w:val="00BF26E7"/>
    <w:rsid w:val="00C53FCA"/>
    <w:rsid w:val="00C747AB"/>
    <w:rsid w:val="00C76BAF"/>
    <w:rsid w:val="00C814B9"/>
    <w:rsid w:val="00CD516F"/>
    <w:rsid w:val="00D119A7"/>
    <w:rsid w:val="00D25FBA"/>
    <w:rsid w:val="00D32B28"/>
    <w:rsid w:val="00D42954"/>
    <w:rsid w:val="00D66EAC"/>
    <w:rsid w:val="00D730DF"/>
    <w:rsid w:val="00D772F0"/>
    <w:rsid w:val="00D77BDC"/>
    <w:rsid w:val="00DA76B5"/>
    <w:rsid w:val="00DC402B"/>
    <w:rsid w:val="00DE0932"/>
    <w:rsid w:val="00E03A27"/>
    <w:rsid w:val="00E049F1"/>
    <w:rsid w:val="00E37A25"/>
    <w:rsid w:val="00E537FF"/>
    <w:rsid w:val="00E6539B"/>
    <w:rsid w:val="00E70A31"/>
    <w:rsid w:val="00E723A7"/>
    <w:rsid w:val="00EA3F38"/>
    <w:rsid w:val="00EA5AB6"/>
    <w:rsid w:val="00EA737C"/>
    <w:rsid w:val="00EC7615"/>
    <w:rsid w:val="00ED16AA"/>
    <w:rsid w:val="00ED6B8D"/>
    <w:rsid w:val="00EE3D7B"/>
    <w:rsid w:val="00EF662E"/>
    <w:rsid w:val="00F10064"/>
    <w:rsid w:val="00F148F1"/>
    <w:rsid w:val="00F16308"/>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B5E546"/>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customStyle="1" w:styleId="Title40">
    <w:name w:val="Title_4"/>
    <w:basedOn w:val="Headingb"/>
    <w:rsid w:val="00EA737C"/>
    <w:pPr>
      <w:jc w:val="center"/>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R16-WRC19-C-0016!A16-A5!MSW-F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6BDFE2-030F-4DDC-9029-0CA7728F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7CEB1-C6AD-4822-B81C-4D4279011859}">
  <ds:schemaRef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32a1a8c5-2265-4ebc-b7a0-2071e2c5c9bb"/>
    <ds:schemaRef ds:uri="http://schemas.microsoft.com/office/2006/documentManagement/types"/>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F929245A-E3A6-43C9-85F2-057634574D3C}">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625</Words>
  <Characters>3512</Characters>
  <Application>Microsoft Office Word</Application>
  <DocSecurity>0</DocSecurity>
  <Lines>74</Lines>
  <Paragraphs>27</Paragraphs>
  <ScaleCrop>false</ScaleCrop>
  <HeadingPairs>
    <vt:vector size="2" baseType="variant">
      <vt:variant>
        <vt:lpstr>Title</vt:lpstr>
      </vt:variant>
      <vt:variant>
        <vt:i4>1</vt:i4>
      </vt:variant>
    </vt:vector>
  </HeadingPairs>
  <TitlesOfParts>
    <vt:vector size="1" baseType="lpstr">
      <vt:lpstr>R16-WRC19-C-0016!A16-A5!MSW-F</vt:lpstr>
    </vt:vector>
  </TitlesOfParts>
  <Manager>Secrétariat général - Pool</Manager>
  <Company>Union internationale des télécommunications (UIT)</Company>
  <LinksUpToDate>false</LinksUpToDate>
  <CharactersWithSpaces>4115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R16-WRC19-C-0016!A16-A5!MSW-F</dc:title>
  <dc:subject>Conférence mondiale des radiocommunications - 2019</dc:subject>
  <dc:creator>Documents Proposals Manager (DPM)</dc:creator>
  <cp:keywords>DPM_v2019.10.8.1_prod</cp:keywords>
  <dc:description/>
  <cp:lastModifiedBy>Royer, Veronique</cp:lastModifiedBy>
  <cp:revision>12</cp:revision>
  <cp:lastPrinted>2019-10-21T20:45:00Z</cp:lastPrinted>
  <dcterms:created xsi:type="dcterms:W3CDTF">2019-10-10T07:39:00Z</dcterms:created>
  <dcterms:modified xsi:type="dcterms:W3CDTF">2019-10-21T20:46:00Z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