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8032058" w14:textId="77777777" w:rsidTr="00F55E63">
        <w:trPr>
          <w:cantSplit/>
          <w:trHeight w:val="20"/>
        </w:trPr>
        <w:tc>
          <w:tcPr>
            <w:tcW w:w="6619" w:type="dxa"/>
          </w:tcPr>
          <w:p w14:paraId="02444C5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130CBB2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3F1DE07" wp14:editId="30DF89D6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C72F6FC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AFC8EAF" w14:textId="77777777" w:rsidR="00280E04" w:rsidRPr="00960962" w:rsidRDefault="00280E04" w:rsidP="00041708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FAAAB0" w14:textId="77777777" w:rsidR="00280E04" w:rsidRPr="00A9645C" w:rsidRDefault="00280E04" w:rsidP="00041708">
            <w:pPr>
              <w:spacing w:line="240" w:lineRule="exact"/>
              <w:rPr>
                <w:lang w:bidi="ar-EG"/>
              </w:rPr>
            </w:pPr>
          </w:p>
        </w:tc>
      </w:tr>
      <w:tr w:rsidR="00280E04" w14:paraId="6F109182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179DB3E" w14:textId="77777777" w:rsidR="00280E04" w:rsidRPr="00BD6EF3" w:rsidRDefault="00280E04" w:rsidP="00041708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ADCAE1E" w14:textId="77777777" w:rsidR="00280E04" w:rsidRPr="00BD6EF3" w:rsidRDefault="00280E04" w:rsidP="00041708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809E8" w:rsidRPr="00F545E4" w14:paraId="6CD524AA" w14:textId="77777777" w:rsidTr="00F55E63">
        <w:trPr>
          <w:cantSplit/>
        </w:trPr>
        <w:tc>
          <w:tcPr>
            <w:tcW w:w="6619" w:type="dxa"/>
          </w:tcPr>
          <w:p w14:paraId="69AB158B" w14:textId="77777777" w:rsidR="00A809E8" w:rsidRPr="00F545E4" w:rsidRDefault="00F55E63" w:rsidP="00041708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366764C" w14:textId="6F90FE9E" w:rsidR="00A809E8" w:rsidRPr="003B4967" w:rsidRDefault="00041708" w:rsidP="00041708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 w:rsidR="007C7603" w:rsidRPr="003B4967">
              <w:rPr>
                <w:rFonts w:ascii="Verdana" w:hAnsi="Verdana"/>
              </w:rPr>
              <w:t>5</w:t>
            </w:r>
            <w:r w:rsidR="007C7603" w:rsidRPr="003B4967"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 w:rsidRPr="003B4967">
              <w:rPr>
                <w:rFonts w:ascii="Verdana" w:eastAsia="SimSun" w:hAnsi="Verdana"/>
              </w:rPr>
              <w:t>16(Add.</w:t>
            </w:r>
            <w:proofErr w:type="gramStart"/>
            <w:r w:rsidRPr="003B4967">
              <w:rPr>
                <w:rFonts w:ascii="Verdana" w:eastAsia="SimSun" w:hAnsi="Verdana"/>
              </w:rPr>
              <w:t>16)-</w:t>
            </w:r>
            <w:proofErr w:type="gramEnd"/>
            <w:r w:rsidRPr="003B4967">
              <w:rPr>
                <w:rFonts w:ascii="Verdana" w:eastAsia="SimSun" w:hAnsi="Verdana"/>
              </w:rPr>
              <w:t>A</w:t>
            </w:r>
          </w:p>
        </w:tc>
      </w:tr>
      <w:tr w:rsidR="00A809E8" w:rsidRPr="00F545E4" w14:paraId="0D3F05A9" w14:textId="77777777" w:rsidTr="00F55E63">
        <w:trPr>
          <w:cantSplit/>
        </w:trPr>
        <w:tc>
          <w:tcPr>
            <w:tcW w:w="6619" w:type="dxa"/>
          </w:tcPr>
          <w:p w14:paraId="47EC6C8B" w14:textId="77777777" w:rsidR="00A809E8" w:rsidRPr="00F545E4" w:rsidRDefault="00A809E8" w:rsidP="00041708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40CE1CB" w14:textId="77777777" w:rsidR="00A809E8" w:rsidRPr="003B4967" w:rsidRDefault="00F55E63" w:rsidP="00041708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 w:rsidRPr="003B4967">
              <w:rPr>
                <w:rFonts w:ascii="Verdana" w:eastAsia="SimSun" w:hAnsi="Verdana"/>
              </w:rPr>
              <w:t>4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034850D9" w14:textId="77777777" w:rsidTr="00F55E63">
        <w:trPr>
          <w:cantSplit/>
        </w:trPr>
        <w:tc>
          <w:tcPr>
            <w:tcW w:w="6619" w:type="dxa"/>
          </w:tcPr>
          <w:p w14:paraId="45C8E0DD" w14:textId="77777777" w:rsidR="00A809E8" w:rsidRPr="00F545E4" w:rsidRDefault="00A809E8" w:rsidP="00041708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667482A" w14:textId="77777777" w:rsidR="00A809E8" w:rsidRPr="003B4967" w:rsidRDefault="00F55E63" w:rsidP="00041708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3BDC7BD8" w14:textId="77777777" w:rsidTr="00F55E63">
        <w:trPr>
          <w:cantSplit/>
        </w:trPr>
        <w:tc>
          <w:tcPr>
            <w:tcW w:w="9672" w:type="dxa"/>
            <w:gridSpan w:val="2"/>
          </w:tcPr>
          <w:p w14:paraId="3F550639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3B51A3ED" w14:textId="77777777" w:rsidTr="00F55E63">
        <w:trPr>
          <w:cantSplit/>
        </w:trPr>
        <w:tc>
          <w:tcPr>
            <w:tcW w:w="9672" w:type="dxa"/>
            <w:gridSpan w:val="2"/>
          </w:tcPr>
          <w:p w14:paraId="1487DDB8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1D7F5E31" w14:textId="77777777" w:rsidTr="00F55E63">
        <w:trPr>
          <w:cantSplit/>
        </w:trPr>
        <w:tc>
          <w:tcPr>
            <w:tcW w:w="9672" w:type="dxa"/>
            <w:gridSpan w:val="2"/>
          </w:tcPr>
          <w:p w14:paraId="460A8AE5" w14:textId="77777777" w:rsidR="00764079" w:rsidRPr="00BD6EF3" w:rsidRDefault="00764079" w:rsidP="002B6C77">
            <w:pPr>
              <w:pStyle w:val="Title2"/>
              <w:spacing w:before="360"/>
              <w:rPr>
                <w:rtl/>
              </w:rPr>
            </w:pPr>
          </w:p>
        </w:tc>
      </w:tr>
      <w:tr w:rsidR="00764079" w14:paraId="409BA91E" w14:textId="77777777" w:rsidTr="00F55E63">
        <w:trPr>
          <w:cantSplit/>
        </w:trPr>
        <w:tc>
          <w:tcPr>
            <w:tcW w:w="9672" w:type="dxa"/>
            <w:gridSpan w:val="2"/>
          </w:tcPr>
          <w:p w14:paraId="3A4D3FF7" w14:textId="513E8D0D" w:rsidR="00764079" w:rsidRPr="0012545F" w:rsidRDefault="00DB4CC9" w:rsidP="00041708">
            <w:pPr>
              <w:pStyle w:val="Agendaitem"/>
              <w:spacing w:after="0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3B4967">
              <w:rPr>
                <w:rFonts w:hint="cs"/>
                <w:rtl/>
                <w:lang w:val="en-US"/>
              </w:rPr>
              <w:t xml:space="preserve"> </w:t>
            </w:r>
            <w:r w:rsidR="003B4967">
              <w:rPr>
                <w:lang w:val="en-US"/>
              </w:rPr>
              <w:t>16.1</w:t>
            </w:r>
          </w:p>
        </w:tc>
      </w:tr>
    </w:tbl>
    <w:p w14:paraId="2EB3BB31" w14:textId="4D0FC3F0" w:rsidR="001D597A" w:rsidRDefault="00FC32FF" w:rsidP="00A54413">
      <w:pPr>
        <w:rPr>
          <w:rFonts w:eastAsia="SimSun"/>
          <w:spacing w:val="4"/>
          <w:rtl/>
          <w:lang w:eastAsia="zh-CN"/>
        </w:rPr>
      </w:pPr>
      <w:r w:rsidRPr="00723691">
        <w:rPr>
          <w:rFonts w:eastAsia="SimSun"/>
          <w:spacing w:val="4"/>
          <w:lang w:eastAsia="zh-CN" w:bidi="ar-SY"/>
        </w:rPr>
        <w:t>16.1</w:t>
      </w:r>
      <w:r w:rsidRPr="00723691">
        <w:rPr>
          <w:rFonts w:eastAsia="SimSun"/>
          <w:spacing w:val="4"/>
          <w:lang w:eastAsia="zh-CN" w:bidi="ar-SY"/>
        </w:rPr>
        <w:tab/>
      </w:r>
      <w:r w:rsidRPr="00723691">
        <w:rPr>
          <w:rFonts w:eastAsia="SimSun" w:hint="cs"/>
          <w:spacing w:val="4"/>
          <w:rtl/>
          <w:lang w:eastAsia="zh-CN" w:bidi="ar-JO"/>
        </w:rPr>
        <w:t>النظر في المسائل المتصلة ب</w:t>
      </w:r>
      <w:r w:rsidRPr="00723691">
        <w:rPr>
          <w:rFonts w:eastAsia="SimSun" w:hint="cs"/>
          <w:spacing w:val="4"/>
          <w:rtl/>
          <w:lang w:eastAsia="zh-CN"/>
        </w:rPr>
        <w:t xml:space="preserve">أنظمة النفاذ اللاسلكي بما فيها </w:t>
      </w:r>
      <w:r w:rsidRPr="00723691">
        <w:rPr>
          <w:rFonts w:eastAsia="SimSun" w:hint="cs"/>
          <w:spacing w:val="4"/>
          <w:rtl/>
          <w:lang w:eastAsia="zh-CN" w:bidi="ar-JO"/>
        </w:rPr>
        <w:t>الشبكات المحلية الراديوية</w:t>
      </w:r>
      <w:r w:rsidRPr="00723691">
        <w:rPr>
          <w:rFonts w:eastAsia="SimSun" w:hint="eastAsia"/>
          <w:spacing w:val="4"/>
          <w:rtl/>
          <w:lang w:eastAsia="zh-CN" w:bidi="ar-JO"/>
        </w:rPr>
        <w:t> </w:t>
      </w:r>
      <w:r w:rsidRPr="00723691">
        <w:rPr>
          <w:rFonts w:eastAsia="SimSun"/>
          <w:spacing w:val="4"/>
          <w:lang w:eastAsia="zh-CN" w:bidi="ar-SY"/>
        </w:rPr>
        <w:t>(WAS/RLAN)</w:t>
      </w:r>
      <w:r w:rsidRPr="00723691">
        <w:rPr>
          <w:rFonts w:eastAsia="SimSun" w:hint="cs"/>
          <w:spacing w:val="4"/>
          <w:rtl/>
          <w:lang w:eastAsia="zh-CN"/>
        </w:rPr>
        <w:t xml:space="preserve"> في </w:t>
      </w:r>
      <w:r w:rsidRPr="00723691">
        <w:rPr>
          <w:rFonts w:eastAsia="SimSun" w:hint="cs"/>
          <w:spacing w:val="4"/>
          <w:rtl/>
          <w:lang w:eastAsia="zh-CN" w:bidi="ar-JO"/>
        </w:rPr>
        <w:t>نطاقات التردد بين </w:t>
      </w:r>
      <w:r w:rsidRPr="00723691">
        <w:rPr>
          <w:rFonts w:eastAsia="SimSun"/>
          <w:spacing w:val="4"/>
          <w:lang w:eastAsia="zh-CN" w:bidi="ar-SY"/>
        </w:rPr>
        <w:t>MHz 5 150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 و</w:t>
      </w:r>
      <w:r w:rsidRPr="00723691">
        <w:rPr>
          <w:rFonts w:eastAsia="SimSun"/>
          <w:spacing w:val="4"/>
          <w:lang w:eastAsia="zh-CN" w:bidi="ar-SY"/>
        </w:rPr>
        <w:t>MHz 5 925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، واتخاذ التدابير التنظيمية المناسبة، بما في ذلك توزيعات طيف إضافية للخدمة المتنقلة وفقاً </w:t>
      </w:r>
      <w:r w:rsidRPr="00A54413">
        <w:rPr>
          <w:rFonts w:eastAsia="SimSun" w:hint="cs"/>
          <w:spacing w:val="4"/>
          <w:rtl/>
          <w:lang w:eastAsia="zh-CN" w:bidi="ar-JO"/>
        </w:rPr>
        <w:t>للقرار</w:t>
      </w:r>
      <w:r w:rsidRPr="00A54413">
        <w:rPr>
          <w:rFonts w:eastAsia="SimSun" w:hint="eastAsia"/>
          <w:spacing w:val="4"/>
          <w:rtl/>
          <w:lang w:eastAsia="zh-CN" w:bidi="ar-JO"/>
        </w:rPr>
        <w:t> </w:t>
      </w:r>
      <w:r w:rsidRPr="00A54413">
        <w:rPr>
          <w:rFonts w:eastAsia="SimSun"/>
          <w:b/>
          <w:bCs/>
          <w:spacing w:val="4"/>
          <w:lang w:eastAsia="zh-CN" w:bidi="ar-SY"/>
        </w:rPr>
        <w:t>239 (WRC</w:t>
      </w:r>
      <w:r w:rsidRPr="00A54413">
        <w:rPr>
          <w:rFonts w:eastAsia="SimSun"/>
          <w:b/>
          <w:bCs/>
          <w:spacing w:val="4"/>
          <w:lang w:eastAsia="zh-CN" w:bidi="ar-SY"/>
        </w:rPr>
        <w:noBreakHyphen/>
      </w:r>
      <w:proofErr w:type="gramStart"/>
      <w:r w:rsidRPr="00A54413">
        <w:rPr>
          <w:rFonts w:eastAsia="SimSun"/>
          <w:b/>
          <w:bCs/>
          <w:spacing w:val="4"/>
          <w:lang w:eastAsia="zh-CN" w:bidi="ar-SY"/>
        </w:rPr>
        <w:t>15)</w:t>
      </w:r>
      <w:r w:rsidRPr="00723691">
        <w:rPr>
          <w:rFonts w:eastAsia="SimSun" w:hint="cs"/>
          <w:spacing w:val="4"/>
          <w:rtl/>
          <w:lang w:eastAsia="zh-CN"/>
        </w:rPr>
        <w:t>؛</w:t>
      </w:r>
      <w:proofErr w:type="gramEnd"/>
    </w:p>
    <w:p w14:paraId="402111BB" w14:textId="4D7FD315" w:rsidR="002F3E46" w:rsidRDefault="00112B05" w:rsidP="002B6C77">
      <w:pPr>
        <w:pStyle w:val="Title4"/>
        <w:rPr>
          <w:rtl/>
        </w:rPr>
      </w:pPr>
      <w:r w:rsidRPr="00D941AF">
        <w:rPr>
          <w:rFonts w:hint="cs"/>
          <w:rtl/>
          <w:lang w:bidi="ar-SA"/>
        </w:rPr>
        <w:t xml:space="preserve">الجزء </w:t>
      </w:r>
      <w:r w:rsidR="00041708">
        <w:rPr>
          <w:lang w:bidi="ar-SA"/>
        </w:rPr>
        <w:t>5</w:t>
      </w:r>
      <w:r w:rsidR="00041708">
        <w:rPr>
          <w:rFonts w:hint="cs"/>
          <w:rtl/>
          <w:lang w:bidi="ar-SA"/>
        </w:rPr>
        <w:t xml:space="preserve"> </w:t>
      </w:r>
      <w:r w:rsidR="00FC32FF" w:rsidRPr="00D941AF">
        <w:rPr>
          <w:rFonts w:hint="cs"/>
          <w:rtl/>
        </w:rPr>
        <w:t xml:space="preserve">- نطاق التردد </w:t>
      </w:r>
      <w:r w:rsidR="00FC32FF" w:rsidRPr="00D941AF">
        <w:t>MHz 5 925-5 850</w:t>
      </w:r>
    </w:p>
    <w:p w14:paraId="271E4C9E" w14:textId="65F655A3" w:rsidR="00FC32FF" w:rsidRDefault="00FC32FF" w:rsidP="00FC32FF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2A90FF8A" w14:textId="1835606D" w:rsidR="00BD32AA" w:rsidRDefault="00CD3A33" w:rsidP="00FC32FF">
      <w:pPr>
        <w:rPr>
          <w:rtl/>
        </w:rPr>
      </w:pPr>
      <w:r>
        <w:rPr>
          <w:rFonts w:hint="cs"/>
          <w:rtl/>
        </w:rPr>
        <w:t>ل</w:t>
      </w:r>
      <w:r w:rsidR="00112B05">
        <w:rPr>
          <w:rFonts w:hint="cs"/>
          <w:rtl/>
        </w:rPr>
        <w:t xml:space="preserve">لخدمة المتنقلة، في نطاق التردد </w:t>
      </w:r>
      <w:r w:rsidR="009019DF">
        <w:t>5</w:t>
      </w:r>
      <w:r w:rsidR="00A22903">
        <w:t xml:space="preserve"> </w:t>
      </w:r>
      <w:r w:rsidR="009019DF">
        <w:t>850</w:t>
      </w:r>
      <w:r w:rsidR="00112B05">
        <w:rPr>
          <w:rFonts w:hint="cs"/>
          <w:rtl/>
        </w:rPr>
        <w:t>-</w:t>
      </w:r>
      <w:r w:rsidR="00A22903">
        <w:t>925</w:t>
      </w:r>
      <w:r w:rsidR="00112B05">
        <w:rPr>
          <w:rFonts w:hint="cs"/>
          <w:rtl/>
        </w:rPr>
        <w:t xml:space="preserve"> </w:t>
      </w:r>
      <w:r w:rsidR="00A22903">
        <w:t>5</w:t>
      </w:r>
      <w:r w:rsidR="00112B05">
        <w:rPr>
          <w:rFonts w:hint="cs"/>
          <w:rtl/>
        </w:rPr>
        <w:t xml:space="preserve"> </w:t>
      </w:r>
      <w:r w:rsidR="00112B05" w:rsidRPr="00112B05">
        <w:t>MHz</w:t>
      </w:r>
      <w:r w:rsidR="00112B05">
        <w:rPr>
          <w:rFonts w:hint="cs"/>
          <w:rtl/>
        </w:rPr>
        <w:t>، توزيع على أساس أولي</w:t>
      </w:r>
      <w:r w:rsidR="003A6B46">
        <w:rPr>
          <w:rFonts w:hint="cs"/>
          <w:rtl/>
        </w:rPr>
        <w:t xml:space="preserve"> مشترك</w:t>
      </w:r>
      <w:r w:rsidR="00112B05">
        <w:rPr>
          <w:rFonts w:hint="cs"/>
          <w:rtl/>
        </w:rPr>
        <w:t xml:space="preserve"> مع الخدم</w:t>
      </w:r>
      <w:r w:rsidR="0061358D">
        <w:rPr>
          <w:rFonts w:hint="cs"/>
          <w:rtl/>
        </w:rPr>
        <w:t>تين</w:t>
      </w:r>
      <w:r w:rsidR="00112B05">
        <w:rPr>
          <w:rFonts w:hint="cs"/>
          <w:rtl/>
        </w:rPr>
        <w:t xml:space="preserve"> الثابتة والثابتة الساتلية.</w:t>
      </w:r>
    </w:p>
    <w:p w14:paraId="3640420E" w14:textId="25E6392E" w:rsidR="00FC32FF" w:rsidRDefault="00DF089B" w:rsidP="00741A4B">
      <w:pPr>
        <w:rPr>
          <w:rtl/>
        </w:rPr>
      </w:pPr>
      <w:r>
        <w:rPr>
          <w:rFonts w:hint="cs"/>
          <w:rtl/>
        </w:rPr>
        <w:t>و</w:t>
      </w:r>
      <w:r w:rsidR="009F7E7F">
        <w:rPr>
          <w:rFonts w:hint="cs"/>
          <w:rtl/>
        </w:rPr>
        <w:t>في أوروبا</w:t>
      </w:r>
      <w:r w:rsidR="00D204E6" w:rsidRPr="00D204E6">
        <w:rPr>
          <w:rFonts w:hint="cs"/>
          <w:rtl/>
        </w:rPr>
        <w:t xml:space="preserve"> </w:t>
      </w:r>
      <w:r w:rsidR="00D204E6">
        <w:rPr>
          <w:rFonts w:hint="cs"/>
          <w:rtl/>
        </w:rPr>
        <w:t xml:space="preserve">وبلدان المؤتمر الأوروبي لإدارات البريد والاتصالات </w:t>
      </w:r>
      <w:r w:rsidR="00D204E6">
        <w:t>(CEPT)</w:t>
      </w:r>
      <w:r w:rsidR="00D204E6">
        <w:rPr>
          <w:rFonts w:hint="cs"/>
          <w:rtl/>
        </w:rPr>
        <w:t xml:space="preserve">، </w:t>
      </w:r>
      <w:r w:rsidR="003D41FB">
        <w:rPr>
          <w:rFonts w:hint="cs"/>
          <w:rtl/>
        </w:rPr>
        <w:t>هناك</w:t>
      </w:r>
      <w:r w:rsidR="00D65E1E">
        <w:rPr>
          <w:rFonts w:hint="cs"/>
          <w:rtl/>
        </w:rPr>
        <w:t xml:space="preserve"> </w:t>
      </w:r>
      <w:r w:rsidR="009F7E7F">
        <w:rPr>
          <w:rFonts w:hint="cs"/>
          <w:rtl/>
        </w:rPr>
        <w:t>قرار</w:t>
      </w:r>
      <w:r w:rsidR="00D4393D">
        <w:rPr>
          <w:rFonts w:hint="cs"/>
          <w:rtl/>
        </w:rPr>
        <w:t xml:space="preserve"> صادر عن</w:t>
      </w:r>
      <w:r w:rsidR="009F7E7F">
        <w:rPr>
          <w:rFonts w:hint="cs"/>
          <w:rtl/>
        </w:rPr>
        <w:t xml:space="preserve"> </w:t>
      </w:r>
      <w:r w:rsidR="00CD3A33">
        <w:rPr>
          <w:rFonts w:hint="cs"/>
          <w:rtl/>
        </w:rPr>
        <w:t>المفوضية</w:t>
      </w:r>
      <w:r w:rsidR="009F7E7F">
        <w:rPr>
          <w:rFonts w:hint="cs"/>
          <w:rtl/>
        </w:rPr>
        <w:t xml:space="preserve"> الأوروبية</w:t>
      </w:r>
      <w:r w:rsidR="003A6B46">
        <w:rPr>
          <w:rFonts w:hint="cs"/>
          <w:rtl/>
        </w:rPr>
        <w:t xml:space="preserve"> بشأن الطيف</w:t>
      </w:r>
      <w:r w:rsidR="009F7E7F">
        <w:rPr>
          <w:rFonts w:hint="cs"/>
          <w:rtl/>
        </w:rPr>
        <w:t xml:space="preserve"> يتعلق ب</w:t>
      </w:r>
      <w:r w:rsidR="003A6B46">
        <w:rPr>
          <w:rFonts w:hint="cs"/>
          <w:rtl/>
        </w:rPr>
        <w:t xml:space="preserve">استخدام </w:t>
      </w:r>
      <w:r w:rsidR="003A6B46" w:rsidRPr="003A6B46">
        <w:rPr>
          <w:rtl/>
        </w:rPr>
        <w:t>أنظمة النقل الذكي</w:t>
      </w:r>
      <w:r w:rsidR="00CD3A33">
        <w:rPr>
          <w:rFonts w:hint="cs"/>
          <w:rtl/>
        </w:rPr>
        <w:t>ة</w:t>
      </w:r>
      <w:r w:rsidR="003A6B46" w:rsidRPr="003A6B46">
        <w:rPr>
          <w:rtl/>
        </w:rPr>
        <w:t xml:space="preserve"> </w:t>
      </w:r>
      <w:r w:rsidR="00A22903">
        <w:t>(</w:t>
      </w:r>
      <w:r w:rsidR="003A6B46" w:rsidRPr="003A6B46">
        <w:t>ITS</w:t>
      </w:r>
      <w:r w:rsidR="00A22903">
        <w:t>)</w:t>
      </w:r>
      <w:r w:rsidR="003A6B46">
        <w:rPr>
          <w:rFonts w:hint="cs"/>
          <w:rtl/>
        </w:rPr>
        <w:t xml:space="preserve"> غير الحصرية </w:t>
      </w:r>
      <w:r>
        <w:rPr>
          <w:rFonts w:hint="cs"/>
          <w:rtl/>
        </w:rPr>
        <w:t>في إطار</w:t>
      </w:r>
      <w:r w:rsidR="003A6B46">
        <w:rPr>
          <w:rFonts w:hint="cs"/>
          <w:rtl/>
        </w:rPr>
        <w:t xml:space="preserve"> توزيع </w:t>
      </w:r>
      <w:r w:rsidR="003D41FB">
        <w:rPr>
          <w:rFonts w:hint="cs"/>
          <w:rtl/>
        </w:rPr>
        <w:t>ا</w:t>
      </w:r>
      <w:r>
        <w:rPr>
          <w:rFonts w:hint="cs"/>
          <w:rtl/>
        </w:rPr>
        <w:t>لخدمة المتنقلة</w:t>
      </w:r>
      <w:r w:rsidR="003D41FB" w:rsidRPr="003D41FB">
        <w:rPr>
          <w:rFonts w:hint="cs"/>
          <w:rtl/>
        </w:rPr>
        <w:t xml:space="preserve"> </w:t>
      </w:r>
      <w:r w:rsidR="003D41FB">
        <w:rPr>
          <w:rFonts w:hint="cs"/>
          <w:rtl/>
        </w:rPr>
        <w:t>القائم</w:t>
      </w:r>
      <w:r>
        <w:rPr>
          <w:rFonts w:hint="cs"/>
          <w:rtl/>
        </w:rPr>
        <w:t xml:space="preserve"> على أساس أولي</w:t>
      </w:r>
      <w:r w:rsidR="003A6B46">
        <w:rPr>
          <w:rFonts w:hint="cs"/>
          <w:rtl/>
        </w:rPr>
        <w:t xml:space="preserve"> في هذا النطاق</w:t>
      </w:r>
      <w:r w:rsidR="00D204E6">
        <w:rPr>
          <w:rFonts w:hint="cs"/>
          <w:rtl/>
        </w:rPr>
        <w:t>.</w:t>
      </w:r>
      <w:r w:rsidR="003A6B46">
        <w:rPr>
          <w:rFonts w:hint="cs"/>
          <w:rtl/>
        </w:rPr>
        <w:t xml:space="preserve"> وتُبيّن نتائج الدراسات الحالية المتاحة في أوروبا</w:t>
      </w:r>
      <w:r w:rsidR="00DA0ABB">
        <w:rPr>
          <w:rFonts w:hint="cs"/>
          <w:rtl/>
        </w:rPr>
        <w:t xml:space="preserve"> أن أياً من تقنيات التخفيف ا</w:t>
      </w:r>
      <w:r w:rsidR="00D12A77">
        <w:rPr>
          <w:rFonts w:hint="cs"/>
          <w:rtl/>
        </w:rPr>
        <w:t>لخاضعة</w:t>
      </w:r>
      <w:r w:rsidR="00DA0ABB">
        <w:rPr>
          <w:rFonts w:hint="cs"/>
          <w:rtl/>
        </w:rPr>
        <w:t xml:space="preserve"> للدراسة لا تكفي </w:t>
      </w:r>
      <w:r w:rsidR="00C75C9D">
        <w:rPr>
          <w:rFonts w:hint="cs"/>
          <w:rtl/>
        </w:rPr>
        <w:t>على نحو منفرد</w:t>
      </w:r>
      <w:r w:rsidR="00DA0ABB">
        <w:rPr>
          <w:rFonts w:hint="cs"/>
          <w:rtl/>
        </w:rPr>
        <w:t xml:space="preserve"> لحماية </w:t>
      </w:r>
      <w:r w:rsidR="00DA0ABB" w:rsidRPr="003A6B46">
        <w:rPr>
          <w:rtl/>
        </w:rPr>
        <w:t>أنظمة النقل الذكي</w:t>
      </w:r>
      <w:r w:rsidR="00CD3A33">
        <w:rPr>
          <w:rFonts w:hint="cs"/>
          <w:rtl/>
        </w:rPr>
        <w:t>ة</w:t>
      </w:r>
      <w:r w:rsidR="00DA0ABB" w:rsidRPr="003A6B46">
        <w:rPr>
          <w:rtl/>
        </w:rPr>
        <w:t xml:space="preserve"> </w:t>
      </w:r>
      <w:r w:rsidR="00A22903">
        <w:t>(</w:t>
      </w:r>
      <w:r w:rsidR="00A22903" w:rsidRPr="003A6B46">
        <w:t>ITS</w:t>
      </w:r>
      <w:r w:rsidR="00A22903">
        <w:t>)</w:t>
      </w:r>
      <w:r w:rsidR="00DA0ABB">
        <w:rPr>
          <w:rFonts w:hint="cs"/>
          <w:rtl/>
        </w:rPr>
        <w:t xml:space="preserve"> من أنظمة النفاذ اللاسلكي</w:t>
      </w:r>
      <w:r w:rsidR="00D12A77">
        <w:rPr>
          <w:rFonts w:hint="cs"/>
          <w:rtl/>
        </w:rPr>
        <w:t xml:space="preserve"> </w:t>
      </w:r>
      <w:r w:rsidR="00CD3A33">
        <w:rPr>
          <w:rFonts w:hint="cs"/>
          <w:rtl/>
        </w:rPr>
        <w:t>لل</w:t>
      </w:r>
      <w:r w:rsidR="00DA0ABB">
        <w:rPr>
          <w:rFonts w:hint="cs"/>
          <w:rtl/>
        </w:rPr>
        <w:t xml:space="preserve">شبكات المحلية الراديوية </w:t>
      </w:r>
      <w:r w:rsidR="00DA0ABB">
        <w:t>(</w:t>
      </w:r>
      <w:r w:rsidR="00C75C9D">
        <w:t>WAS/RLAN)</w:t>
      </w:r>
      <w:r w:rsidR="004D369F">
        <w:rPr>
          <w:rFonts w:hint="cs"/>
          <w:rtl/>
        </w:rPr>
        <w:t>،</w:t>
      </w:r>
      <w:r w:rsidR="00C75C9D">
        <w:rPr>
          <w:rFonts w:hint="cs"/>
          <w:rtl/>
        </w:rPr>
        <w:t xml:space="preserve"> وهي </w:t>
      </w:r>
      <w:r w:rsidR="00D12A77">
        <w:rPr>
          <w:rFonts w:hint="cs"/>
          <w:rtl/>
        </w:rPr>
        <w:t>بحاجة</w:t>
      </w:r>
      <w:r w:rsidR="00C75C9D">
        <w:rPr>
          <w:rFonts w:hint="cs"/>
          <w:rtl/>
        </w:rPr>
        <w:t xml:space="preserve"> إلى مزيد من التحقق. وفضلاً عن ذلك، تنظر </w:t>
      </w:r>
      <w:r w:rsidR="00C75C9D" w:rsidRPr="00C75C9D">
        <w:rPr>
          <w:rtl/>
        </w:rPr>
        <w:t xml:space="preserve">بلدان المؤتمر الأوروبي لإدارات البريد والاتصالات </w:t>
      </w:r>
      <w:r w:rsidR="00A22903">
        <w:t>(CEPT)</w:t>
      </w:r>
      <w:r w:rsidR="00C75C9D">
        <w:rPr>
          <w:rFonts w:hint="cs"/>
          <w:rtl/>
        </w:rPr>
        <w:t xml:space="preserve"> في مبدأ</w:t>
      </w:r>
      <w:r w:rsidR="00CF63A2">
        <w:rPr>
          <w:rFonts w:hint="cs"/>
          <w:rtl/>
        </w:rPr>
        <w:t xml:space="preserve"> المساواة في النفاذ إلى الطيف</w:t>
      </w:r>
      <w:r w:rsidR="00D12A77">
        <w:rPr>
          <w:rFonts w:hint="cs"/>
          <w:rtl/>
        </w:rPr>
        <w:t xml:space="preserve"> </w:t>
      </w:r>
      <w:r w:rsidR="00CD3A33">
        <w:rPr>
          <w:rFonts w:hint="cs"/>
          <w:rtl/>
        </w:rPr>
        <w:t xml:space="preserve">المستعمل بالتقاسم </w:t>
      </w:r>
      <w:r w:rsidR="00D12A77">
        <w:rPr>
          <w:rFonts w:hint="cs"/>
          <w:rtl/>
        </w:rPr>
        <w:t>بالنسبة</w:t>
      </w:r>
      <w:r w:rsidR="00CF63A2">
        <w:rPr>
          <w:rFonts w:hint="cs"/>
          <w:rtl/>
        </w:rPr>
        <w:t xml:space="preserve"> لأنظمة السكك الحديدية في المناطق الحضرية في جزء من هذا النطاق، فيما يتعلق ب</w:t>
      </w:r>
      <w:r w:rsidR="00CF63A2" w:rsidRPr="003A6B46">
        <w:rPr>
          <w:rtl/>
        </w:rPr>
        <w:t xml:space="preserve">أنظمة النقل </w:t>
      </w:r>
      <w:r w:rsidR="00DA10FC" w:rsidRPr="003A6B46">
        <w:rPr>
          <w:rFonts w:hint="cs"/>
          <w:rtl/>
        </w:rPr>
        <w:t>الذكي</w:t>
      </w:r>
      <w:r w:rsidR="00DA10FC">
        <w:rPr>
          <w:rFonts w:hint="cs"/>
          <w:rtl/>
        </w:rPr>
        <w:t xml:space="preserve">ة </w:t>
      </w:r>
      <w:r w:rsidR="00DA10FC">
        <w:t>(</w:t>
      </w:r>
      <w:r w:rsidR="00A22903">
        <w:t>ITS)</w:t>
      </w:r>
      <w:r w:rsidR="00CF63A2">
        <w:rPr>
          <w:rFonts w:hint="cs"/>
          <w:rtl/>
        </w:rPr>
        <w:t>. وجرى تصميم نطاق</w:t>
      </w:r>
      <w:r w:rsidR="0061358D">
        <w:rPr>
          <w:rFonts w:hint="cs"/>
          <w:rtl/>
        </w:rPr>
        <w:t xml:space="preserve"> التردد</w:t>
      </w:r>
      <w:r w:rsidR="00CF63A2">
        <w:rPr>
          <w:rFonts w:hint="cs"/>
          <w:rtl/>
        </w:rPr>
        <w:t xml:space="preserve"> </w:t>
      </w:r>
      <w:r w:rsidR="00CD3A33">
        <w:t>725</w:t>
      </w:r>
      <w:r w:rsidR="00CF63A2">
        <w:rPr>
          <w:rFonts w:hint="cs"/>
          <w:rtl/>
        </w:rPr>
        <w:t xml:space="preserve"> </w:t>
      </w:r>
      <w:r w:rsidR="00CD3A33">
        <w:t>5</w:t>
      </w:r>
      <w:r w:rsidR="00CF63A2">
        <w:rPr>
          <w:rFonts w:hint="cs"/>
          <w:rtl/>
        </w:rPr>
        <w:t>-</w:t>
      </w:r>
      <w:r w:rsidR="00CD3A33">
        <w:t>875</w:t>
      </w:r>
      <w:r w:rsidR="00CF63A2">
        <w:rPr>
          <w:rFonts w:hint="cs"/>
          <w:rtl/>
        </w:rPr>
        <w:t xml:space="preserve"> </w:t>
      </w:r>
      <w:r w:rsidR="00CD3A33">
        <w:t>5</w:t>
      </w:r>
      <w:r w:rsidR="00CF63A2">
        <w:rPr>
          <w:rFonts w:hint="cs"/>
          <w:rtl/>
        </w:rPr>
        <w:t xml:space="preserve"> </w:t>
      </w:r>
      <w:r w:rsidR="00CF63A2" w:rsidRPr="00CF63A2">
        <w:t>MHz</w:t>
      </w:r>
      <w:r w:rsidR="00CF63A2">
        <w:rPr>
          <w:rFonts w:hint="cs"/>
          <w:rtl/>
        </w:rPr>
        <w:t xml:space="preserve"> </w:t>
      </w:r>
      <w:r w:rsidR="004D369F">
        <w:rPr>
          <w:rFonts w:hint="cs"/>
          <w:rtl/>
        </w:rPr>
        <w:t xml:space="preserve">أيضاً </w:t>
      </w:r>
      <w:r w:rsidR="00CF63A2">
        <w:rPr>
          <w:rFonts w:hint="cs"/>
          <w:rtl/>
        </w:rPr>
        <w:t>بوصفه نطاق تردد</w:t>
      </w:r>
      <w:r w:rsidR="004D369F">
        <w:rPr>
          <w:rFonts w:hint="cs"/>
          <w:rtl/>
        </w:rPr>
        <w:t xml:space="preserve"> مرتبط</w:t>
      </w:r>
      <w:r w:rsidR="00CD3A33">
        <w:rPr>
          <w:rFonts w:hint="cs"/>
          <w:rtl/>
          <w:lang w:val="en-GB"/>
        </w:rPr>
        <w:t>اً</w:t>
      </w:r>
      <w:r w:rsidR="004D369F">
        <w:rPr>
          <w:rFonts w:hint="cs"/>
          <w:rtl/>
        </w:rPr>
        <w:t xml:space="preserve"> بالمجالات</w:t>
      </w:r>
      <w:r w:rsidR="00CF63A2">
        <w:rPr>
          <w:rFonts w:hint="cs"/>
          <w:rtl/>
        </w:rPr>
        <w:t xml:space="preserve"> </w:t>
      </w:r>
      <w:r w:rsidR="004D369F">
        <w:rPr>
          <w:rFonts w:hint="cs"/>
          <w:rtl/>
        </w:rPr>
        <w:t>ال</w:t>
      </w:r>
      <w:r w:rsidR="00CF63A2">
        <w:rPr>
          <w:rFonts w:hint="cs"/>
          <w:rtl/>
        </w:rPr>
        <w:t>صناعية و</w:t>
      </w:r>
      <w:r w:rsidR="004D369F">
        <w:rPr>
          <w:rFonts w:hint="cs"/>
          <w:rtl/>
        </w:rPr>
        <w:t>ال</w:t>
      </w:r>
      <w:r w:rsidR="00CF63A2">
        <w:rPr>
          <w:rFonts w:hint="cs"/>
          <w:rtl/>
        </w:rPr>
        <w:t>علمية و</w:t>
      </w:r>
      <w:r w:rsidR="004D369F">
        <w:rPr>
          <w:rFonts w:hint="cs"/>
          <w:rtl/>
        </w:rPr>
        <w:t>ال</w:t>
      </w:r>
      <w:r w:rsidR="00CF63A2">
        <w:rPr>
          <w:rFonts w:hint="cs"/>
          <w:rtl/>
        </w:rPr>
        <w:t xml:space="preserve">طبية </w:t>
      </w:r>
      <w:r w:rsidR="00CF63A2">
        <w:t>(ISM)</w:t>
      </w:r>
      <w:r w:rsidR="00BD32AA">
        <w:rPr>
          <w:rFonts w:hint="cs"/>
          <w:rtl/>
        </w:rPr>
        <w:t xml:space="preserve"> في لوائح الراديو بحيث يُتوقع أن تكون الخدمات التي تستعمل هذا النطاق قوية بما يكفي للعمل في بيئة مليئة بالتحديات.</w:t>
      </w:r>
    </w:p>
    <w:p w14:paraId="58890B19" w14:textId="6B7BA7D2" w:rsidR="00501BC5" w:rsidRDefault="00501BC5" w:rsidP="00FC32FF">
      <w:pPr>
        <w:rPr>
          <w:rtl/>
        </w:rPr>
      </w:pPr>
      <w:r>
        <w:rPr>
          <w:rFonts w:hint="cs"/>
          <w:rtl/>
        </w:rPr>
        <w:t xml:space="preserve">وتشير </w:t>
      </w:r>
      <w:r w:rsidRPr="00B36FCE">
        <w:rPr>
          <w:rtl/>
        </w:rPr>
        <w:t xml:space="preserve">بلدان المؤتمر الأوروبي لإدارات البريد والاتصالات </w:t>
      </w:r>
      <w:r w:rsidR="00A22903">
        <w:t>(CEPT)</w:t>
      </w:r>
      <w:r>
        <w:rPr>
          <w:rFonts w:hint="cs"/>
          <w:rtl/>
        </w:rPr>
        <w:t xml:space="preserve"> إلى أن الدراسات الحالية تُبيّن الصعوبات </w:t>
      </w:r>
      <w:r w:rsidR="00CD3A33">
        <w:rPr>
          <w:rFonts w:hint="cs"/>
          <w:rtl/>
        </w:rPr>
        <w:t xml:space="preserve">في </w:t>
      </w:r>
      <w:r>
        <w:rPr>
          <w:rFonts w:hint="cs"/>
          <w:rtl/>
        </w:rPr>
        <w:t xml:space="preserve">تحقيق التعايش بين الشبكات المحلية الراديوية </w:t>
      </w:r>
      <w:r>
        <w:t>(RLAN)</w:t>
      </w:r>
      <w:r>
        <w:rPr>
          <w:rFonts w:hint="cs"/>
          <w:rtl/>
        </w:rPr>
        <w:t xml:space="preserve"> العاملة خارج المباني بقدرة تصل إلى </w:t>
      </w:r>
      <w:r w:rsidR="00CD3A33">
        <w:t>1</w:t>
      </w:r>
      <w:r>
        <w:rPr>
          <w:rFonts w:hint="cs"/>
          <w:rtl/>
        </w:rPr>
        <w:t xml:space="preserve"> </w:t>
      </w:r>
      <w:r>
        <w:t>W</w:t>
      </w:r>
      <w:r>
        <w:rPr>
          <w:rFonts w:hint="cs"/>
          <w:rtl/>
        </w:rPr>
        <w:t xml:space="preserve"> مع الاستعمال غير المقيّد والخدمات القائمة الأخرى دون فرض أي قيود إضافية على الخدمات القائمة مثل الخدمة الثابتة الساتلية (مستقبلات المحطات الفضائية) والتطبيقات القائمة </w:t>
      </w:r>
      <w:r w:rsidR="007A3CBD">
        <w:rPr>
          <w:rFonts w:hint="cs"/>
          <w:rtl/>
        </w:rPr>
        <w:t>في إطار</w:t>
      </w:r>
      <w:r>
        <w:rPr>
          <w:rFonts w:hint="cs"/>
          <w:rtl/>
        </w:rPr>
        <w:t xml:space="preserve"> الخدمة المتنقلة مثل</w:t>
      </w:r>
      <w:r w:rsidRPr="0038320C">
        <w:rPr>
          <w:rtl/>
        </w:rPr>
        <w:t xml:space="preserve"> أنظمة النقل الذكي</w:t>
      </w:r>
      <w:r w:rsidR="00CD3A33">
        <w:rPr>
          <w:rFonts w:hint="cs"/>
          <w:rtl/>
        </w:rPr>
        <w:t>ة</w:t>
      </w:r>
      <w:r w:rsidRPr="0038320C">
        <w:rPr>
          <w:rtl/>
        </w:rPr>
        <w:t xml:space="preserve"> </w:t>
      </w:r>
      <w:r w:rsidR="001545F9">
        <w:t>(ITS)</w:t>
      </w:r>
      <w:r>
        <w:rPr>
          <w:rFonts w:hint="cs"/>
          <w:rtl/>
        </w:rPr>
        <w:t xml:space="preserve"> (بما في ذلك السكك الحديدية في المناطق الحضرية). وهي بالتالي لا تؤيد إجراء أي تغيير في لوائح الراديو في هذا النطاق.</w:t>
      </w:r>
    </w:p>
    <w:p w14:paraId="20B9DFA4" w14:textId="24C96EA4" w:rsidR="00DA10FC" w:rsidRPr="00DA10FC" w:rsidRDefault="00175D90" w:rsidP="00FC32FF">
      <w:pPr>
        <w:rPr>
          <w:b/>
          <w:spacing w:val="-6"/>
          <w:szCs w:val="24"/>
          <w:rtl/>
        </w:rPr>
      </w:pPr>
      <w:r w:rsidRPr="00DA10FC">
        <w:rPr>
          <w:rFonts w:hint="cs"/>
          <w:spacing w:val="-6"/>
          <w:rtl/>
        </w:rPr>
        <w:lastRenderedPageBreak/>
        <w:t xml:space="preserve">ونظراً </w:t>
      </w:r>
      <w:r w:rsidR="007A3CBD" w:rsidRPr="00DA10FC">
        <w:rPr>
          <w:rFonts w:hint="cs"/>
          <w:spacing w:val="-6"/>
          <w:rtl/>
        </w:rPr>
        <w:t>ل</w:t>
      </w:r>
      <w:r w:rsidR="0003053D" w:rsidRPr="00DA10FC">
        <w:rPr>
          <w:rFonts w:hint="cs"/>
          <w:spacing w:val="-6"/>
          <w:rtl/>
        </w:rPr>
        <w:t>استكمال</w:t>
      </w:r>
      <w:r w:rsidRPr="00DA10FC">
        <w:rPr>
          <w:rFonts w:hint="cs"/>
          <w:spacing w:val="-6"/>
          <w:rtl/>
        </w:rPr>
        <w:t xml:space="preserve"> هذا البند من جدول الأعمال دون اقتراح أي عمل جديد، فل</w:t>
      </w:r>
      <w:r w:rsidR="007A3CBD" w:rsidRPr="00DA10FC">
        <w:rPr>
          <w:rFonts w:hint="cs"/>
          <w:spacing w:val="-6"/>
          <w:rtl/>
        </w:rPr>
        <w:t>م يعد</w:t>
      </w:r>
      <w:r w:rsidRPr="00DA10FC">
        <w:rPr>
          <w:rFonts w:hint="cs"/>
          <w:spacing w:val="-6"/>
          <w:rtl/>
        </w:rPr>
        <w:t xml:space="preserve"> هناك ضرورة للإبقاء على القرار </w:t>
      </w:r>
      <w:r w:rsidRPr="00DA10FC">
        <w:rPr>
          <w:b/>
          <w:spacing w:val="-6"/>
          <w:szCs w:val="24"/>
        </w:rPr>
        <w:t>239 (WRC-15)</w:t>
      </w:r>
      <w:r w:rsidRPr="00DA10FC">
        <w:rPr>
          <w:rFonts w:hint="cs"/>
          <w:b/>
          <w:spacing w:val="-6"/>
          <w:szCs w:val="24"/>
          <w:rtl/>
        </w:rPr>
        <w:t>.</w:t>
      </w:r>
    </w:p>
    <w:p w14:paraId="4C8F1701" w14:textId="18EFB0B0" w:rsidR="00FC32FF" w:rsidRPr="00FC32FF" w:rsidRDefault="00FC32FF" w:rsidP="00FC32FF">
      <w:pPr>
        <w:pStyle w:val="Headingb"/>
        <w:jc w:val="left"/>
      </w:pPr>
      <w:r>
        <w:rPr>
          <w:rFonts w:hint="cs"/>
          <w:rtl/>
        </w:rPr>
        <w:t>المقترحات</w:t>
      </w:r>
    </w:p>
    <w:p w14:paraId="0420A521" w14:textId="77777777" w:rsidR="00632DB3" w:rsidRDefault="00FC32FF" w:rsidP="002B6C77">
      <w:pPr>
        <w:pStyle w:val="ArtNo"/>
        <w:spacing w:before="240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736B9B42" w14:textId="77777777" w:rsidR="00632DB3" w:rsidRDefault="00FC32FF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02301CA1" w14:textId="5E6ABD54" w:rsidR="00632DB3" w:rsidRDefault="00FC32FF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0AC70477" w14:textId="77777777" w:rsidR="00FB0EAC" w:rsidRDefault="00FC32FF">
      <w:pPr>
        <w:pStyle w:val="Proposal"/>
      </w:pPr>
      <w:r>
        <w:rPr>
          <w:u w:val="single"/>
        </w:rPr>
        <w:t>NOC</w:t>
      </w:r>
      <w:r>
        <w:tab/>
        <w:t>EUR/16A16A5/1</w:t>
      </w:r>
      <w:r>
        <w:rPr>
          <w:vanish/>
          <w:color w:val="7F7F7F" w:themeColor="text1" w:themeTint="80"/>
          <w:vertAlign w:val="superscript"/>
        </w:rPr>
        <w:t>#49958</w:t>
      </w:r>
    </w:p>
    <w:p w14:paraId="1002F0A6" w14:textId="77777777" w:rsidR="001D220A" w:rsidRPr="00F01CC5" w:rsidRDefault="00FC32FF" w:rsidP="001D220A">
      <w:pPr>
        <w:pStyle w:val="Tabletitle"/>
        <w:rPr>
          <w:rtl/>
        </w:rPr>
      </w:pPr>
      <w:r w:rsidRPr="00F01CC5">
        <w:t>MHz 6 700-5 570</w:t>
      </w:r>
    </w:p>
    <w:p w14:paraId="3A99F647" w14:textId="0938A165" w:rsidR="00AC456F" w:rsidRDefault="00FC32FF" w:rsidP="00CD3A33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AC456F" w:rsidRPr="00CD3A33">
        <w:rPr>
          <w:rFonts w:hint="cs"/>
          <w:b w:val="0"/>
          <w:bCs w:val="0"/>
          <w:rtl/>
        </w:rPr>
        <w:t xml:space="preserve">تشير </w:t>
      </w:r>
      <w:r w:rsidR="00AC456F" w:rsidRPr="00CD3A33">
        <w:rPr>
          <w:b w:val="0"/>
          <w:bCs w:val="0"/>
          <w:rtl/>
        </w:rPr>
        <w:t xml:space="preserve">بلدان المؤتمر الأوروبي لإدارات البريد والاتصالات </w:t>
      </w:r>
      <w:r w:rsidR="00DA10FC" w:rsidRPr="00DA10FC">
        <w:rPr>
          <w:rFonts w:ascii="Times New Roman" w:hAnsi="Times New Roman"/>
          <w:b w:val="0"/>
          <w:bCs w:val="0"/>
        </w:rPr>
        <w:t>(CEPT)</w:t>
      </w:r>
      <w:r w:rsidR="00AC456F" w:rsidRPr="00CD3A33">
        <w:rPr>
          <w:rFonts w:hint="cs"/>
          <w:b w:val="0"/>
          <w:bCs w:val="0"/>
          <w:rtl/>
        </w:rPr>
        <w:t xml:space="preserve"> إلى أن الدراسات الحالية تُبيّن الصعوبات </w:t>
      </w:r>
      <w:r w:rsidR="00CD3A33">
        <w:rPr>
          <w:rFonts w:hint="cs"/>
          <w:b w:val="0"/>
          <w:bCs w:val="0"/>
          <w:rtl/>
        </w:rPr>
        <w:t>في</w:t>
      </w:r>
      <w:r w:rsidR="00AC456F" w:rsidRPr="00CD3A33">
        <w:rPr>
          <w:rFonts w:hint="cs"/>
          <w:b w:val="0"/>
          <w:bCs w:val="0"/>
          <w:rtl/>
        </w:rPr>
        <w:t xml:space="preserve"> تحقيق التعايش بين الشبكات المحلية الراديوية </w:t>
      </w:r>
      <w:r w:rsidR="00AC456F" w:rsidRPr="00CD3A33">
        <w:rPr>
          <w:rFonts w:ascii="Times New Roman" w:hAnsi="Times New Roman"/>
          <w:b w:val="0"/>
          <w:bCs w:val="0"/>
        </w:rPr>
        <w:t>(RLAN)</w:t>
      </w:r>
      <w:r w:rsidR="00AC456F" w:rsidRPr="00CD3A33">
        <w:rPr>
          <w:rFonts w:hint="cs"/>
          <w:b w:val="0"/>
          <w:bCs w:val="0"/>
          <w:rtl/>
        </w:rPr>
        <w:t xml:space="preserve"> العاملة خارج المباني بقدرة تصل إلى </w:t>
      </w:r>
      <w:r w:rsidR="00CD3A33">
        <w:rPr>
          <w:rFonts w:ascii="Times New Roman" w:hAnsi="Times New Roman"/>
          <w:b w:val="0"/>
          <w:bCs w:val="0"/>
        </w:rPr>
        <w:t>1</w:t>
      </w:r>
      <w:r w:rsidR="00AC456F" w:rsidRPr="00CD3A33">
        <w:rPr>
          <w:rFonts w:ascii="Times New Roman" w:hAnsi="Times New Roman" w:hint="cs"/>
          <w:b w:val="0"/>
          <w:bCs w:val="0"/>
          <w:rtl/>
        </w:rPr>
        <w:t xml:space="preserve"> </w:t>
      </w:r>
      <w:r w:rsidR="00AC456F" w:rsidRPr="00CD3A33">
        <w:rPr>
          <w:rFonts w:ascii="Times New Roman" w:hAnsi="Times New Roman"/>
          <w:b w:val="0"/>
          <w:bCs w:val="0"/>
        </w:rPr>
        <w:t>W</w:t>
      </w:r>
      <w:r w:rsidR="00AC456F" w:rsidRPr="00CD3A33">
        <w:rPr>
          <w:rFonts w:hint="cs"/>
          <w:b w:val="0"/>
          <w:bCs w:val="0"/>
          <w:rtl/>
        </w:rPr>
        <w:t xml:space="preserve"> مع </w:t>
      </w:r>
      <w:r w:rsidR="00501BC5" w:rsidRPr="00CD3A33">
        <w:rPr>
          <w:rFonts w:hint="cs"/>
          <w:b w:val="0"/>
          <w:bCs w:val="0"/>
          <w:rtl/>
        </w:rPr>
        <w:t>ال</w:t>
      </w:r>
      <w:r w:rsidR="00AC456F" w:rsidRPr="00CD3A33">
        <w:rPr>
          <w:rFonts w:hint="cs"/>
          <w:b w:val="0"/>
          <w:bCs w:val="0"/>
          <w:rtl/>
        </w:rPr>
        <w:t xml:space="preserve">استعمال غير </w:t>
      </w:r>
      <w:r w:rsidR="00501BC5" w:rsidRPr="00CD3A33">
        <w:rPr>
          <w:rFonts w:hint="cs"/>
          <w:b w:val="0"/>
          <w:bCs w:val="0"/>
          <w:rtl/>
        </w:rPr>
        <w:t>ال</w:t>
      </w:r>
      <w:r w:rsidR="00AC456F" w:rsidRPr="00CD3A33">
        <w:rPr>
          <w:rFonts w:hint="cs"/>
          <w:b w:val="0"/>
          <w:bCs w:val="0"/>
          <w:rtl/>
        </w:rPr>
        <w:t>مقيّد و</w:t>
      </w:r>
      <w:r w:rsidR="00501BC5" w:rsidRPr="00CD3A33">
        <w:rPr>
          <w:rFonts w:hint="cs"/>
          <w:b w:val="0"/>
          <w:bCs w:val="0"/>
          <w:rtl/>
        </w:rPr>
        <w:t>ال</w:t>
      </w:r>
      <w:r w:rsidR="00AC456F" w:rsidRPr="00CD3A33">
        <w:rPr>
          <w:rFonts w:hint="cs"/>
          <w:b w:val="0"/>
          <w:bCs w:val="0"/>
          <w:rtl/>
        </w:rPr>
        <w:t xml:space="preserve">خدمات </w:t>
      </w:r>
      <w:r w:rsidR="00501BC5" w:rsidRPr="00CD3A33">
        <w:rPr>
          <w:rFonts w:hint="cs"/>
          <w:b w:val="0"/>
          <w:bCs w:val="0"/>
          <w:rtl/>
        </w:rPr>
        <w:t>ال</w:t>
      </w:r>
      <w:r w:rsidR="00AC456F" w:rsidRPr="00CD3A33">
        <w:rPr>
          <w:rFonts w:hint="cs"/>
          <w:b w:val="0"/>
          <w:bCs w:val="0"/>
          <w:rtl/>
        </w:rPr>
        <w:t xml:space="preserve">قائمة </w:t>
      </w:r>
      <w:r w:rsidR="00501BC5" w:rsidRPr="00CD3A33">
        <w:rPr>
          <w:rFonts w:hint="cs"/>
          <w:b w:val="0"/>
          <w:bCs w:val="0"/>
          <w:rtl/>
        </w:rPr>
        <w:t>ال</w:t>
      </w:r>
      <w:r w:rsidR="00AC456F" w:rsidRPr="00CD3A33">
        <w:rPr>
          <w:rFonts w:hint="cs"/>
          <w:b w:val="0"/>
          <w:bCs w:val="0"/>
          <w:rtl/>
        </w:rPr>
        <w:t xml:space="preserve">أخرى دون فرض أي قيود إضافية على الخدمات القائمة مثل الخدمة الثابتة الساتلية (مستقبلات المحطات الفضائية) والتطبيقات القائمة </w:t>
      </w:r>
      <w:r w:rsidR="008D1577" w:rsidRPr="00CD3A33">
        <w:rPr>
          <w:rFonts w:hint="cs"/>
          <w:b w:val="0"/>
          <w:bCs w:val="0"/>
          <w:rtl/>
        </w:rPr>
        <w:t>في إطار</w:t>
      </w:r>
      <w:r w:rsidR="00AC456F" w:rsidRPr="00CD3A33">
        <w:rPr>
          <w:rFonts w:hint="cs"/>
          <w:b w:val="0"/>
          <w:bCs w:val="0"/>
          <w:rtl/>
        </w:rPr>
        <w:t xml:space="preserve"> الخدمة المتنقلة مثل</w:t>
      </w:r>
      <w:r w:rsidR="00AC456F" w:rsidRPr="00CD3A33">
        <w:rPr>
          <w:b w:val="0"/>
          <w:bCs w:val="0"/>
          <w:rtl/>
        </w:rPr>
        <w:t xml:space="preserve"> أنظمة النقل الذكي</w:t>
      </w:r>
      <w:r w:rsidR="00CD3A33">
        <w:rPr>
          <w:rFonts w:hint="cs"/>
          <w:b w:val="0"/>
          <w:bCs w:val="0"/>
          <w:rtl/>
        </w:rPr>
        <w:t>ة</w:t>
      </w:r>
      <w:r w:rsidR="00AC456F" w:rsidRPr="00CD3A33">
        <w:rPr>
          <w:b w:val="0"/>
          <w:bCs w:val="0"/>
          <w:rtl/>
        </w:rPr>
        <w:t xml:space="preserve"> </w:t>
      </w:r>
      <w:r w:rsidR="00DA10FC" w:rsidRPr="00DA10FC">
        <w:rPr>
          <w:rFonts w:ascii="Times New Roman" w:hAnsi="Times New Roman"/>
          <w:b w:val="0"/>
          <w:bCs w:val="0"/>
        </w:rPr>
        <w:t>(ITS)</w:t>
      </w:r>
      <w:r w:rsidR="00AC456F" w:rsidRPr="00DA10FC">
        <w:rPr>
          <w:rFonts w:ascii="Times New Roman" w:hAnsi="Times New Roman" w:hint="cs"/>
          <w:b w:val="0"/>
          <w:bCs w:val="0"/>
          <w:rtl/>
        </w:rPr>
        <w:t xml:space="preserve"> </w:t>
      </w:r>
      <w:r w:rsidR="00AC456F" w:rsidRPr="00CD3A33">
        <w:rPr>
          <w:rFonts w:hint="cs"/>
          <w:b w:val="0"/>
          <w:bCs w:val="0"/>
          <w:rtl/>
        </w:rPr>
        <w:t>(بما في ذلك السكك الحديدية في المناطق الحضرية). و</w:t>
      </w:r>
      <w:r w:rsidR="00501BC5" w:rsidRPr="00CD3A33">
        <w:rPr>
          <w:rFonts w:hint="cs"/>
          <w:b w:val="0"/>
          <w:bCs w:val="0"/>
          <w:rtl/>
        </w:rPr>
        <w:t xml:space="preserve">هي </w:t>
      </w:r>
      <w:r w:rsidR="00AC456F" w:rsidRPr="00CD3A33">
        <w:rPr>
          <w:rFonts w:hint="cs"/>
          <w:b w:val="0"/>
          <w:bCs w:val="0"/>
          <w:rtl/>
        </w:rPr>
        <w:t>بالتالي لا تؤيد</w:t>
      </w:r>
      <w:r w:rsidR="00501BC5" w:rsidRPr="00CD3A33">
        <w:rPr>
          <w:rFonts w:hint="cs"/>
          <w:b w:val="0"/>
          <w:bCs w:val="0"/>
          <w:rtl/>
        </w:rPr>
        <w:t xml:space="preserve"> إجراء</w:t>
      </w:r>
      <w:r w:rsidR="00AC456F" w:rsidRPr="00CD3A33">
        <w:rPr>
          <w:rFonts w:hint="cs"/>
          <w:b w:val="0"/>
          <w:bCs w:val="0"/>
          <w:rtl/>
        </w:rPr>
        <w:t xml:space="preserve"> أي تغيير في لوائح الراديو في هذا النطاق.</w:t>
      </w:r>
    </w:p>
    <w:p w14:paraId="2D4A7D86" w14:textId="77777777" w:rsidR="00FB0EAC" w:rsidRDefault="00FC32FF">
      <w:pPr>
        <w:pStyle w:val="Proposal"/>
      </w:pPr>
      <w:r>
        <w:t>SUP</w:t>
      </w:r>
      <w:r>
        <w:tab/>
        <w:t>EUR/16A16A5/2</w:t>
      </w:r>
      <w:r>
        <w:rPr>
          <w:vanish/>
          <w:color w:val="7F7F7F" w:themeColor="text1" w:themeTint="80"/>
          <w:vertAlign w:val="superscript"/>
        </w:rPr>
        <w:t>#49964</w:t>
      </w:r>
    </w:p>
    <w:p w14:paraId="1DBE4D7B" w14:textId="77777777" w:rsidR="001D220A" w:rsidRPr="00F01CC5" w:rsidRDefault="00FC32FF" w:rsidP="001D220A">
      <w:pPr>
        <w:pStyle w:val="ResNo"/>
      </w:pPr>
      <w:r w:rsidRPr="00F01CC5">
        <w:rPr>
          <w:rFonts w:hint="cs"/>
          <w:rtl/>
        </w:rPr>
        <w:t>ال</w:t>
      </w:r>
      <w:r w:rsidRPr="00F01CC5">
        <w:rPr>
          <w:rtl/>
        </w:rPr>
        <w:t xml:space="preserve">قـرار </w:t>
      </w:r>
      <w:r w:rsidRPr="00F01CC5">
        <w:rPr>
          <w:rStyle w:val="href"/>
        </w:rPr>
        <w:t>239</w:t>
      </w:r>
      <w:r w:rsidRPr="00F01CC5">
        <w:t xml:space="preserve"> (WRC</w:t>
      </w:r>
      <w:r w:rsidRPr="00F01CC5">
        <w:noBreakHyphen/>
        <w:t>15)</w:t>
      </w:r>
    </w:p>
    <w:p w14:paraId="28AF2C52" w14:textId="77777777" w:rsidR="001D220A" w:rsidRPr="00F01CC5" w:rsidRDefault="00FC32FF" w:rsidP="001D220A">
      <w:pPr>
        <w:pStyle w:val="Restitle"/>
        <w:rPr>
          <w:rtl/>
        </w:rPr>
      </w:pPr>
      <w:r w:rsidRPr="00F01CC5">
        <w:rPr>
          <w:rFonts w:hint="cs"/>
          <w:rtl/>
        </w:rPr>
        <w:t xml:space="preserve">دراسات بشأن أنظمة النفاذ اللاسلكي بما فيها الشبكات المحلية الراديوية </w:t>
      </w:r>
      <w:r w:rsidRPr="00F01CC5">
        <w:rPr>
          <w:rtl/>
        </w:rPr>
        <w:br/>
      </w:r>
      <w:r w:rsidRPr="00F01CC5">
        <w:rPr>
          <w:rFonts w:hint="cs"/>
          <w:rtl/>
        </w:rPr>
        <w:t>في نطاقات التردد بين </w:t>
      </w:r>
      <w:r w:rsidRPr="00F01CC5">
        <w:t>MHz 5 150</w:t>
      </w:r>
      <w:r w:rsidRPr="00F01CC5">
        <w:rPr>
          <w:rFonts w:hint="cs"/>
          <w:rtl/>
        </w:rPr>
        <w:t xml:space="preserve"> و</w:t>
      </w:r>
      <w:r w:rsidRPr="00F01CC5">
        <w:t>MHz 5 925</w:t>
      </w:r>
    </w:p>
    <w:p w14:paraId="058A8F51" w14:textId="44C90CD3" w:rsidR="00AC456F" w:rsidRPr="00DA10FC" w:rsidRDefault="00FC32FF" w:rsidP="00DA10FC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AC456F" w:rsidRPr="00DA10FC">
        <w:rPr>
          <w:rFonts w:hint="cs"/>
          <w:b w:val="0"/>
          <w:bCs w:val="0"/>
          <w:rtl/>
        </w:rPr>
        <w:t xml:space="preserve">نظراً </w:t>
      </w:r>
      <w:r w:rsidR="008D1577" w:rsidRPr="00DA10FC">
        <w:rPr>
          <w:rFonts w:hint="cs"/>
          <w:b w:val="0"/>
          <w:bCs w:val="0"/>
          <w:rtl/>
        </w:rPr>
        <w:t>ل</w:t>
      </w:r>
      <w:r w:rsidR="00AC456F" w:rsidRPr="00DA10FC">
        <w:rPr>
          <w:rFonts w:hint="cs"/>
          <w:b w:val="0"/>
          <w:bCs w:val="0"/>
          <w:rtl/>
        </w:rPr>
        <w:t>استكمال هذا البند من جدول الأعمال دون اقتراح أي عمل جديد، فل</w:t>
      </w:r>
      <w:r w:rsidR="0061358D" w:rsidRPr="00DA10FC">
        <w:rPr>
          <w:rFonts w:hint="cs"/>
          <w:b w:val="0"/>
          <w:bCs w:val="0"/>
          <w:rtl/>
        </w:rPr>
        <w:t>م يعد</w:t>
      </w:r>
      <w:r w:rsidR="00AC456F" w:rsidRPr="00DA10FC">
        <w:rPr>
          <w:rFonts w:hint="cs"/>
          <w:b w:val="0"/>
          <w:bCs w:val="0"/>
          <w:rtl/>
        </w:rPr>
        <w:t xml:space="preserve"> هناك ضرورة للإبقاء على </w:t>
      </w:r>
      <w:r w:rsidR="00AC456F" w:rsidRPr="00DA10FC">
        <w:rPr>
          <w:rFonts w:hint="cs"/>
          <w:rtl/>
        </w:rPr>
        <w:t>القرار</w:t>
      </w:r>
      <w:r w:rsidR="00AC456F" w:rsidRPr="00DA10FC">
        <w:rPr>
          <w:rFonts w:hint="cs"/>
          <w:b w:val="0"/>
          <w:bCs w:val="0"/>
          <w:rtl/>
        </w:rPr>
        <w:t xml:space="preserve"> </w:t>
      </w:r>
      <w:r w:rsidR="00AC456F" w:rsidRPr="00DA10FC">
        <w:rPr>
          <w:b w:val="0"/>
          <w:bCs w:val="0"/>
          <w:szCs w:val="24"/>
        </w:rPr>
        <w:t>239 (WRC-15)</w:t>
      </w:r>
      <w:r w:rsidR="00AC456F" w:rsidRPr="00DA10FC">
        <w:rPr>
          <w:rFonts w:hint="cs"/>
          <w:b w:val="0"/>
          <w:bCs w:val="0"/>
          <w:szCs w:val="24"/>
          <w:rtl/>
        </w:rPr>
        <w:t>.</w:t>
      </w:r>
    </w:p>
    <w:p w14:paraId="157E9E30" w14:textId="3C317AB8" w:rsidR="00FC32FF" w:rsidRPr="00FC32FF" w:rsidRDefault="00FC32FF" w:rsidP="00741A4B">
      <w:pPr>
        <w:spacing w:before="240"/>
        <w:jc w:val="center"/>
      </w:pPr>
      <w:bookmarkStart w:id="4" w:name="_GoBack"/>
      <w:bookmarkEnd w:id="4"/>
      <w:r>
        <w:rPr>
          <w:rFonts w:hint="cs"/>
          <w:rtl/>
        </w:rPr>
        <w:t>___________</w:t>
      </w:r>
    </w:p>
    <w:sectPr w:rsidR="00FC32FF" w:rsidRPr="00FC32FF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EA644" w14:textId="77777777" w:rsidR="00765DB1" w:rsidRDefault="00765DB1" w:rsidP="002919E1">
      <w:r>
        <w:separator/>
      </w:r>
    </w:p>
    <w:p w14:paraId="6F3D5372" w14:textId="77777777" w:rsidR="00765DB1" w:rsidRDefault="00765DB1" w:rsidP="002919E1"/>
    <w:p w14:paraId="1EB726F7" w14:textId="77777777" w:rsidR="00765DB1" w:rsidRDefault="00765DB1" w:rsidP="002919E1"/>
    <w:p w14:paraId="735E9098" w14:textId="77777777" w:rsidR="00765DB1" w:rsidRDefault="00765DB1"/>
  </w:endnote>
  <w:endnote w:type="continuationSeparator" w:id="0">
    <w:p w14:paraId="18BD2405" w14:textId="77777777" w:rsidR="00765DB1" w:rsidRDefault="00765DB1" w:rsidP="002919E1">
      <w:r>
        <w:continuationSeparator/>
      </w:r>
    </w:p>
    <w:p w14:paraId="2B1B9C33" w14:textId="77777777" w:rsidR="00765DB1" w:rsidRDefault="00765DB1" w:rsidP="002919E1"/>
    <w:p w14:paraId="5D4415D6" w14:textId="77777777" w:rsidR="00765DB1" w:rsidRDefault="00765DB1" w:rsidP="002919E1"/>
    <w:p w14:paraId="18068D42" w14:textId="77777777" w:rsidR="00765DB1" w:rsidRDefault="00765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3B361" w14:textId="5CFBC981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13E45">
      <w:rPr>
        <w:noProof/>
      </w:rPr>
      <w:t>P:\ARA\ITU-R\CONF-R\CMR19\000\016ADD16ADD05A.docx</w:t>
    </w:r>
    <w:r>
      <w:fldChar w:fldCharType="end"/>
    </w:r>
    <w:proofErr w:type="gramStart"/>
    <w:r w:rsidRPr="00A809E8">
      <w:t xml:space="preserve">   (</w:t>
    </w:r>
    <w:proofErr w:type="gramEnd"/>
    <w:r w:rsidR="003B4967">
      <w:t>461989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010" w14:textId="1B43553A" w:rsidR="00281F5F" w:rsidRPr="003B4967" w:rsidRDefault="003B4967" w:rsidP="003B496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13E45">
      <w:rPr>
        <w:noProof/>
      </w:rPr>
      <w:t>P:\ARA\ITU-R\CONF-R\CMR19\000\016ADD16ADD05A.docx</w:t>
    </w:r>
    <w:r>
      <w:fldChar w:fldCharType="end"/>
    </w:r>
    <w:proofErr w:type="gramStart"/>
    <w:r w:rsidRPr="00A809E8">
      <w:t xml:space="preserve">   (</w:t>
    </w:r>
    <w:proofErr w:type="gramEnd"/>
    <w:r>
      <w:t>461989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1D3B" w14:textId="77777777" w:rsidR="00765DB1" w:rsidRDefault="00765DB1" w:rsidP="002919E1">
      <w:r>
        <w:t>___________________</w:t>
      </w:r>
    </w:p>
  </w:footnote>
  <w:footnote w:type="continuationSeparator" w:id="0">
    <w:p w14:paraId="5358ABA6" w14:textId="77777777" w:rsidR="00765DB1" w:rsidRDefault="00765DB1" w:rsidP="002919E1">
      <w:r>
        <w:continuationSeparator/>
      </w:r>
    </w:p>
    <w:p w14:paraId="0BBDE5CF" w14:textId="77777777" w:rsidR="00765DB1" w:rsidRDefault="00765DB1" w:rsidP="002919E1"/>
    <w:p w14:paraId="0F25FC43" w14:textId="77777777" w:rsidR="00765DB1" w:rsidRDefault="00765DB1" w:rsidP="002919E1"/>
    <w:p w14:paraId="3F4B4372" w14:textId="77777777" w:rsidR="00765DB1" w:rsidRDefault="00765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0EFB3" w14:textId="77777777" w:rsidR="00281F5F" w:rsidRDefault="00281F5F" w:rsidP="002919E1"/>
  <w:p w14:paraId="56F8AAB9" w14:textId="77777777" w:rsidR="00281F5F" w:rsidRDefault="00281F5F" w:rsidP="002919E1"/>
  <w:p w14:paraId="1CBA6F6C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0C8CF" w14:textId="77777777" w:rsidR="00281F5F" w:rsidRPr="008927F5" w:rsidRDefault="008927F5" w:rsidP="00741A4B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16)(</w:t>
    </w:r>
    <w:proofErr w:type="gramEnd"/>
    <w:r>
      <w:rPr>
        <w:rStyle w:val="PageNumber"/>
      </w:rPr>
      <w:t>Add.5)-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8E0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AF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7417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761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E3F"/>
    <w:rsid w:val="00011F8C"/>
    <w:rsid w:val="00022B74"/>
    <w:rsid w:val="0002327C"/>
    <w:rsid w:val="0003053D"/>
    <w:rsid w:val="00034B65"/>
    <w:rsid w:val="00040C94"/>
    <w:rsid w:val="00041708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12B05"/>
    <w:rsid w:val="00122D64"/>
    <w:rsid w:val="00123AA6"/>
    <w:rsid w:val="00123B85"/>
    <w:rsid w:val="0012545F"/>
    <w:rsid w:val="00136B82"/>
    <w:rsid w:val="001464F2"/>
    <w:rsid w:val="001545F9"/>
    <w:rsid w:val="00167364"/>
    <w:rsid w:val="00175D90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13E45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6C77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8320C"/>
    <w:rsid w:val="003923B1"/>
    <w:rsid w:val="003965FE"/>
    <w:rsid w:val="003A6B46"/>
    <w:rsid w:val="003B27AD"/>
    <w:rsid w:val="003B4967"/>
    <w:rsid w:val="003B4F23"/>
    <w:rsid w:val="003C12F6"/>
    <w:rsid w:val="003C3A13"/>
    <w:rsid w:val="003D41FB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369F"/>
    <w:rsid w:val="004D4AE6"/>
    <w:rsid w:val="00501BC5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1358D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1A4B"/>
    <w:rsid w:val="00742B73"/>
    <w:rsid w:val="00751251"/>
    <w:rsid w:val="007610E7"/>
    <w:rsid w:val="00764079"/>
    <w:rsid w:val="00765DB1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A3CBD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1577"/>
    <w:rsid w:val="008D6ACC"/>
    <w:rsid w:val="008D7AF0"/>
    <w:rsid w:val="008E2CBE"/>
    <w:rsid w:val="008E32DD"/>
    <w:rsid w:val="008E53C5"/>
    <w:rsid w:val="008F0A04"/>
    <w:rsid w:val="008F4626"/>
    <w:rsid w:val="009004DF"/>
    <w:rsid w:val="009019DF"/>
    <w:rsid w:val="00904AA5"/>
    <w:rsid w:val="00945B38"/>
    <w:rsid w:val="00951718"/>
    <w:rsid w:val="00960962"/>
    <w:rsid w:val="00972CE0"/>
    <w:rsid w:val="009A3D30"/>
    <w:rsid w:val="009D6348"/>
    <w:rsid w:val="009E5007"/>
    <w:rsid w:val="009E613F"/>
    <w:rsid w:val="009F042B"/>
    <w:rsid w:val="009F7E7F"/>
    <w:rsid w:val="00A03FD6"/>
    <w:rsid w:val="00A04CF4"/>
    <w:rsid w:val="00A116A8"/>
    <w:rsid w:val="00A11BC5"/>
    <w:rsid w:val="00A17E61"/>
    <w:rsid w:val="00A22903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456F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3627B"/>
    <w:rsid w:val="00B36FCE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32AA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75C9D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3A33"/>
    <w:rsid w:val="00CE0E68"/>
    <w:rsid w:val="00CE5BA4"/>
    <w:rsid w:val="00CF63A2"/>
    <w:rsid w:val="00D12A77"/>
    <w:rsid w:val="00D204E6"/>
    <w:rsid w:val="00D25120"/>
    <w:rsid w:val="00D419CB"/>
    <w:rsid w:val="00D4393D"/>
    <w:rsid w:val="00D44350"/>
    <w:rsid w:val="00D44E3F"/>
    <w:rsid w:val="00D51BB8"/>
    <w:rsid w:val="00D525F5"/>
    <w:rsid w:val="00D535D0"/>
    <w:rsid w:val="00D577D8"/>
    <w:rsid w:val="00D62C78"/>
    <w:rsid w:val="00D65E1E"/>
    <w:rsid w:val="00D81703"/>
    <w:rsid w:val="00D82929"/>
    <w:rsid w:val="00D84214"/>
    <w:rsid w:val="00D941AF"/>
    <w:rsid w:val="00D943E5"/>
    <w:rsid w:val="00DA0ABB"/>
    <w:rsid w:val="00DA10FC"/>
    <w:rsid w:val="00DA1AE0"/>
    <w:rsid w:val="00DB4CC9"/>
    <w:rsid w:val="00DC29DD"/>
    <w:rsid w:val="00DC7C0E"/>
    <w:rsid w:val="00DE7387"/>
    <w:rsid w:val="00DF089B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765B6"/>
    <w:rsid w:val="00E833BC"/>
    <w:rsid w:val="00E8580E"/>
    <w:rsid w:val="00E97E21"/>
    <w:rsid w:val="00EA1B76"/>
    <w:rsid w:val="00EA5D25"/>
    <w:rsid w:val="00EA77D7"/>
    <w:rsid w:val="00EC09B9"/>
    <w:rsid w:val="00EC6D0E"/>
    <w:rsid w:val="00ED048C"/>
    <w:rsid w:val="00EE17CA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2A28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0EAC"/>
    <w:rsid w:val="00FB5CC8"/>
    <w:rsid w:val="00FC2CD0"/>
    <w:rsid w:val="00FC32FF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349795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R16-WRC19-C-0016!A16-A5!MSW-A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4DC2-243B-4FB4-B158-BF610F7E96D4}">
  <ds:schemaRefs>
    <ds:schemaRef ds:uri="32a1a8c5-2265-4ebc-b7a0-2071e2c5c9bb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4BE3C8-EA91-4662-B401-38E53582F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1C42C-FD35-4DC0-839E-C73F1D565C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E4F692-1DA6-4238-8DB2-28D53348F3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4ACA73-2B0F-4028-9266-0AD0D5F0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516</Words>
  <Characters>2669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R16-WRC19-C-0016!A16-A5!MSW-A</vt:lpstr>
    </vt:vector>
  </TitlesOfParts>
  <Manager>General Secretariat - Pool</Manager>
  <Company>International Telecommunication Union (ITU)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R16-WRC19-C-0016!A16-A5!MSW-A</dc:title>
  <dc:creator>Documents Proposals Manager (DPM)</dc:creator>
  <cp:keywords>DPM_v2019.10.8.1_prod</cp:keywords>
  <cp:lastModifiedBy>Riz, Imad</cp:lastModifiedBy>
  <cp:revision>7</cp:revision>
  <cp:lastPrinted>2019-10-21T07:44:00Z</cp:lastPrinted>
  <dcterms:created xsi:type="dcterms:W3CDTF">2019-10-20T14:04:00Z</dcterms:created>
  <dcterms:modified xsi:type="dcterms:W3CDTF">2019-10-21T07:44:00Z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