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E35952" w14:paraId="15B43685" w14:textId="77777777" w:rsidTr="0050008E">
        <w:trPr>
          <w:cantSplit/>
        </w:trPr>
        <w:tc>
          <w:tcPr>
            <w:tcW w:w="6911" w:type="dxa"/>
          </w:tcPr>
          <w:p w14:paraId="2D168FDF" w14:textId="77777777" w:rsidR="0090121B" w:rsidRPr="00E35952" w:rsidRDefault="005D46FB" w:rsidP="00112A60">
            <w:pPr>
              <w:spacing w:before="400" w:after="48"/>
              <w:rPr>
                <w:rFonts w:ascii="Verdana" w:hAnsi="Verdana"/>
                <w:position w:val="6"/>
              </w:rPr>
            </w:pPr>
            <w:r w:rsidRPr="00E35952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</w:t>
            </w:r>
            <w:proofErr w:type="spellStart"/>
            <w:r w:rsidRPr="00E35952">
              <w:rPr>
                <w:rFonts w:ascii="Verdana" w:hAnsi="Verdana" w:cs="Times"/>
                <w:b/>
                <w:position w:val="6"/>
                <w:sz w:val="20"/>
              </w:rPr>
              <w:t>CMR</w:t>
            </w:r>
            <w:proofErr w:type="spellEnd"/>
            <w:r w:rsidRPr="00E35952">
              <w:rPr>
                <w:rFonts w:ascii="Verdana" w:hAnsi="Verdana" w:cs="Times"/>
                <w:b/>
                <w:position w:val="6"/>
                <w:sz w:val="20"/>
              </w:rPr>
              <w:t>-1</w:t>
            </w:r>
            <w:r w:rsidR="00C44E9E" w:rsidRPr="00E35952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E35952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E35952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E3595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</w:t>
            </w:r>
            <w:proofErr w:type="spellStart"/>
            <w:r w:rsidR="006124AD" w:rsidRPr="00E3595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Sheikh</w:t>
            </w:r>
            <w:proofErr w:type="spellEnd"/>
            <w:r w:rsidR="006124AD" w:rsidRPr="00E3595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(Egipto)</w:t>
            </w:r>
            <w:r w:rsidRPr="00E3595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E3595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E3595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E3595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E3595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E3595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E3595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E35952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559A2617" w14:textId="77777777" w:rsidR="0090121B" w:rsidRPr="00E35952" w:rsidRDefault="00DA71A3" w:rsidP="00112A60">
            <w:pPr>
              <w:spacing w:before="0"/>
              <w:jc w:val="right"/>
            </w:pPr>
            <w:r w:rsidRPr="00E35952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258DDC2A" wp14:editId="4E43FD2A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E35952" w14:paraId="450D3B39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D9C50F4" w14:textId="77777777" w:rsidR="0090121B" w:rsidRPr="00E35952" w:rsidRDefault="0090121B" w:rsidP="00112A60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0DA62CE" w14:textId="77777777" w:rsidR="0090121B" w:rsidRPr="00E35952" w:rsidRDefault="0090121B" w:rsidP="00112A60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E35952" w14:paraId="504FF183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7A5D100" w14:textId="77777777" w:rsidR="0090121B" w:rsidRPr="00E35952" w:rsidRDefault="0090121B" w:rsidP="00112A60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F4FB7EE" w14:textId="77777777" w:rsidR="0090121B" w:rsidRPr="00E35952" w:rsidRDefault="0090121B" w:rsidP="00112A60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E35952" w14:paraId="10CEBACC" w14:textId="77777777" w:rsidTr="0090121B">
        <w:trPr>
          <w:cantSplit/>
        </w:trPr>
        <w:tc>
          <w:tcPr>
            <w:tcW w:w="6911" w:type="dxa"/>
          </w:tcPr>
          <w:p w14:paraId="25F11671" w14:textId="77777777" w:rsidR="0090121B" w:rsidRPr="00E35952" w:rsidRDefault="001E7D42" w:rsidP="00112A60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E35952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2CF6BD73" w14:textId="77777777" w:rsidR="0090121B" w:rsidRPr="00E35952" w:rsidRDefault="00AE658F" w:rsidP="00112A60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35952">
              <w:rPr>
                <w:rFonts w:ascii="Verdana" w:hAnsi="Verdana"/>
                <w:b/>
                <w:sz w:val="18"/>
                <w:szCs w:val="18"/>
              </w:rPr>
              <w:t>Addéndum</w:t>
            </w:r>
            <w:proofErr w:type="spellEnd"/>
            <w:r w:rsidRPr="00E35952">
              <w:rPr>
                <w:rFonts w:ascii="Verdana" w:hAnsi="Verdana"/>
                <w:b/>
                <w:sz w:val="18"/>
                <w:szCs w:val="18"/>
              </w:rPr>
              <w:t xml:space="preserve"> 4 al</w:t>
            </w:r>
            <w:r w:rsidRPr="00E35952">
              <w:rPr>
                <w:rFonts w:ascii="Verdana" w:hAnsi="Verdana"/>
                <w:b/>
                <w:sz w:val="18"/>
                <w:szCs w:val="18"/>
              </w:rPr>
              <w:br/>
              <w:t>Documento 16(</w:t>
            </w:r>
            <w:proofErr w:type="spellStart"/>
            <w:r w:rsidRPr="00E35952">
              <w:rPr>
                <w:rFonts w:ascii="Verdana" w:hAnsi="Verdana"/>
                <w:b/>
                <w:sz w:val="18"/>
                <w:szCs w:val="18"/>
              </w:rPr>
              <w:t>Add.16</w:t>
            </w:r>
            <w:proofErr w:type="spellEnd"/>
            <w:r w:rsidRPr="00E35952">
              <w:rPr>
                <w:rFonts w:ascii="Verdana" w:hAnsi="Verdana"/>
                <w:b/>
                <w:sz w:val="18"/>
                <w:szCs w:val="18"/>
              </w:rPr>
              <w:t>)</w:t>
            </w:r>
            <w:r w:rsidR="0090121B" w:rsidRPr="00E35952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E35952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E35952" w14:paraId="0B286A59" w14:textId="77777777" w:rsidTr="0090121B">
        <w:trPr>
          <w:cantSplit/>
        </w:trPr>
        <w:tc>
          <w:tcPr>
            <w:tcW w:w="6911" w:type="dxa"/>
          </w:tcPr>
          <w:p w14:paraId="65E0EBAA" w14:textId="77777777" w:rsidR="000A5B9A" w:rsidRPr="00E35952" w:rsidRDefault="000A5B9A" w:rsidP="00112A60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00BDC482" w14:textId="319F3387" w:rsidR="000A5B9A" w:rsidRPr="00E35952" w:rsidRDefault="00E35952" w:rsidP="00112A60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35952">
              <w:rPr>
                <w:rFonts w:ascii="Verdana" w:hAnsi="Verdana"/>
                <w:b/>
                <w:sz w:val="18"/>
                <w:szCs w:val="18"/>
              </w:rPr>
              <w:t>7</w:t>
            </w:r>
            <w:r w:rsidR="000A5B9A" w:rsidRPr="00E35952">
              <w:rPr>
                <w:rFonts w:ascii="Verdana" w:hAnsi="Verdana"/>
                <w:b/>
                <w:sz w:val="18"/>
                <w:szCs w:val="18"/>
              </w:rPr>
              <w:t xml:space="preserve"> de octubre de 2019</w:t>
            </w:r>
          </w:p>
        </w:tc>
      </w:tr>
      <w:tr w:rsidR="000A5B9A" w:rsidRPr="00E35952" w14:paraId="3790F9F2" w14:textId="77777777" w:rsidTr="0090121B">
        <w:trPr>
          <w:cantSplit/>
        </w:trPr>
        <w:tc>
          <w:tcPr>
            <w:tcW w:w="6911" w:type="dxa"/>
          </w:tcPr>
          <w:p w14:paraId="288497E0" w14:textId="77777777" w:rsidR="000A5B9A" w:rsidRPr="00E35952" w:rsidRDefault="000A5B9A" w:rsidP="00112A60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01C32C8E" w14:textId="77777777" w:rsidR="000A5B9A" w:rsidRPr="00E35952" w:rsidRDefault="000A5B9A" w:rsidP="00112A60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35952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E35952" w14:paraId="37945C31" w14:textId="77777777" w:rsidTr="006744FC">
        <w:trPr>
          <w:cantSplit/>
        </w:trPr>
        <w:tc>
          <w:tcPr>
            <w:tcW w:w="10031" w:type="dxa"/>
            <w:gridSpan w:val="2"/>
          </w:tcPr>
          <w:p w14:paraId="4FD19D82" w14:textId="77777777" w:rsidR="000A5B9A" w:rsidRPr="00E35952" w:rsidRDefault="000A5B9A" w:rsidP="00112A60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E35952" w14:paraId="41939DF5" w14:textId="77777777" w:rsidTr="0050008E">
        <w:trPr>
          <w:cantSplit/>
        </w:trPr>
        <w:tc>
          <w:tcPr>
            <w:tcW w:w="10031" w:type="dxa"/>
            <w:gridSpan w:val="2"/>
          </w:tcPr>
          <w:p w14:paraId="51A1A714" w14:textId="77777777" w:rsidR="000A5B9A" w:rsidRPr="00E35952" w:rsidRDefault="000A5B9A" w:rsidP="00112A60">
            <w:pPr>
              <w:pStyle w:val="Source"/>
            </w:pPr>
            <w:bookmarkStart w:id="1" w:name="dsource" w:colFirst="0" w:colLast="0"/>
            <w:r w:rsidRPr="00E35952">
              <w:t>Propuestas Comunes Europeas</w:t>
            </w:r>
          </w:p>
        </w:tc>
      </w:tr>
      <w:tr w:rsidR="000A5B9A" w:rsidRPr="00E35952" w14:paraId="6F38E959" w14:textId="77777777" w:rsidTr="0050008E">
        <w:trPr>
          <w:cantSplit/>
        </w:trPr>
        <w:tc>
          <w:tcPr>
            <w:tcW w:w="10031" w:type="dxa"/>
            <w:gridSpan w:val="2"/>
          </w:tcPr>
          <w:p w14:paraId="571F84DD" w14:textId="77777777" w:rsidR="000A5B9A" w:rsidRPr="00E35952" w:rsidRDefault="000A5B9A" w:rsidP="00112A60">
            <w:pPr>
              <w:pStyle w:val="Title1"/>
            </w:pPr>
            <w:bookmarkStart w:id="2" w:name="dtitle1" w:colFirst="0" w:colLast="0"/>
            <w:bookmarkEnd w:id="1"/>
            <w:r w:rsidRPr="00E35952">
              <w:t>Propuestas para los trabajos de la Conferencia</w:t>
            </w:r>
          </w:p>
        </w:tc>
      </w:tr>
      <w:tr w:rsidR="000A5B9A" w:rsidRPr="00E35952" w14:paraId="0B8C441F" w14:textId="77777777" w:rsidTr="0050008E">
        <w:trPr>
          <w:cantSplit/>
        </w:trPr>
        <w:tc>
          <w:tcPr>
            <w:tcW w:w="10031" w:type="dxa"/>
            <w:gridSpan w:val="2"/>
          </w:tcPr>
          <w:p w14:paraId="755CFE14" w14:textId="77777777" w:rsidR="000A5B9A" w:rsidRPr="00E35952" w:rsidRDefault="000A5B9A" w:rsidP="00112A60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E35952" w14:paraId="61D81DEE" w14:textId="77777777" w:rsidTr="0050008E">
        <w:trPr>
          <w:cantSplit/>
        </w:trPr>
        <w:tc>
          <w:tcPr>
            <w:tcW w:w="10031" w:type="dxa"/>
            <w:gridSpan w:val="2"/>
          </w:tcPr>
          <w:p w14:paraId="1F1E20AC" w14:textId="77777777" w:rsidR="000A5B9A" w:rsidRPr="00E35952" w:rsidRDefault="000A5B9A" w:rsidP="00112A60">
            <w:pPr>
              <w:pStyle w:val="Agendaitem"/>
            </w:pPr>
            <w:bookmarkStart w:id="4" w:name="dtitle3" w:colFirst="0" w:colLast="0"/>
            <w:bookmarkEnd w:id="3"/>
            <w:r w:rsidRPr="00E35952">
              <w:t>Punto 1.16 del orden del día</w:t>
            </w:r>
          </w:p>
        </w:tc>
      </w:tr>
    </w:tbl>
    <w:bookmarkEnd w:id="4"/>
    <w:p w14:paraId="3B011D2F" w14:textId="77777777" w:rsidR="001C0E40" w:rsidRPr="00E35952" w:rsidRDefault="00617081" w:rsidP="00112A60">
      <w:r w:rsidRPr="00E35952">
        <w:t>1.16</w:t>
      </w:r>
      <w:r w:rsidRPr="00E35952">
        <w:tab/>
      </w:r>
      <w:r w:rsidRPr="00E35952">
        <w:rPr>
          <w:spacing w:val="-4"/>
        </w:rPr>
        <w:t>examinar cuestiones relacionadas con sistemas de acceso inalámbrico, incluidas redes radioeléctricas de área local (</w:t>
      </w:r>
      <w:proofErr w:type="spellStart"/>
      <w:r w:rsidRPr="00E35952">
        <w:rPr>
          <w:spacing w:val="-4"/>
        </w:rPr>
        <w:t>WAS</w:t>
      </w:r>
      <w:proofErr w:type="spellEnd"/>
      <w:r w:rsidRPr="00E35952">
        <w:rPr>
          <w:spacing w:val="-4"/>
        </w:rPr>
        <w:t>/</w:t>
      </w:r>
      <w:proofErr w:type="spellStart"/>
      <w:r w:rsidRPr="00E35952">
        <w:rPr>
          <w:spacing w:val="-4"/>
        </w:rPr>
        <w:t>RLAN</w:t>
      </w:r>
      <w:proofErr w:type="spellEnd"/>
      <w:r w:rsidRPr="00E35952">
        <w:rPr>
          <w:spacing w:val="-4"/>
        </w:rPr>
        <w:t>) en las bandas de frecuencias entre 5 150 MHz y 5 925 MHz, y tomar las medidas reglamentarias adecuadas, entre ellas la atribución de espectro adicional al servicio móvil, de conformidad con la nueva Resolución </w:t>
      </w:r>
      <w:r w:rsidRPr="00E35952">
        <w:rPr>
          <w:b/>
          <w:bCs/>
          <w:spacing w:val="-4"/>
        </w:rPr>
        <w:t>239 (</w:t>
      </w:r>
      <w:proofErr w:type="spellStart"/>
      <w:r w:rsidRPr="00E35952">
        <w:rPr>
          <w:b/>
          <w:bCs/>
          <w:spacing w:val="-4"/>
        </w:rPr>
        <w:t>CMR</w:t>
      </w:r>
      <w:proofErr w:type="spellEnd"/>
      <w:r w:rsidRPr="00E35952">
        <w:rPr>
          <w:b/>
          <w:bCs/>
          <w:spacing w:val="-4"/>
        </w:rPr>
        <w:noBreakHyphen/>
        <w:t>15)</w:t>
      </w:r>
      <w:r w:rsidRPr="00E35952">
        <w:t>;</w:t>
      </w:r>
    </w:p>
    <w:p w14:paraId="0A81ED6E" w14:textId="7F148414" w:rsidR="00556F7E" w:rsidRPr="00E35952" w:rsidRDefault="005C2B05" w:rsidP="00112A60">
      <w:pPr>
        <w:pStyle w:val="Title4"/>
        <w:rPr>
          <w:sz w:val="24"/>
        </w:rPr>
      </w:pPr>
      <w:r w:rsidRPr="00E35952">
        <w:t>Parte 4</w:t>
      </w:r>
      <w:r w:rsidR="00556F7E" w:rsidRPr="00E35952">
        <w:t xml:space="preserve"> – </w:t>
      </w:r>
      <w:r w:rsidRPr="00E35952">
        <w:t>Banda de frecuencias</w:t>
      </w:r>
      <w:r w:rsidR="00556F7E" w:rsidRPr="00E35952">
        <w:t xml:space="preserve"> 5 725-5 850 MHz</w:t>
      </w:r>
    </w:p>
    <w:p w14:paraId="357E5B2B" w14:textId="5AE098F8" w:rsidR="00556F7E" w:rsidRPr="00E35952" w:rsidRDefault="005C2B05" w:rsidP="00112A60">
      <w:pPr>
        <w:pStyle w:val="Headingb"/>
      </w:pPr>
      <w:r w:rsidRPr="00E35952">
        <w:t>Introducción</w:t>
      </w:r>
    </w:p>
    <w:p w14:paraId="34C9793A" w14:textId="105015F2" w:rsidR="00363A65" w:rsidRPr="00E35952" w:rsidRDefault="005C2B05" w:rsidP="00112A60">
      <w:pPr>
        <w:rPr>
          <w:color w:val="000000"/>
        </w:rPr>
      </w:pPr>
      <w:r w:rsidRPr="00E35952">
        <w:rPr>
          <w:rFonts w:eastAsia="Calibri"/>
          <w:szCs w:val="24"/>
        </w:rPr>
        <w:t xml:space="preserve">La banda </w:t>
      </w:r>
      <w:r w:rsidR="00556F7E" w:rsidRPr="00E35952">
        <w:rPr>
          <w:rFonts w:eastAsia="Calibri"/>
          <w:szCs w:val="24"/>
        </w:rPr>
        <w:t>5 725-5 850 MHz</w:t>
      </w:r>
      <w:r w:rsidRPr="00E35952">
        <w:rPr>
          <w:rFonts w:eastAsia="Calibri"/>
          <w:szCs w:val="24"/>
        </w:rPr>
        <w:t>,</w:t>
      </w:r>
      <w:r w:rsidR="00556F7E" w:rsidRPr="00E35952">
        <w:rPr>
          <w:rFonts w:eastAsia="Calibri"/>
          <w:szCs w:val="24"/>
        </w:rPr>
        <w:t xml:space="preserve"> </w:t>
      </w:r>
      <w:r w:rsidRPr="00E35952">
        <w:rPr>
          <w:rFonts w:eastAsia="Calibri"/>
          <w:szCs w:val="24"/>
        </w:rPr>
        <w:t>o</w:t>
      </w:r>
      <w:r w:rsidRPr="00E35952">
        <w:rPr>
          <w:rFonts w:eastAsia="Calibri"/>
          <w:szCs w:val="24"/>
        </w:rPr>
        <w:t xml:space="preserve"> parte de </w:t>
      </w:r>
      <w:proofErr w:type="gramStart"/>
      <w:r w:rsidRPr="00E35952">
        <w:rPr>
          <w:rFonts w:eastAsia="Calibri"/>
          <w:szCs w:val="24"/>
        </w:rPr>
        <w:t>la misma</w:t>
      </w:r>
      <w:proofErr w:type="gramEnd"/>
      <w:r w:rsidRPr="00E35952">
        <w:rPr>
          <w:rFonts w:eastAsia="Calibri"/>
          <w:szCs w:val="24"/>
        </w:rPr>
        <w:t>, est</w:t>
      </w:r>
      <w:r w:rsidR="00AC4D55" w:rsidRPr="00E35952">
        <w:rPr>
          <w:rFonts w:eastAsia="Calibri"/>
          <w:szCs w:val="24"/>
        </w:rPr>
        <w:t>á atribuida</w:t>
      </w:r>
      <w:r w:rsidRPr="00E35952">
        <w:rPr>
          <w:rFonts w:eastAsia="Calibri"/>
          <w:szCs w:val="24"/>
        </w:rPr>
        <w:t xml:space="preserve"> a varios servicios: a los servicios fijo por satélite</w:t>
      </w:r>
      <w:r w:rsidR="00AC4D55" w:rsidRPr="00E35952">
        <w:rPr>
          <w:rFonts w:eastAsia="Calibri"/>
          <w:szCs w:val="24"/>
        </w:rPr>
        <w:t xml:space="preserve"> (Tierra-espacio) y</w:t>
      </w:r>
      <w:r w:rsidRPr="00E35952">
        <w:rPr>
          <w:rFonts w:eastAsia="Calibri"/>
          <w:szCs w:val="24"/>
        </w:rPr>
        <w:t xml:space="preserve"> de radiolocalización a título primario </w:t>
      </w:r>
      <w:r w:rsidR="00AC4D55" w:rsidRPr="00E35952">
        <w:rPr>
          <w:rFonts w:eastAsia="Calibri"/>
          <w:szCs w:val="24"/>
        </w:rPr>
        <w:t>y a los servicios</w:t>
      </w:r>
      <w:r w:rsidRPr="00E35952">
        <w:rPr>
          <w:rFonts w:eastAsia="Calibri"/>
          <w:szCs w:val="24"/>
        </w:rPr>
        <w:t xml:space="preserve"> de aficionados y de aficionados por satélite (espacio-Tierra) a título secundario</w:t>
      </w:r>
      <w:r w:rsidR="003046F9">
        <w:rPr>
          <w:rFonts w:eastAsia="Calibri"/>
          <w:szCs w:val="24"/>
        </w:rPr>
        <w:t>.</w:t>
      </w:r>
    </w:p>
    <w:p w14:paraId="007A5B0C" w14:textId="62337116" w:rsidR="00556F7E" w:rsidRPr="00E35952" w:rsidRDefault="007E3FC6" w:rsidP="00112A60">
      <w:r w:rsidRPr="00E35952">
        <w:t xml:space="preserve">Cabe señalar que las actuales técnicas de </w:t>
      </w:r>
      <w:r w:rsidR="005C2B05" w:rsidRPr="00E35952">
        <w:t>selección dinámica de frecuencia (</w:t>
      </w:r>
      <w:proofErr w:type="spellStart"/>
      <w:r w:rsidRPr="00E35952">
        <w:t>SDF</w:t>
      </w:r>
      <w:proofErr w:type="spellEnd"/>
      <w:r w:rsidR="005C2B05" w:rsidRPr="00E35952">
        <w:t>)</w:t>
      </w:r>
      <w:r w:rsidRPr="00E35952">
        <w:t xml:space="preserve"> no </w:t>
      </w:r>
      <w:r w:rsidR="005C2B05" w:rsidRPr="00E35952">
        <w:t>están diseñad</w:t>
      </w:r>
      <w:r w:rsidR="00E35952">
        <w:t>a</w:t>
      </w:r>
      <w:r w:rsidR="005C2B05" w:rsidRPr="00E35952">
        <w:t>s</w:t>
      </w:r>
      <w:r w:rsidRPr="00E35952">
        <w:t xml:space="preserve"> pa</w:t>
      </w:r>
      <w:r w:rsidR="005C2B05" w:rsidRPr="00E35952">
        <w:t xml:space="preserve">ra proteger los nuevos modos </w:t>
      </w:r>
      <w:r w:rsidR="00D025D5" w:rsidRPr="00E35952">
        <w:t xml:space="preserve">de funcionamiento </w:t>
      </w:r>
      <w:r w:rsidRPr="00E35952">
        <w:t>de los radares de salto de frecuencia</w:t>
      </w:r>
      <w:r w:rsidR="008C7CCE">
        <w:t xml:space="preserve"> </w:t>
      </w:r>
      <w:r w:rsidR="005C2B05" w:rsidRPr="00E35952">
        <w:t xml:space="preserve">que funcionan </w:t>
      </w:r>
      <w:r w:rsidRPr="00E35952">
        <w:t>en algunos países en la banda de frecuencias 5 725-5 850 MHz. No se han</w:t>
      </w:r>
      <w:r w:rsidR="008C7CCE">
        <w:t xml:space="preserve"> </w:t>
      </w:r>
      <w:r w:rsidRPr="00E35952">
        <w:t>presentado elementos ni técnicas de reducción de la interferencia adicionales que puedan utilizarse</w:t>
      </w:r>
      <w:r w:rsidR="008C7CCE">
        <w:t xml:space="preserve"> </w:t>
      </w:r>
      <w:r w:rsidRPr="00E35952">
        <w:t>para proteger estos nuevos modos de funcionamiento de los radares de salto de frecuencia.</w:t>
      </w:r>
    </w:p>
    <w:p w14:paraId="4E1B27F6" w14:textId="06A36105" w:rsidR="007E3FC6" w:rsidRPr="00E35952" w:rsidRDefault="00D025D5" w:rsidP="00112A60">
      <w:pPr>
        <w:rPr>
          <w:color w:val="000000"/>
        </w:rPr>
      </w:pPr>
      <w:r w:rsidRPr="00E35952">
        <w:rPr>
          <w:color w:val="000000"/>
        </w:rPr>
        <w:t xml:space="preserve">Además, en varios países europeos de la </w:t>
      </w:r>
      <w:proofErr w:type="spellStart"/>
      <w:r w:rsidRPr="00E35952">
        <w:rPr>
          <w:color w:val="000000"/>
        </w:rPr>
        <w:t>CEPT</w:t>
      </w:r>
      <w:proofErr w:type="spellEnd"/>
      <w:r w:rsidRPr="00E35952">
        <w:rPr>
          <w:color w:val="000000"/>
        </w:rPr>
        <w:t xml:space="preserve"> funcionan diversos sistemas/aplicaciones, como la Telemática de transporte y tráfico en carreteras (</w:t>
      </w:r>
      <w:proofErr w:type="spellStart"/>
      <w:r w:rsidRPr="00E35952">
        <w:rPr>
          <w:color w:val="000000"/>
        </w:rPr>
        <w:t>RTTT</w:t>
      </w:r>
      <w:proofErr w:type="spellEnd"/>
      <w:r w:rsidRPr="00E35952">
        <w:rPr>
          <w:color w:val="000000"/>
        </w:rPr>
        <w:t xml:space="preserve">). Estudios realizados en la </w:t>
      </w:r>
      <w:proofErr w:type="spellStart"/>
      <w:r w:rsidRPr="00E35952">
        <w:rPr>
          <w:color w:val="000000"/>
        </w:rPr>
        <w:t>CEPT</w:t>
      </w:r>
      <w:proofErr w:type="spellEnd"/>
      <w:r w:rsidRPr="00E35952">
        <w:rPr>
          <w:color w:val="000000"/>
        </w:rPr>
        <w:t xml:space="preserve"> muestran que se requieren distancias de separación variables para garantizar el funcionamiento adecuado de la </w:t>
      </w:r>
      <w:proofErr w:type="spellStart"/>
      <w:r w:rsidRPr="00E35952">
        <w:rPr>
          <w:color w:val="000000"/>
        </w:rPr>
        <w:t>RTTT</w:t>
      </w:r>
      <w:proofErr w:type="spellEnd"/>
      <w:r w:rsidRPr="00E35952">
        <w:rPr>
          <w:color w:val="000000"/>
        </w:rPr>
        <w:t>. En esos países</w:t>
      </w:r>
      <w:r w:rsidR="007E3FC6" w:rsidRPr="00E35952">
        <w:rPr>
          <w:color w:val="000000"/>
        </w:rPr>
        <w:t xml:space="preserve"> podrá ser necesario aplicar medidas </w:t>
      </w:r>
      <w:r w:rsidR="000B3430" w:rsidRPr="00E35952">
        <w:rPr>
          <w:color w:val="000000"/>
        </w:rPr>
        <w:t xml:space="preserve">convenientes </w:t>
      </w:r>
      <w:r w:rsidR="007E3FC6" w:rsidRPr="00E35952">
        <w:rPr>
          <w:color w:val="000000"/>
        </w:rPr>
        <w:t xml:space="preserve">de reducción de la interferencia que permitan la coexistencia de los </w:t>
      </w:r>
      <w:proofErr w:type="spellStart"/>
      <w:r w:rsidR="007E3FC6" w:rsidRPr="00E35952">
        <w:rPr>
          <w:color w:val="000000"/>
        </w:rPr>
        <w:t>WAS</w:t>
      </w:r>
      <w:proofErr w:type="spellEnd"/>
      <w:r w:rsidR="007E3FC6" w:rsidRPr="00E35952">
        <w:rPr>
          <w:color w:val="000000"/>
        </w:rPr>
        <w:t>/</w:t>
      </w:r>
      <w:proofErr w:type="spellStart"/>
      <w:r w:rsidR="007E3FC6" w:rsidRPr="00E35952">
        <w:rPr>
          <w:color w:val="000000"/>
        </w:rPr>
        <w:t>RLAN</w:t>
      </w:r>
      <w:proofErr w:type="spellEnd"/>
      <w:r w:rsidR="007E3FC6" w:rsidRPr="00E35952">
        <w:rPr>
          <w:color w:val="000000"/>
        </w:rPr>
        <w:t xml:space="preserve"> con </w:t>
      </w:r>
      <w:r w:rsidRPr="00E35952">
        <w:rPr>
          <w:color w:val="000000"/>
        </w:rPr>
        <w:t xml:space="preserve">algunos de </w:t>
      </w:r>
      <w:r w:rsidR="007E3FC6" w:rsidRPr="00E35952">
        <w:rPr>
          <w:color w:val="000000"/>
        </w:rPr>
        <w:t xml:space="preserve">estos sistemas/aplicaciones, si la </w:t>
      </w:r>
      <w:proofErr w:type="spellStart"/>
      <w:r w:rsidR="007E3FC6" w:rsidRPr="00E35952">
        <w:rPr>
          <w:color w:val="000000"/>
        </w:rPr>
        <w:t>CMR</w:t>
      </w:r>
      <w:proofErr w:type="spellEnd"/>
      <w:r w:rsidR="007E3FC6" w:rsidRPr="00E35952">
        <w:rPr>
          <w:color w:val="000000"/>
        </w:rPr>
        <w:t>-19 decide atribuir la banda de frecuencias 5 725-5 850 MHz al</w:t>
      </w:r>
      <w:r w:rsidR="00112A60" w:rsidRPr="00E35952">
        <w:rPr>
          <w:color w:val="000000"/>
        </w:rPr>
        <w:t> </w:t>
      </w:r>
      <w:r w:rsidR="007E3FC6" w:rsidRPr="00E35952">
        <w:rPr>
          <w:color w:val="000000"/>
        </w:rPr>
        <w:t xml:space="preserve">servicio móvil a fin de dar cabida al uso de </w:t>
      </w:r>
      <w:proofErr w:type="spellStart"/>
      <w:r w:rsidR="007E3FC6" w:rsidRPr="00E35952">
        <w:rPr>
          <w:color w:val="000000"/>
        </w:rPr>
        <w:t>WAS</w:t>
      </w:r>
      <w:proofErr w:type="spellEnd"/>
      <w:r w:rsidR="007E3FC6" w:rsidRPr="00E35952">
        <w:rPr>
          <w:color w:val="000000"/>
        </w:rPr>
        <w:t>/</w:t>
      </w:r>
      <w:proofErr w:type="spellStart"/>
      <w:r w:rsidR="007E3FC6" w:rsidRPr="00E35952">
        <w:rPr>
          <w:color w:val="000000"/>
        </w:rPr>
        <w:t>RLAN</w:t>
      </w:r>
      <w:proofErr w:type="spellEnd"/>
      <w:r w:rsidR="007E3FC6" w:rsidRPr="00E35952">
        <w:rPr>
          <w:color w:val="000000"/>
        </w:rPr>
        <w:t xml:space="preserve">. </w:t>
      </w:r>
      <w:r w:rsidRPr="00E35952">
        <w:rPr>
          <w:color w:val="000000"/>
        </w:rPr>
        <w:t>Serían necesarios más trabajos para evaluar la implantación</w:t>
      </w:r>
      <w:r w:rsidR="00AC4D55" w:rsidRPr="00E35952">
        <w:rPr>
          <w:color w:val="000000"/>
        </w:rPr>
        <w:t>, la eficiencia y los parámetros necesarios para implementar las técnicas</w:t>
      </w:r>
      <w:r w:rsidR="00112A60" w:rsidRPr="00E35952">
        <w:rPr>
          <w:color w:val="000000"/>
        </w:rPr>
        <w:t> </w:t>
      </w:r>
      <w:r w:rsidR="00AC4D55" w:rsidRPr="00E35952">
        <w:rPr>
          <w:color w:val="000000"/>
        </w:rPr>
        <w:t>de</w:t>
      </w:r>
      <w:r w:rsidR="00112A60" w:rsidRPr="00E35952">
        <w:rPr>
          <w:color w:val="000000"/>
        </w:rPr>
        <w:t> </w:t>
      </w:r>
      <w:r w:rsidR="00AC4D55" w:rsidRPr="00E35952">
        <w:rPr>
          <w:color w:val="000000"/>
        </w:rPr>
        <w:t>reducción</w:t>
      </w:r>
      <w:r w:rsidRPr="00E35952">
        <w:rPr>
          <w:color w:val="000000"/>
        </w:rPr>
        <w:t xml:space="preserve"> </w:t>
      </w:r>
      <w:r w:rsidR="00AC4D55" w:rsidRPr="00E35952">
        <w:rPr>
          <w:color w:val="000000"/>
        </w:rPr>
        <w:t>de la interferencia y las repercusiones sobre ambas tecnologías.</w:t>
      </w:r>
    </w:p>
    <w:p w14:paraId="3659A4B6" w14:textId="689DDC68" w:rsidR="007E3FC6" w:rsidRDefault="00AC4D55" w:rsidP="00112A60">
      <w:r w:rsidRPr="00E35952">
        <w:t xml:space="preserve">La </w:t>
      </w:r>
      <w:proofErr w:type="spellStart"/>
      <w:r w:rsidRPr="00E35952">
        <w:t>CEPT</w:t>
      </w:r>
      <w:proofErr w:type="spellEnd"/>
      <w:r w:rsidRPr="00E35952">
        <w:t xml:space="preserve"> apoya no introducir cambios en esta banda, salvo la supresión de la Resolución</w:t>
      </w:r>
      <w:r w:rsidR="00112A60" w:rsidRPr="00E35952">
        <w:t> </w:t>
      </w:r>
      <w:r w:rsidR="007E3FC6" w:rsidRPr="00E35952">
        <w:rPr>
          <w:b/>
        </w:rPr>
        <w:t>239</w:t>
      </w:r>
      <w:r w:rsidR="00112A60" w:rsidRPr="00E35952">
        <w:rPr>
          <w:b/>
        </w:rPr>
        <w:t> </w:t>
      </w:r>
      <w:r w:rsidR="007E3FC6" w:rsidRPr="00E35952">
        <w:rPr>
          <w:b/>
        </w:rPr>
        <w:t>(Rev.</w:t>
      </w:r>
      <w:r w:rsidR="00112A60" w:rsidRPr="00E35952">
        <w:rPr>
          <w:b/>
        </w:rPr>
        <w:t> </w:t>
      </w:r>
      <w:proofErr w:type="spellStart"/>
      <w:r w:rsidRPr="00E35952">
        <w:rPr>
          <w:b/>
        </w:rPr>
        <w:t>CMR</w:t>
      </w:r>
      <w:proofErr w:type="spellEnd"/>
      <w:r w:rsidR="007E3FC6" w:rsidRPr="00E35952">
        <w:rPr>
          <w:b/>
        </w:rPr>
        <w:t>-15)</w:t>
      </w:r>
      <w:r w:rsidR="007E3FC6" w:rsidRPr="00E35952">
        <w:t>.</w:t>
      </w:r>
    </w:p>
    <w:p w14:paraId="0B1D7D1E" w14:textId="77777777" w:rsidR="00620E86" w:rsidRPr="00E35952" w:rsidRDefault="00620E86" w:rsidP="00112A60">
      <w:bookmarkStart w:id="5" w:name="_GoBack"/>
      <w:bookmarkEnd w:id="5"/>
    </w:p>
    <w:p w14:paraId="303C8827" w14:textId="77777777" w:rsidR="008750A8" w:rsidRPr="00E35952" w:rsidRDefault="008750A8" w:rsidP="00112A6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35952">
        <w:br w:type="page"/>
      </w:r>
    </w:p>
    <w:p w14:paraId="21B0BF7C" w14:textId="0BE8A600" w:rsidR="00A46030" w:rsidRPr="00E35952" w:rsidRDefault="00A46030" w:rsidP="00A46030">
      <w:pPr>
        <w:pStyle w:val="Headingb"/>
      </w:pPr>
      <w:r w:rsidRPr="00E35952">
        <w:lastRenderedPageBreak/>
        <w:t>Propuestas</w:t>
      </w:r>
    </w:p>
    <w:p w14:paraId="1D401118" w14:textId="22473B0A" w:rsidR="006537F1" w:rsidRPr="00E35952" w:rsidRDefault="00617081" w:rsidP="00112A60">
      <w:pPr>
        <w:pStyle w:val="ArtNo"/>
      </w:pPr>
      <w:r w:rsidRPr="00E35952">
        <w:t xml:space="preserve">ARTÍCULO </w:t>
      </w:r>
      <w:r w:rsidRPr="00E35952">
        <w:rPr>
          <w:rStyle w:val="href"/>
        </w:rPr>
        <w:t>5</w:t>
      </w:r>
    </w:p>
    <w:p w14:paraId="3DDC7FCA" w14:textId="77777777" w:rsidR="006537F1" w:rsidRPr="00E35952" w:rsidRDefault="00617081" w:rsidP="00112A60">
      <w:pPr>
        <w:pStyle w:val="Arttitle"/>
      </w:pPr>
      <w:r w:rsidRPr="00E35952">
        <w:t>Atribuciones de frecuencia</w:t>
      </w:r>
    </w:p>
    <w:p w14:paraId="4F1F3974" w14:textId="77777777" w:rsidR="006537F1" w:rsidRPr="00E35952" w:rsidRDefault="00617081" w:rsidP="00112A60">
      <w:pPr>
        <w:pStyle w:val="Section1"/>
      </w:pPr>
      <w:r w:rsidRPr="00E35952">
        <w:t>Sección IV – Cuadro de atribución de bandas de frecuencias</w:t>
      </w:r>
      <w:r w:rsidRPr="00E35952">
        <w:br/>
      </w:r>
      <w:r w:rsidRPr="00E35952">
        <w:rPr>
          <w:b w:val="0"/>
          <w:bCs/>
        </w:rPr>
        <w:t>(Véase el número</w:t>
      </w:r>
      <w:r w:rsidRPr="00E35952">
        <w:t xml:space="preserve"> </w:t>
      </w:r>
      <w:r w:rsidRPr="00E35952">
        <w:rPr>
          <w:rStyle w:val="Artref"/>
        </w:rPr>
        <w:t>2.1</w:t>
      </w:r>
      <w:r w:rsidRPr="00E35952">
        <w:rPr>
          <w:b w:val="0"/>
          <w:bCs/>
        </w:rPr>
        <w:t>)</w:t>
      </w:r>
      <w:r w:rsidRPr="00E35952">
        <w:br/>
      </w:r>
    </w:p>
    <w:p w14:paraId="7BEC0582" w14:textId="77777777" w:rsidR="008E0337" w:rsidRPr="00E35952" w:rsidRDefault="00617081" w:rsidP="00112A60">
      <w:pPr>
        <w:pStyle w:val="Proposal"/>
      </w:pPr>
      <w:proofErr w:type="spellStart"/>
      <w:r w:rsidRPr="00E35952">
        <w:rPr>
          <w:u w:val="single"/>
        </w:rPr>
        <w:t>NOC</w:t>
      </w:r>
      <w:proofErr w:type="spellEnd"/>
      <w:r w:rsidRPr="00E35952">
        <w:tab/>
        <w:t>EUR/</w:t>
      </w:r>
      <w:proofErr w:type="spellStart"/>
      <w:r w:rsidRPr="00E35952">
        <w:t>16A16A4</w:t>
      </w:r>
      <w:proofErr w:type="spellEnd"/>
      <w:r w:rsidRPr="00E35952">
        <w:t>/1</w:t>
      </w:r>
      <w:r w:rsidRPr="00E35952">
        <w:rPr>
          <w:vanish/>
          <w:color w:val="7F7F7F" w:themeColor="text1" w:themeTint="80"/>
          <w:vertAlign w:val="superscript"/>
        </w:rPr>
        <w:t>#49958</w:t>
      </w:r>
    </w:p>
    <w:p w14:paraId="289C3B6C" w14:textId="77777777" w:rsidR="00713E3A" w:rsidRPr="00E35952" w:rsidRDefault="00617081" w:rsidP="00112A60">
      <w:pPr>
        <w:pStyle w:val="Tabletitle"/>
      </w:pPr>
      <w:r w:rsidRPr="00E35952">
        <w:t>5 570-6 700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13E3A" w:rsidRPr="00E35952" w14:paraId="009BE011" w14:textId="77777777" w:rsidTr="004F2D3F">
        <w:trPr>
          <w:cantSplit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66FE" w14:textId="77777777" w:rsidR="00713E3A" w:rsidRPr="00E35952" w:rsidRDefault="00617081" w:rsidP="00112A60">
            <w:pPr>
              <w:pStyle w:val="Tablehead"/>
            </w:pPr>
            <w:r w:rsidRPr="00E35952">
              <w:t>Atribución a los servicios</w:t>
            </w:r>
          </w:p>
        </w:tc>
      </w:tr>
      <w:tr w:rsidR="00713E3A" w:rsidRPr="00E35952" w14:paraId="5CAA2802" w14:textId="77777777" w:rsidTr="004F2D3F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8BB8" w14:textId="77777777" w:rsidR="00713E3A" w:rsidRPr="00E35952" w:rsidRDefault="00617081" w:rsidP="00112A60">
            <w:pPr>
              <w:pStyle w:val="Tablehead"/>
            </w:pPr>
            <w:r w:rsidRPr="00E35952"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FDBD" w14:textId="77777777" w:rsidR="00713E3A" w:rsidRPr="00E35952" w:rsidRDefault="00617081" w:rsidP="00112A60">
            <w:pPr>
              <w:pStyle w:val="Tablehead"/>
            </w:pPr>
            <w:r w:rsidRPr="00E35952"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369D" w14:textId="77777777" w:rsidR="00713E3A" w:rsidRPr="00E35952" w:rsidRDefault="00617081" w:rsidP="00112A60">
            <w:pPr>
              <w:pStyle w:val="Tablehead"/>
            </w:pPr>
            <w:r w:rsidRPr="00E35952">
              <w:t>Región 3</w:t>
            </w:r>
          </w:p>
        </w:tc>
      </w:tr>
      <w:tr w:rsidR="00713E3A" w:rsidRPr="00E35952" w14:paraId="1F19DE4F" w14:textId="77777777" w:rsidTr="004F2D3F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CDC20D" w14:textId="77777777" w:rsidR="00713E3A" w:rsidRPr="00E35952" w:rsidRDefault="00617081" w:rsidP="00112A60">
            <w:pPr>
              <w:pStyle w:val="TableTextS5"/>
              <w:rPr>
                <w:rStyle w:val="Tablefreq"/>
              </w:rPr>
            </w:pPr>
            <w:r w:rsidRPr="00E35952">
              <w:rPr>
                <w:rStyle w:val="Tablefreq"/>
              </w:rPr>
              <w:t>5 725-5 830</w:t>
            </w:r>
          </w:p>
          <w:p w14:paraId="1E9A20BA" w14:textId="77777777" w:rsidR="00713E3A" w:rsidRPr="00E35952" w:rsidRDefault="00617081" w:rsidP="00112A60">
            <w:pPr>
              <w:pStyle w:val="TableTextS5"/>
            </w:pPr>
            <w:r w:rsidRPr="00E35952">
              <w:t>FIJO POR SATÉLITE</w:t>
            </w:r>
            <w:r w:rsidRPr="00E35952">
              <w:br/>
              <w:t>(Tierra-espacio)</w:t>
            </w:r>
          </w:p>
          <w:p w14:paraId="19E6354C" w14:textId="77777777" w:rsidR="00713E3A" w:rsidRPr="00E35952" w:rsidRDefault="00617081" w:rsidP="00112A60">
            <w:pPr>
              <w:pStyle w:val="TableTextS5"/>
            </w:pPr>
            <w:r w:rsidRPr="00E35952">
              <w:t>RADIOLOCALIZACIÓN</w:t>
            </w:r>
          </w:p>
          <w:p w14:paraId="2F976127" w14:textId="77777777" w:rsidR="00713E3A" w:rsidRPr="00E35952" w:rsidRDefault="00617081" w:rsidP="00112A60">
            <w:pPr>
              <w:pStyle w:val="TableTextS5"/>
            </w:pPr>
            <w:r w:rsidRPr="00E35952">
              <w:t>Aficionados</w:t>
            </w:r>
          </w:p>
        </w:tc>
        <w:tc>
          <w:tcPr>
            <w:tcW w:w="62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76E604" w14:textId="77777777" w:rsidR="00713E3A" w:rsidRPr="00E35952" w:rsidRDefault="00617081" w:rsidP="00112A60">
            <w:pPr>
              <w:pStyle w:val="TableTextS5"/>
              <w:rPr>
                <w:rStyle w:val="Tablefreq"/>
              </w:rPr>
            </w:pPr>
            <w:r w:rsidRPr="00E35952">
              <w:rPr>
                <w:rStyle w:val="Tablefreq"/>
              </w:rPr>
              <w:t>5 725-5 830</w:t>
            </w:r>
          </w:p>
          <w:p w14:paraId="356300EB" w14:textId="77777777" w:rsidR="00713E3A" w:rsidRPr="00E35952" w:rsidRDefault="00617081" w:rsidP="00112A60">
            <w:pPr>
              <w:pStyle w:val="TableTextS5"/>
            </w:pPr>
            <w:r w:rsidRPr="00E35952">
              <w:tab/>
            </w:r>
            <w:r w:rsidRPr="00E35952">
              <w:tab/>
              <w:t>RADIOLOCALIZACIÓN</w:t>
            </w:r>
          </w:p>
          <w:p w14:paraId="32270C91" w14:textId="77777777" w:rsidR="00713E3A" w:rsidRPr="00E35952" w:rsidRDefault="00617081" w:rsidP="00112A60">
            <w:pPr>
              <w:pStyle w:val="TableTextS5"/>
              <w:rPr>
                <w:color w:val="000000"/>
              </w:rPr>
            </w:pPr>
            <w:r w:rsidRPr="00E35952">
              <w:tab/>
            </w:r>
            <w:r w:rsidRPr="00E35952">
              <w:tab/>
              <w:t>Aficionados</w:t>
            </w:r>
          </w:p>
        </w:tc>
      </w:tr>
      <w:tr w:rsidR="00713E3A" w:rsidRPr="00E35952" w14:paraId="00F1ECE9" w14:textId="77777777" w:rsidTr="004F2D3F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72490D" w14:textId="77777777" w:rsidR="00713E3A" w:rsidRPr="00E35952" w:rsidRDefault="00617081" w:rsidP="00112A60">
            <w:pPr>
              <w:pStyle w:val="TableTextS5"/>
              <w:spacing w:before="20" w:after="20"/>
              <w:rPr>
                <w:color w:val="000000"/>
              </w:rPr>
            </w:pPr>
            <w:proofErr w:type="gramStart"/>
            <w:r w:rsidRPr="00E35952">
              <w:rPr>
                <w:rStyle w:val="Artref"/>
                <w:color w:val="000000"/>
              </w:rPr>
              <w:t>5.150</w:t>
            </w:r>
            <w:r w:rsidRPr="00E35952">
              <w:rPr>
                <w:color w:val="000000"/>
              </w:rPr>
              <w:t xml:space="preserve">  </w:t>
            </w:r>
            <w:r w:rsidRPr="00E35952">
              <w:rPr>
                <w:rStyle w:val="Artref"/>
                <w:color w:val="000000"/>
              </w:rPr>
              <w:t>5.451</w:t>
            </w:r>
            <w:proofErr w:type="gramEnd"/>
            <w:r w:rsidRPr="00E35952">
              <w:rPr>
                <w:color w:val="000000"/>
              </w:rPr>
              <w:t xml:space="preserve">  </w:t>
            </w:r>
            <w:r w:rsidRPr="00E35952">
              <w:rPr>
                <w:rStyle w:val="Artref"/>
                <w:color w:val="000000"/>
              </w:rPr>
              <w:t>5.453</w:t>
            </w:r>
            <w:r w:rsidRPr="00E35952">
              <w:rPr>
                <w:color w:val="000000"/>
              </w:rPr>
              <w:t xml:space="preserve">  </w:t>
            </w:r>
            <w:r w:rsidRPr="00E35952">
              <w:rPr>
                <w:rStyle w:val="Artref"/>
                <w:color w:val="000000"/>
              </w:rPr>
              <w:t>5.455</w:t>
            </w:r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5515" w14:textId="77777777" w:rsidR="00713E3A" w:rsidRPr="00E35952" w:rsidRDefault="00617081" w:rsidP="00112A60">
            <w:pPr>
              <w:pStyle w:val="TableTextS5"/>
              <w:spacing w:before="20" w:after="20"/>
              <w:rPr>
                <w:color w:val="000000"/>
              </w:rPr>
            </w:pPr>
            <w:r w:rsidRPr="00E35952">
              <w:rPr>
                <w:color w:val="000000"/>
              </w:rPr>
              <w:tab/>
            </w:r>
            <w:r w:rsidRPr="00E35952">
              <w:rPr>
                <w:color w:val="000000"/>
              </w:rPr>
              <w:tab/>
            </w:r>
            <w:proofErr w:type="gramStart"/>
            <w:r w:rsidRPr="00E35952">
              <w:rPr>
                <w:rStyle w:val="Artref"/>
                <w:color w:val="000000"/>
              </w:rPr>
              <w:t>5.150</w:t>
            </w:r>
            <w:r w:rsidRPr="00E35952">
              <w:rPr>
                <w:color w:val="000000"/>
              </w:rPr>
              <w:t xml:space="preserve">  </w:t>
            </w:r>
            <w:r w:rsidRPr="00E35952">
              <w:rPr>
                <w:rStyle w:val="Artref"/>
                <w:color w:val="000000"/>
              </w:rPr>
              <w:t>5.453</w:t>
            </w:r>
            <w:proofErr w:type="gramEnd"/>
            <w:r w:rsidRPr="00E35952">
              <w:rPr>
                <w:color w:val="000000"/>
              </w:rPr>
              <w:t xml:space="preserve">  </w:t>
            </w:r>
            <w:r w:rsidRPr="00E35952">
              <w:rPr>
                <w:rStyle w:val="Artref"/>
                <w:color w:val="000000"/>
              </w:rPr>
              <w:t>5.455</w:t>
            </w:r>
          </w:p>
        </w:tc>
      </w:tr>
      <w:tr w:rsidR="00713E3A" w:rsidRPr="00E35952" w14:paraId="29E91477" w14:textId="77777777" w:rsidTr="004F2D3F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1A57CC" w14:textId="77777777" w:rsidR="00713E3A" w:rsidRPr="00E35952" w:rsidRDefault="00617081" w:rsidP="00112A60">
            <w:pPr>
              <w:pStyle w:val="TableTextS5"/>
              <w:rPr>
                <w:rStyle w:val="Tablefreq"/>
              </w:rPr>
            </w:pPr>
            <w:r w:rsidRPr="00E35952">
              <w:rPr>
                <w:rStyle w:val="Tablefreq"/>
              </w:rPr>
              <w:t>5 830-5 850</w:t>
            </w:r>
          </w:p>
          <w:p w14:paraId="79A70CF1" w14:textId="77777777" w:rsidR="00713E3A" w:rsidRPr="00E35952" w:rsidRDefault="00617081" w:rsidP="00112A60">
            <w:pPr>
              <w:pStyle w:val="TableTextS5"/>
            </w:pPr>
            <w:r w:rsidRPr="00E35952">
              <w:t>FIJO POR SATÉLITE</w:t>
            </w:r>
            <w:r w:rsidRPr="00E35952">
              <w:br/>
              <w:t>(Tierra-espacio)</w:t>
            </w:r>
          </w:p>
          <w:p w14:paraId="18A86B12" w14:textId="77777777" w:rsidR="00713E3A" w:rsidRPr="00E35952" w:rsidRDefault="00617081" w:rsidP="00112A60">
            <w:pPr>
              <w:pStyle w:val="TableTextS5"/>
            </w:pPr>
            <w:r w:rsidRPr="00E35952">
              <w:t>RADIOLOCALIZACIÓN</w:t>
            </w:r>
          </w:p>
          <w:p w14:paraId="10204C36" w14:textId="77777777" w:rsidR="00713E3A" w:rsidRPr="00E35952" w:rsidRDefault="00617081" w:rsidP="00112A60">
            <w:pPr>
              <w:pStyle w:val="TableTextS5"/>
            </w:pPr>
            <w:r w:rsidRPr="00E35952">
              <w:t>Aficionados</w:t>
            </w:r>
          </w:p>
          <w:p w14:paraId="42186FB6" w14:textId="77777777" w:rsidR="00713E3A" w:rsidRPr="00E35952" w:rsidRDefault="00617081" w:rsidP="00112A60">
            <w:pPr>
              <w:pStyle w:val="TableTextS5"/>
              <w:rPr>
                <w:color w:val="000000"/>
              </w:rPr>
            </w:pPr>
            <w:r w:rsidRPr="00E35952">
              <w:t>Aficionados por satélite</w:t>
            </w:r>
            <w:r w:rsidRPr="00E35952">
              <w:br/>
              <w:t>(espacio-Tierra)</w:t>
            </w:r>
          </w:p>
        </w:tc>
        <w:tc>
          <w:tcPr>
            <w:tcW w:w="620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E826685" w14:textId="77777777" w:rsidR="00713E3A" w:rsidRPr="00E35952" w:rsidRDefault="00617081" w:rsidP="00112A60">
            <w:pPr>
              <w:pStyle w:val="TableTextS5"/>
              <w:rPr>
                <w:rStyle w:val="Tablefreq"/>
              </w:rPr>
            </w:pPr>
            <w:r w:rsidRPr="00E35952">
              <w:rPr>
                <w:rStyle w:val="Tablefreq"/>
              </w:rPr>
              <w:t>5 830-5 850</w:t>
            </w:r>
          </w:p>
          <w:p w14:paraId="2BA3C825" w14:textId="77777777" w:rsidR="00713E3A" w:rsidRPr="00E35952" w:rsidRDefault="00617081" w:rsidP="00112A60">
            <w:pPr>
              <w:pStyle w:val="TableTextS5"/>
            </w:pPr>
            <w:r w:rsidRPr="00E35952">
              <w:tab/>
            </w:r>
            <w:r w:rsidRPr="00E35952">
              <w:tab/>
              <w:t>RADIOLOCALIZACIÓN</w:t>
            </w:r>
          </w:p>
          <w:p w14:paraId="45420663" w14:textId="77777777" w:rsidR="00713E3A" w:rsidRPr="00E35952" w:rsidRDefault="00617081" w:rsidP="00112A60">
            <w:pPr>
              <w:pStyle w:val="TableTextS5"/>
            </w:pPr>
            <w:r w:rsidRPr="00E35952">
              <w:tab/>
            </w:r>
            <w:r w:rsidRPr="00E35952">
              <w:tab/>
              <w:t>Aficionados</w:t>
            </w:r>
          </w:p>
          <w:p w14:paraId="10FBE0BB" w14:textId="77777777" w:rsidR="00713E3A" w:rsidRPr="00E35952" w:rsidRDefault="00617081" w:rsidP="00112A60">
            <w:pPr>
              <w:pStyle w:val="TableTextS5"/>
              <w:rPr>
                <w:color w:val="000000"/>
              </w:rPr>
            </w:pPr>
            <w:r w:rsidRPr="00E35952">
              <w:tab/>
            </w:r>
            <w:r w:rsidRPr="00E35952">
              <w:tab/>
              <w:t>Aficionados por satélite (espacio-Tierra)</w:t>
            </w:r>
          </w:p>
        </w:tc>
      </w:tr>
      <w:tr w:rsidR="00713E3A" w:rsidRPr="00E35952" w14:paraId="47731558" w14:textId="77777777" w:rsidTr="004F2D3F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EB59" w14:textId="77777777" w:rsidR="00713E3A" w:rsidRPr="00E35952" w:rsidRDefault="00617081" w:rsidP="00112A60">
            <w:pPr>
              <w:pStyle w:val="TableTextS5"/>
              <w:spacing w:before="20" w:after="20"/>
              <w:rPr>
                <w:color w:val="000000"/>
              </w:rPr>
            </w:pPr>
            <w:proofErr w:type="gramStart"/>
            <w:r w:rsidRPr="00E35952">
              <w:rPr>
                <w:rStyle w:val="Artref"/>
                <w:color w:val="000000"/>
              </w:rPr>
              <w:t>5.150</w:t>
            </w:r>
            <w:r w:rsidRPr="00E35952">
              <w:rPr>
                <w:color w:val="000000"/>
              </w:rPr>
              <w:t xml:space="preserve">  </w:t>
            </w:r>
            <w:r w:rsidRPr="00E35952">
              <w:rPr>
                <w:rStyle w:val="Artref"/>
                <w:color w:val="000000"/>
              </w:rPr>
              <w:t>5.451</w:t>
            </w:r>
            <w:proofErr w:type="gramEnd"/>
            <w:r w:rsidRPr="00E35952">
              <w:rPr>
                <w:color w:val="000000"/>
              </w:rPr>
              <w:t xml:space="preserve">  </w:t>
            </w:r>
            <w:r w:rsidRPr="00E35952">
              <w:rPr>
                <w:rStyle w:val="Artref"/>
                <w:color w:val="000000"/>
              </w:rPr>
              <w:t>5.453</w:t>
            </w:r>
            <w:r w:rsidRPr="00E35952">
              <w:rPr>
                <w:color w:val="000000"/>
              </w:rPr>
              <w:t xml:space="preserve">  </w:t>
            </w:r>
            <w:r w:rsidRPr="00E35952">
              <w:rPr>
                <w:rStyle w:val="Artref"/>
                <w:color w:val="000000"/>
              </w:rPr>
              <w:t>5.455</w:t>
            </w:r>
          </w:p>
        </w:tc>
        <w:tc>
          <w:tcPr>
            <w:tcW w:w="62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B887" w14:textId="77777777" w:rsidR="00713E3A" w:rsidRPr="00E35952" w:rsidRDefault="00617081" w:rsidP="00112A60">
            <w:pPr>
              <w:pStyle w:val="TableTextS5"/>
              <w:spacing w:before="20" w:after="20"/>
              <w:rPr>
                <w:color w:val="000000"/>
              </w:rPr>
            </w:pPr>
            <w:r w:rsidRPr="00E35952">
              <w:rPr>
                <w:color w:val="000000"/>
              </w:rPr>
              <w:tab/>
            </w:r>
            <w:r w:rsidRPr="00E35952">
              <w:rPr>
                <w:color w:val="000000"/>
              </w:rPr>
              <w:tab/>
            </w:r>
            <w:proofErr w:type="gramStart"/>
            <w:r w:rsidRPr="00E35952">
              <w:rPr>
                <w:rStyle w:val="Artref"/>
                <w:color w:val="000000"/>
              </w:rPr>
              <w:t>5.150</w:t>
            </w:r>
            <w:r w:rsidRPr="00E35952">
              <w:rPr>
                <w:color w:val="000000"/>
              </w:rPr>
              <w:t xml:space="preserve">  </w:t>
            </w:r>
            <w:r w:rsidRPr="00E35952">
              <w:rPr>
                <w:rStyle w:val="Artref"/>
                <w:color w:val="000000"/>
              </w:rPr>
              <w:t>5.453</w:t>
            </w:r>
            <w:proofErr w:type="gramEnd"/>
            <w:r w:rsidRPr="00E35952">
              <w:rPr>
                <w:color w:val="000000"/>
              </w:rPr>
              <w:t xml:space="preserve">  </w:t>
            </w:r>
            <w:r w:rsidRPr="00E35952">
              <w:rPr>
                <w:rStyle w:val="Artref"/>
                <w:color w:val="000000"/>
              </w:rPr>
              <w:t>5.455</w:t>
            </w:r>
          </w:p>
        </w:tc>
      </w:tr>
    </w:tbl>
    <w:p w14:paraId="0B18C148" w14:textId="6B66A02E" w:rsidR="008E0337" w:rsidRPr="00E35952" w:rsidRDefault="00617081" w:rsidP="00112A60">
      <w:pPr>
        <w:pStyle w:val="Reasons"/>
      </w:pPr>
      <w:r w:rsidRPr="00E35952">
        <w:rPr>
          <w:b/>
        </w:rPr>
        <w:t>Motivos:</w:t>
      </w:r>
      <w:r w:rsidRPr="00E35952">
        <w:tab/>
        <w:t xml:space="preserve">No se han presentado elementos ni técnicas de reducción de la interferencia adicionales que puedan utilizarse para proteger estos nuevos modos de funcionamiento de los radares de salto de frecuencia. </w:t>
      </w:r>
      <w:r w:rsidR="00AC4D55" w:rsidRPr="00E35952">
        <w:t xml:space="preserve">En varios países de la </w:t>
      </w:r>
      <w:proofErr w:type="spellStart"/>
      <w:r w:rsidR="00AC4D55" w:rsidRPr="00E35952">
        <w:t>CEPT</w:t>
      </w:r>
      <w:proofErr w:type="spellEnd"/>
      <w:r w:rsidR="00AC4D55" w:rsidRPr="00E35952">
        <w:t xml:space="preserve"> funcionan sistemas/aplicaciones como la </w:t>
      </w:r>
      <w:proofErr w:type="spellStart"/>
      <w:r w:rsidR="00AC4D55" w:rsidRPr="00E35952">
        <w:t>RTTT</w:t>
      </w:r>
      <w:proofErr w:type="spellEnd"/>
      <w:r w:rsidR="00AC4D55" w:rsidRPr="00E35952">
        <w:t xml:space="preserve">. Los estudios llevados a cabo en la </w:t>
      </w:r>
      <w:proofErr w:type="spellStart"/>
      <w:r w:rsidR="00AC4D55" w:rsidRPr="00E35952">
        <w:t>CEPT</w:t>
      </w:r>
      <w:proofErr w:type="spellEnd"/>
      <w:r w:rsidR="00AC4D55" w:rsidRPr="00E35952">
        <w:t xml:space="preserve"> </w:t>
      </w:r>
      <w:r w:rsidR="00AC4D55" w:rsidRPr="00E35952">
        <w:rPr>
          <w:color w:val="000000"/>
        </w:rPr>
        <w:t xml:space="preserve">muestran que se requieren distancias de separación variables para garantizar el funcionamiento adecuado de la </w:t>
      </w:r>
      <w:proofErr w:type="spellStart"/>
      <w:r w:rsidR="00AC4D55" w:rsidRPr="00E35952">
        <w:rPr>
          <w:color w:val="000000"/>
        </w:rPr>
        <w:t>RTTT</w:t>
      </w:r>
      <w:proofErr w:type="spellEnd"/>
      <w:r w:rsidR="00AC4D55" w:rsidRPr="00E35952">
        <w:rPr>
          <w:color w:val="000000"/>
        </w:rPr>
        <w:t>. Serían necesarios más trabajos para evaluar la implantación, la eficiencia y los parámetros necesarios para implementar las técnicas de reducción de la interferencia y las repercusiones sobre ambas tecnologías.</w:t>
      </w:r>
    </w:p>
    <w:p w14:paraId="4FBB9982" w14:textId="77777777" w:rsidR="008E0337" w:rsidRPr="00E35952" w:rsidRDefault="00617081" w:rsidP="00112A60">
      <w:pPr>
        <w:pStyle w:val="Proposal"/>
      </w:pPr>
      <w:r w:rsidRPr="00E35952">
        <w:t>SUP</w:t>
      </w:r>
      <w:r w:rsidRPr="00E35952">
        <w:tab/>
        <w:t>EUR/</w:t>
      </w:r>
      <w:proofErr w:type="spellStart"/>
      <w:r w:rsidRPr="00E35952">
        <w:t>16A16A4</w:t>
      </w:r>
      <w:proofErr w:type="spellEnd"/>
      <w:r w:rsidRPr="00E35952">
        <w:t>/2</w:t>
      </w:r>
      <w:r w:rsidRPr="00E35952">
        <w:rPr>
          <w:vanish/>
          <w:color w:val="7F7F7F" w:themeColor="text1" w:themeTint="80"/>
          <w:vertAlign w:val="superscript"/>
        </w:rPr>
        <w:t>#49964</w:t>
      </w:r>
    </w:p>
    <w:p w14:paraId="6AFCEC76" w14:textId="77777777" w:rsidR="00713E3A" w:rsidRPr="00E35952" w:rsidRDefault="00617081" w:rsidP="00112A60">
      <w:pPr>
        <w:pStyle w:val="ResNo"/>
      </w:pPr>
      <w:r w:rsidRPr="00E35952">
        <w:t xml:space="preserve">RESOLUCIÓN </w:t>
      </w:r>
      <w:r w:rsidRPr="00E35952">
        <w:rPr>
          <w:rStyle w:val="href"/>
        </w:rPr>
        <w:t>239</w:t>
      </w:r>
      <w:r w:rsidRPr="00E35952">
        <w:t xml:space="preserve"> (</w:t>
      </w:r>
      <w:proofErr w:type="spellStart"/>
      <w:r w:rsidRPr="00E35952">
        <w:t>cmR</w:t>
      </w:r>
      <w:proofErr w:type="spellEnd"/>
      <w:r w:rsidRPr="00E35952">
        <w:t>-15)</w:t>
      </w:r>
    </w:p>
    <w:p w14:paraId="04085BB7" w14:textId="77777777" w:rsidR="00713E3A" w:rsidRPr="00E35952" w:rsidRDefault="00617081" w:rsidP="00112A60">
      <w:pPr>
        <w:pStyle w:val="Restitle"/>
      </w:pPr>
      <w:r w:rsidRPr="00E35952">
        <w:t>Estudios relativos a sistemas de acceso inalámbrico, incluidas redes radioeléctricas de área local (</w:t>
      </w:r>
      <w:proofErr w:type="spellStart"/>
      <w:r w:rsidRPr="00E35952">
        <w:t>WAS</w:t>
      </w:r>
      <w:proofErr w:type="spellEnd"/>
      <w:r w:rsidRPr="00E35952">
        <w:t>/</w:t>
      </w:r>
      <w:proofErr w:type="spellStart"/>
      <w:r w:rsidRPr="00E35952">
        <w:t>RLAN</w:t>
      </w:r>
      <w:proofErr w:type="spellEnd"/>
      <w:r w:rsidRPr="00E35952">
        <w:t xml:space="preserve">) en las bandas </w:t>
      </w:r>
      <w:r w:rsidRPr="00E35952">
        <w:br/>
        <w:t>de frecuencias entre 5 150 MHz y 5 925 MHz</w:t>
      </w:r>
    </w:p>
    <w:p w14:paraId="5B1BF88C" w14:textId="77777777" w:rsidR="003046F9" w:rsidRDefault="00617081" w:rsidP="00411C49">
      <w:pPr>
        <w:pStyle w:val="Reasons"/>
      </w:pPr>
      <w:r w:rsidRPr="00E35952">
        <w:rPr>
          <w:b/>
        </w:rPr>
        <w:t>Motivos:</w:t>
      </w:r>
      <w:r w:rsidRPr="00E35952">
        <w:tab/>
      </w:r>
      <w:r w:rsidR="00AC4D55" w:rsidRPr="00E35952">
        <w:t>Esta Resolución ya no es necesaria.</w:t>
      </w:r>
    </w:p>
    <w:p w14:paraId="5B1B0C2B" w14:textId="77777777" w:rsidR="003046F9" w:rsidRDefault="003046F9">
      <w:pPr>
        <w:jc w:val="center"/>
      </w:pPr>
      <w:r>
        <w:t>______________</w:t>
      </w:r>
    </w:p>
    <w:sectPr w:rsidR="003046F9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A5A9B" w14:textId="77777777" w:rsidR="003C0613" w:rsidRDefault="003C0613">
      <w:r>
        <w:separator/>
      </w:r>
    </w:p>
  </w:endnote>
  <w:endnote w:type="continuationSeparator" w:id="0">
    <w:p w14:paraId="3D70D6ED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2F16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714CC2" w14:textId="65A72E84" w:rsidR="0077084A" w:rsidRPr="00910D93" w:rsidRDefault="0077084A">
    <w:pPr>
      <w:ind w:right="360"/>
    </w:pPr>
    <w:r>
      <w:fldChar w:fldCharType="begin"/>
    </w:r>
    <w:r w:rsidRPr="00910D93">
      <w:instrText xml:space="preserve"> FILENAME \p  \* MERGEFORMAT </w:instrText>
    </w:r>
    <w:r>
      <w:fldChar w:fldCharType="separate"/>
    </w:r>
    <w:r w:rsidR="00CC6DCD">
      <w:rPr>
        <w:noProof/>
      </w:rPr>
      <w:t>P:\ESP\ITU-R\CONF-R\CMR19\000\016ADD16ADD04S.docx</w:t>
    </w:r>
    <w:r>
      <w:fldChar w:fldCharType="end"/>
    </w:r>
    <w:r w:rsidRPr="00910D93">
      <w:tab/>
    </w:r>
    <w:r>
      <w:fldChar w:fldCharType="begin"/>
    </w:r>
    <w:r>
      <w:instrText xml:space="preserve"> SAVEDATE \@ DD.MM.YY </w:instrText>
    </w:r>
    <w:r>
      <w:fldChar w:fldCharType="separate"/>
    </w:r>
    <w:r w:rsidR="00CC6DCD">
      <w:rPr>
        <w:noProof/>
      </w:rPr>
      <w:t>11.10.19</w:t>
    </w:r>
    <w:r>
      <w:fldChar w:fldCharType="end"/>
    </w:r>
    <w:r w:rsidRPr="00910D93">
      <w:tab/>
    </w:r>
    <w:r>
      <w:fldChar w:fldCharType="begin"/>
    </w:r>
    <w:r>
      <w:instrText xml:space="preserve"> PRINTDATE \@ DD.MM.YY </w:instrText>
    </w:r>
    <w:r>
      <w:fldChar w:fldCharType="separate"/>
    </w:r>
    <w:r w:rsidR="00CC6DCD">
      <w:rPr>
        <w:noProof/>
      </w:rPr>
      <w:t>11.10.19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47408" w14:textId="5DBA51B1" w:rsidR="0077084A" w:rsidRDefault="00177B2C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C6DCD">
      <w:rPr>
        <w:lang w:val="en-US"/>
      </w:rPr>
      <w:t>P:\ESP\ITU-R\CONF-R\CMR19\000\016ADD16ADD04S.docx</w:t>
    </w:r>
    <w:r>
      <w:fldChar w:fldCharType="end"/>
    </w:r>
    <w:r>
      <w:t xml:space="preserve"> (461990)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12FBE" w14:textId="6706D51B" w:rsidR="0077084A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C6DCD">
      <w:rPr>
        <w:lang w:val="en-US"/>
      </w:rPr>
      <w:t>P:\ESP\ITU-R\CONF-R\CMR19\000\016ADD16ADD04S.docx</w:t>
    </w:r>
    <w:r>
      <w:fldChar w:fldCharType="end"/>
    </w:r>
    <w:r w:rsidR="00177B2C">
      <w:t xml:space="preserve"> (461990)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26796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0D478AF5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68D75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F01">
      <w:rPr>
        <w:rStyle w:val="PageNumber"/>
        <w:noProof/>
      </w:rPr>
      <w:t>4</w:t>
    </w:r>
    <w:r>
      <w:rPr>
        <w:rStyle w:val="PageNumber"/>
      </w:rPr>
      <w:fldChar w:fldCharType="end"/>
    </w:r>
  </w:p>
  <w:p w14:paraId="76AD9891" w14:textId="77777777" w:rsidR="0077084A" w:rsidRDefault="008750A8" w:rsidP="00C44E9E">
    <w:pPr>
      <w:pStyle w:val="Header"/>
      <w:rPr>
        <w:lang w:val="en-US"/>
      </w:rPr>
    </w:pPr>
    <w:proofErr w:type="spellStart"/>
    <w:r>
      <w:rPr>
        <w:lang w:val="en-US"/>
      </w:rPr>
      <w:t>CMR1</w:t>
    </w:r>
    <w:r w:rsidR="00C44E9E">
      <w:rPr>
        <w:lang w:val="en-US"/>
      </w:rPr>
      <w:t>9</w:t>
    </w:r>
    <w:proofErr w:type="spellEnd"/>
    <w:r>
      <w:rPr>
        <w:lang w:val="en-US"/>
      </w:rPr>
      <w:t>/</w:t>
    </w:r>
    <w:r w:rsidR="00702F3D">
      <w:t>16(</w:t>
    </w:r>
    <w:proofErr w:type="spellStart"/>
    <w:r w:rsidR="00702F3D">
      <w:t>Add.16</w:t>
    </w:r>
    <w:proofErr w:type="spellEnd"/>
    <w:r w:rsidR="00702F3D">
      <w:t>)(</w:t>
    </w:r>
    <w:proofErr w:type="spellStart"/>
    <w:r w:rsidR="00702F3D">
      <w:t>Add.4</w:t>
    </w:r>
    <w:proofErr w:type="spellEnd"/>
    <w:r w:rsidR="00702F3D">
      <w:t>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B3430"/>
    <w:rsid w:val="000E5BF9"/>
    <w:rsid w:val="000F0E6D"/>
    <w:rsid w:val="00112A60"/>
    <w:rsid w:val="00121170"/>
    <w:rsid w:val="00123CC5"/>
    <w:rsid w:val="0015142D"/>
    <w:rsid w:val="001616DC"/>
    <w:rsid w:val="00163962"/>
    <w:rsid w:val="00177B2C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51D5"/>
    <w:rsid w:val="002A791F"/>
    <w:rsid w:val="002C1A52"/>
    <w:rsid w:val="002C1B26"/>
    <w:rsid w:val="002C5D6C"/>
    <w:rsid w:val="002E701F"/>
    <w:rsid w:val="003046F9"/>
    <w:rsid w:val="00304C3D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4D798B"/>
    <w:rsid w:val="005133B5"/>
    <w:rsid w:val="00524392"/>
    <w:rsid w:val="00532097"/>
    <w:rsid w:val="00556F7E"/>
    <w:rsid w:val="0058350F"/>
    <w:rsid w:val="00583C7E"/>
    <w:rsid w:val="0059098E"/>
    <w:rsid w:val="005C2B05"/>
    <w:rsid w:val="005C6E4C"/>
    <w:rsid w:val="005D46FB"/>
    <w:rsid w:val="005F2605"/>
    <w:rsid w:val="005F3B0E"/>
    <w:rsid w:val="005F3DB8"/>
    <w:rsid w:val="005F559C"/>
    <w:rsid w:val="00602857"/>
    <w:rsid w:val="006124AD"/>
    <w:rsid w:val="00617081"/>
    <w:rsid w:val="00620E86"/>
    <w:rsid w:val="00623699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7E3FC6"/>
    <w:rsid w:val="007F1657"/>
    <w:rsid w:val="00866AE6"/>
    <w:rsid w:val="008750A8"/>
    <w:rsid w:val="008C7CCE"/>
    <w:rsid w:val="008D3316"/>
    <w:rsid w:val="008E0337"/>
    <w:rsid w:val="008E5AF2"/>
    <w:rsid w:val="0090121B"/>
    <w:rsid w:val="00910D93"/>
    <w:rsid w:val="009144C9"/>
    <w:rsid w:val="0094091F"/>
    <w:rsid w:val="00962171"/>
    <w:rsid w:val="00973754"/>
    <w:rsid w:val="009942F2"/>
    <w:rsid w:val="0099798E"/>
    <w:rsid w:val="009C0BED"/>
    <w:rsid w:val="009E11EC"/>
    <w:rsid w:val="00A021CC"/>
    <w:rsid w:val="00A06F8B"/>
    <w:rsid w:val="00A118DB"/>
    <w:rsid w:val="00A4450C"/>
    <w:rsid w:val="00A46030"/>
    <w:rsid w:val="00AA5E6C"/>
    <w:rsid w:val="00AC4D55"/>
    <w:rsid w:val="00AE5677"/>
    <w:rsid w:val="00AE658F"/>
    <w:rsid w:val="00AF2F78"/>
    <w:rsid w:val="00AF5411"/>
    <w:rsid w:val="00B239FA"/>
    <w:rsid w:val="00B372AB"/>
    <w:rsid w:val="00B37F01"/>
    <w:rsid w:val="00B47331"/>
    <w:rsid w:val="00B52D55"/>
    <w:rsid w:val="00B8288C"/>
    <w:rsid w:val="00B86034"/>
    <w:rsid w:val="00BE2E80"/>
    <w:rsid w:val="00BE5EDD"/>
    <w:rsid w:val="00BE6A1F"/>
    <w:rsid w:val="00C0544D"/>
    <w:rsid w:val="00C126C4"/>
    <w:rsid w:val="00C44E9E"/>
    <w:rsid w:val="00C63EB5"/>
    <w:rsid w:val="00C87DA7"/>
    <w:rsid w:val="00CC01E0"/>
    <w:rsid w:val="00CC6DCD"/>
    <w:rsid w:val="00CD5FEE"/>
    <w:rsid w:val="00CE60D2"/>
    <w:rsid w:val="00CE7431"/>
    <w:rsid w:val="00D00CA8"/>
    <w:rsid w:val="00D025D5"/>
    <w:rsid w:val="00D0288A"/>
    <w:rsid w:val="00D72A5D"/>
    <w:rsid w:val="00DA71A3"/>
    <w:rsid w:val="00DC629B"/>
    <w:rsid w:val="00DE1C31"/>
    <w:rsid w:val="00E05BFF"/>
    <w:rsid w:val="00E262F1"/>
    <w:rsid w:val="00E3176A"/>
    <w:rsid w:val="00E35952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12C9E07A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styleId="BalloonText">
    <w:name w:val="Balloon Text"/>
    <w:basedOn w:val="Normal"/>
    <w:link w:val="BalloonTextChar"/>
    <w:semiHidden/>
    <w:unhideWhenUsed/>
    <w:rsid w:val="00B37F0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7F01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6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R16-WRC19-C-0016!A16-A4!MSW-S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502A44-5A2E-4023-8FDF-1382F143038F}">
  <ds:schemaRefs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996b2e75-67fd-4955-a3b0-5ab9934cb50b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5F6675-99B1-483A-9327-A43E43E1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586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R16-WRC19-C-0016!A16-A4!MSW-S</vt:lpstr>
    </vt:vector>
  </TitlesOfParts>
  <Manager>Secretaría General - Pool</Manager>
  <Company>Unión Internacional de Telecomunicaciones (UIT)</Company>
  <LinksUpToDate>false</LinksUpToDate>
  <CharactersWithSpaces>3999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R16-WRC19-C-0016!A16-A4!MSW-S</dc:title>
  <dc:subject>Conferencia Mundial de Radiocomunicaciones - 2019</dc:subject>
  <dc:creator>Documents Proposals Manager (DPM)</dc:creator>
  <cp:keywords>DPM_v2019.10.3.1_prod</cp:keywords>
  <dc:description/>
  <cp:lastModifiedBy>Spanish1</cp:lastModifiedBy>
  <cp:revision>24</cp:revision>
  <cp:lastPrinted>2019-10-11T08:03:00Z</cp:lastPrinted>
  <dcterms:created xsi:type="dcterms:W3CDTF">2019-10-10T14:10:00Z</dcterms:created>
  <dcterms:modified xsi:type="dcterms:W3CDTF">2019-10-11T10:04:00Z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