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3303B7C" w14:textId="77777777">
        <w:trPr>
          <w:cantSplit/>
        </w:trPr>
        <w:tc>
          <w:tcPr>
            <w:tcW w:w="6911" w:type="dxa"/>
          </w:tcPr>
          <w:p w14:paraId="79983EAB"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60A91FA7" w14:textId="77777777" w:rsidR="00A066F1" w:rsidRDefault="005F04D8" w:rsidP="003B2284">
            <w:pPr>
              <w:spacing w:before="0" w:line="240" w:lineRule="atLeast"/>
              <w:jc w:val="right"/>
            </w:pPr>
            <w:r>
              <w:rPr>
                <w:noProof/>
                <w:lang w:eastAsia="en-GB"/>
              </w:rPr>
              <w:drawing>
                <wp:inline distT="0" distB="0" distL="0" distR="0" wp14:anchorId="73E7CD5A" wp14:editId="1EBDEF9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D65BE1A" w14:textId="77777777">
        <w:trPr>
          <w:cantSplit/>
        </w:trPr>
        <w:tc>
          <w:tcPr>
            <w:tcW w:w="6911" w:type="dxa"/>
            <w:tcBorders>
              <w:bottom w:val="single" w:sz="12" w:space="0" w:color="auto"/>
            </w:tcBorders>
          </w:tcPr>
          <w:p w14:paraId="7C66DA83"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10D9C4F6" w14:textId="77777777" w:rsidR="00A066F1" w:rsidRPr="00617BE4" w:rsidRDefault="00A066F1" w:rsidP="00A066F1">
            <w:pPr>
              <w:spacing w:before="0" w:line="240" w:lineRule="atLeast"/>
              <w:rPr>
                <w:rFonts w:ascii="Verdana" w:hAnsi="Verdana"/>
                <w:szCs w:val="24"/>
              </w:rPr>
            </w:pPr>
          </w:p>
        </w:tc>
      </w:tr>
      <w:tr w:rsidR="00A066F1" w:rsidRPr="00C324A8" w14:paraId="5026A192" w14:textId="77777777">
        <w:trPr>
          <w:cantSplit/>
        </w:trPr>
        <w:tc>
          <w:tcPr>
            <w:tcW w:w="6911" w:type="dxa"/>
            <w:tcBorders>
              <w:top w:val="single" w:sz="12" w:space="0" w:color="auto"/>
            </w:tcBorders>
          </w:tcPr>
          <w:p w14:paraId="133AAFC8"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D76584F" w14:textId="77777777" w:rsidR="00A066F1" w:rsidRPr="00C324A8" w:rsidRDefault="00A066F1" w:rsidP="00A066F1">
            <w:pPr>
              <w:spacing w:before="0" w:line="240" w:lineRule="atLeast"/>
              <w:rPr>
                <w:rFonts w:ascii="Verdana" w:hAnsi="Verdana"/>
                <w:sz w:val="20"/>
              </w:rPr>
            </w:pPr>
          </w:p>
        </w:tc>
      </w:tr>
      <w:tr w:rsidR="00A066F1" w:rsidRPr="00C324A8" w14:paraId="499F3370" w14:textId="77777777">
        <w:trPr>
          <w:cantSplit/>
          <w:trHeight w:val="23"/>
        </w:trPr>
        <w:tc>
          <w:tcPr>
            <w:tcW w:w="6911" w:type="dxa"/>
            <w:shd w:val="clear" w:color="auto" w:fill="auto"/>
          </w:tcPr>
          <w:p w14:paraId="751133D4"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2FFE4B65"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15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39B1CF6F" w14:textId="77777777">
        <w:trPr>
          <w:cantSplit/>
          <w:trHeight w:val="23"/>
        </w:trPr>
        <w:tc>
          <w:tcPr>
            <w:tcW w:w="6911" w:type="dxa"/>
            <w:shd w:val="clear" w:color="auto" w:fill="auto"/>
          </w:tcPr>
          <w:p w14:paraId="7B85300B"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F910677"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20F19820" w14:textId="77777777">
        <w:trPr>
          <w:cantSplit/>
          <w:trHeight w:val="23"/>
        </w:trPr>
        <w:tc>
          <w:tcPr>
            <w:tcW w:w="6911" w:type="dxa"/>
            <w:shd w:val="clear" w:color="auto" w:fill="auto"/>
          </w:tcPr>
          <w:p w14:paraId="756FA4BF"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571021E8"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F2DAF97" w14:textId="77777777" w:rsidTr="00025864">
        <w:trPr>
          <w:cantSplit/>
          <w:trHeight w:val="23"/>
        </w:trPr>
        <w:tc>
          <w:tcPr>
            <w:tcW w:w="10031" w:type="dxa"/>
            <w:gridSpan w:val="2"/>
            <w:shd w:val="clear" w:color="auto" w:fill="auto"/>
          </w:tcPr>
          <w:p w14:paraId="6F65CB1B" w14:textId="77777777" w:rsidR="00A066F1" w:rsidRPr="00C324A8" w:rsidRDefault="00A066F1" w:rsidP="00A066F1">
            <w:pPr>
              <w:tabs>
                <w:tab w:val="left" w:pos="993"/>
              </w:tabs>
              <w:spacing w:before="0"/>
              <w:rPr>
                <w:rFonts w:ascii="Verdana" w:hAnsi="Verdana"/>
                <w:b/>
                <w:sz w:val="20"/>
              </w:rPr>
            </w:pPr>
          </w:p>
        </w:tc>
      </w:tr>
      <w:tr w:rsidR="00E55816" w:rsidRPr="00C324A8" w14:paraId="0D3EA51F" w14:textId="77777777" w:rsidTr="00025864">
        <w:trPr>
          <w:cantSplit/>
          <w:trHeight w:val="23"/>
        </w:trPr>
        <w:tc>
          <w:tcPr>
            <w:tcW w:w="10031" w:type="dxa"/>
            <w:gridSpan w:val="2"/>
            <w:shd w:val="clear" w:color="auto" w:fill="auto"/>
          </w:tcPr>
          <w:p w14:paraId="06B5F32C" w14:textId="77777777" w:rsidR="00E55816" w:rsidRDefault="00884D60" w:rsidP="00E55816">
            <w:pPr>
              <w:pStyle w:val="Source"/>
            </w:pPr>
            <w:r>
              <w:t>European Common Proposals</w:t>
            </w:r>
          </w:p>
        </w:tc>
      </w:tr>
      <w:tr w:rsidR="00E55816" w:rsidRPr="00C324A8" w14:paraId="449DA84C" w14:textId="77777777" w:rsidTr="00025864">
        <w:trPr>
          <w:cantSplit/>
          <w:trHeight w:val="23"/>
        </w:trPr>
        <w:tc>
          <w:tcPr>
            <w:tcW w:w="10031" w:type="dxa"/>
            <w:gridSpan w:val="2"/>
            <w:shd w:val="clear" w:color="auto" w:fill="auto"/>
          </w:tcPr>
          <w:p w14:paraId="37514A56" w14:textId="77777777" w:rsidR="00E55816" w:rsidRDefault="007D5320" w:rsidP="00E55816">
            <w:pPr>
              <w:pStyle w:val="Title1"/>
            </w:pPr>
            <w:r>
              <w:t>Proposals for the work of the conference</w:t>
            </w:r>
          </w:p>
        </w:tc>
      </w:tr>
      <w:tr w:rsidR="00E55816" w:rsidRPr="00C324A8" w14:paraId="2988D5EA" w14:textId="77777777" w:rsidTr="00025864">
        <w:trPr>
          <w:cantSplit/>
          <w:trHeight w:val="23"/>
        </w:trPr>
        <w:tc>
          <w:tcPr>
            <w:tcW w:w="10031" w:type="dxa"/>
            <w:gridSpan w:val="2"/>
            <w:shd w:val="clear" w:color="auto" w:fill="auto"/>
          </w:tcPr>
          <w:p w14:paraId="6F4E4A64" w14:textId="77777777" w:rsidR="00E55816" w:rsidRDefault="00E55816" w:rsidP="00E55816">
            <w:pPr>
              <w:pStyle w:val="Title2"/>
            </w:pPr>
          </w:p>
        </w:tc>
      </w:tr>
      <w:tr w:rsidR="00A538A6" w:rsidRPr="00C324A8" w14:paraId="246C1C3B" w14:textId="77777777" w:rsidTr="00025864">
        <w:trPr>
          <w:cantSplit/>
          <w:trHeight w:val="23"/>
        </w:trPr>
        <w:tc>
          <w:tcPr>
            <w:tcW w:w="10031" w:type="dxa"/>
            <w:gridSpan w:val="2"/>
            <w:shd w:val="clear" w:color="auto" w:fill="auto"/>
          </w:tcPr>
          <w:p w14:paraId="018347F4" w14:textId="77777777" w:rsidR="00A538A6" w:rsidRDefault="004B13CB" w:rsidP="004B13CB">
            <w:pPr>
              <w:pStyle w:val="Agendaitem"/>
            </w:pPr>
            <w:r>
              <w:t>Agenda item 1.15</w:t>
            </w:r>
          </w:p>
        </w:tc>
      </w:tr>
    </w:tbl>
    <w:bookmarkEnd w:id="6"/>
    <w:bookmarkEnd w:id="7"/>
    <w:p w14:paraId="6283CCF0" w14:textId="77777777" w:rsidR="005118F7" w:rsidRPr="00EC5386" w:rsidRDefault="00260DFD" w:rsidP="00181FCF">
      <w:pPr>
        <w:overflowPunct/>
        <w:autoSpaceDE/>
        <w:autoSpaceDN/>
        <w:adjustRightInd/>
        <w:textAlignment w:val="auto"/>
        <w:rPr>
          <w:lang w:val="en-US"/>
        </w:rPr>
      </w:pPr>
      <w:r w:rsidRPr="00656311">
        <w:rPr>
          <w:lang w:val="en-US"/>
        </w:rPr>
        <w:t>1.15</w:t>
      </w:r>
      <w:r w:rsidRPr="00656311">
        <w:rPr>
          <w:lang w:val="en-US"/>
        </w:rPr>
        <w:tab/>
        <w:t xml:space="preserve">to consider identification of frequency bands for use by administrations for the land-mobile and fixed services applications operating in the frequency range 275-450 GHz, in accordance with Resolution </w:t>
      </w:r>
      <w:r>
        <w:rPr>
          <w:b/>
          <w:bCs/>
          <w:lang w:val="en-US"/>
        </w:rPr>
        <w:t xml:space="preserve">767 </w:t>
      </w:r>
      <w:r w:rsidRPr="00656311">
        <w:rPr>
          <w:b/>
          <w:bCs/>
          <w:lang w:val="en-US"/>
        </w:rPr>
        <w:t>(WRC-15)</w:t>
      </w:r>
      <w:r w:rsidRPr="00656311">
        <w:rPr>
          <w:lang w:val="en-US"/>
        </w:rPr>
        <w:t>;</w:t>
      </w:r>
    </w:p>
    <w:p w14:paraId="7559FFCB" w14:textId="77777777" w:rsidR="002A14CE" w:rsidRPr="009F4CC8" w:rsidRDefault="002A14CE" w:rsidP="009F4CC8">
      <w:pPr>
        <w:pStyle w:val="Headingb"/>
        <w:rPr>
          <w:lang w:val="en-GB"/>
        </w:rPr>
      </w:pPr>
      <w:r w:rsidRPr="009F4CC8">
        <w:rPr>
          <w:lang w:val="en-GB"/>
        </w:rPr>
        <w:t>Introduction</w:t>
      </w:r>
    </w:p>
    <w:p w14:paraId="18B706C9" w14:textId="6CED81DB" w:rsidR="002A14CE" w:rsidRPr="0040601F" w:rsidRDefault="002A14CE" w:rsidP="002A14CE">
      <w:pPr>
        <w:rPr>
          <w:rFonts w:eastAsia="Calibri"/>
        </w:rPr>
      </w:pPr>
      <w:r w:rsidRPr="0040601F">
        <w:rPr>
          <w:rFonts w:eastAsia="Calibri"/>
        </w:rPr>
        <w:t>This agenda item proposes to consider identification for use by administrations for the land</w:t>
      </w:r>
      <w:r w:rsidR="00B17EAC" w:rsidRPr="0040601F">
        <w:rPr>
          <w:rFonts w:eastAsia="Calibri"/>
        </w:rPr>
        <w:t xml:space="preserve"> </w:t>
      </w:r>
      <w:r w:rsidRPr="0040601F">
        <w:rPr>
          <w:rFonts w:eastAsia="Calibri"/>
        </w:rPr>
        <w:t>mobile</w:t>
      </w:r>
      <w:r w:rsidR="00B17EAC" w:rsidRPr="0040601F">
        <w:rPr>
          <w:rFonts w:eastAsia="Calibri"/>
        </w:rPr>
        <w:t xml:space="preserve"> service (LMS)</w:t>
      </w:r>
      <w:r w:rsidRPr="0040601F">
        <w:rPr>
          <w:rFonts w:eastAsia="Calibri"/>
        </w:rPr>
        <w:t xml:space="preserve"> and fixed service</w:t>
      </w:r>
      <w:r w:rsidR="00B17EAC" w:rsidRPr="0040601F">
        <w:rPr>
          <w:rFonts w:eastAsia="Calibri"/>
        </w:rPr>
        <w:t xml:space="preserve"> (FS)</w:t>
      </w:r>
      <w:r w:rsidRPr="0040601F">
        <w:rPr>
          <w:rFonts w:eastAsia="Calibri"/>
        </w:rPr>
        <w:t xml:space="preserve"> applications operating in the frequency range 275-450 GHz, while maintaining protection of the passive services identified in No. </w:t>
      </w:r>
      <w:r w:rsidRPr="0040601F">
        <w:rPr>
          <w:rStyle w:val="Strong"/>
          <w:rFonts w:eastAsia="Calibri"/>
        </w:rPr>
        <w:t>5.565</w:t>
      </w:r>
      <w:r w:rsidRPr="0040601F">
        <w:rPr>
          <w:rFonts w:eastAsia="Calibri"/>
        </w:rPr>
        <w:t xml:space="preserve"> of the Radio Regulations (RR) and take appropriate action.</w:t>
      </w:r>
    </w:p>
    <w:p w14:paraId="408C0032" w14:textId="77777777" w:rsidR="002A14CE" w:rsidRPr="0040601F" w:rsidRDefault="002A14CE" w:rsidP="002A14CE">
      <w:pPr>
        <w:rPr>
          <w:rFonts w:eastAsia="Calibri"/>
          <w:szCs w:val="22"/>
        </w:rPr>
      </w:pPr>
      <w:r w:rsidRPr="0040601F">
        <w:rPr>
          <w:rFonts w:eastAsia="Calibri"/>
          <w:szCs w:val="22"/>
        </w:rPr>
        <w:t xml:space="preserve">Sharing studies undertaken in accordance with Resolution </w:t>
      </w:r>
      <w:r w:rsidRPr="0040601F">
        <w:rPr>
          <w:rStyle w:val="Strong"/>
          <w:rFonts w:eastAsia="Calibri"/>
        </w:rPr>
        <w:t>767 (WRC-15)</w:t>
      </w:r>
      <w:r w:rsidRPr="0040601F">
        <w:rPr>
          <w:rFonts w:eastAsia="Calibri"/>
          <w:bCs/>
          <w:szCs w:val="22"/>
        </w:rPr>
        <w:t xml:space="preserve"> have shown </w:t>
      </w:r>
      <w:r w:rsidRPr="0040601F">
        <w:rPr>
          <w:rFonts w:eastAsia="Calibri"/>
          <w:szCs w:val="22"/>
        </w:rPr>
        <w:t>that in the frequency bands 296-306 GHz, 313-318 GHz and 333-356 GHz, compatibility between FS/</w:t>
      </w:r>
      <w:r w:rsidR="00B17EAC" w:rsidRPr="0040601F">
        <w:rPr>
          <w:rFonts w:eastAsia="Calibri"/>
          <w:szCs w:val="22"/>
        </w:rPr>
        <w:t>L</w:t>
      </w:r>
      <w:r w:rsidRPr="0040601F">
        <w:rPr>
          <w:rFonts w:eastAsia="Calibri"/>
          <w:szCs w:val="22"/>
        </w:rPr>
        <w:t xml:space="preserve">MS and </w:t>
      </w:r>
      <w:r w:rsidR="00B17EAC" w:rsidRPr="0040601F">
        <w:rPr>
          <w:rFonts w:eastAsia="Calibri"/>
          <w:szCs w:val="22"/>
        </w:rPr>
        <w:t>e</w:t>
      </w:r>
      <w:r w:rsidR="00B17EAC" w:rsidRPr="0040601F">
        <w:t>arth exploration-satellite service</w:t>
      </w:r>
      <w:r w:rsidR="00B17EAC" w:rsidRPr="0040601F">
        <w:rPr>
          <w:rFonts w:eastAsia="Calibri"/>
          <w:szCs w:val="22"/>
        </w:rPr>
        <w:t xml:space="preserve"> (</w:t>
      </w:r>
      <w:r w:rsidRPr="0040601F">
        <w:rPr>
          <w:rFonts w:eastAsia="Calibri"/>
          <w:szCs w:val="22"/>
        </w:rPr>
        <w:t>EESS</w:t>
      </w:r>
      <w:r w:rsidR="00B17EAC" w:rsidRPr="0040601F">
        <w:rPr>
          <w:rFonts w:eastAsia="Calibri"/>
          <w:szCs w:val="22"/>
        </w:rPr>
        <w:t>)</w:t>
      </w:r>
      <w:r w:rsidRPr="0040601F">
        <w:rPr>
          <w:rFonts w:eastAsia="Calibri"/>
          <w:szCs w:val="22"/>
        </w:rPr>
        <w:t xml:space="preserve"> (passive) cannot be ensured and hence that these bands cannot be made available to the FS whereas in the remaining parts of the 275-450 GHz range, FS identification can be envisaged.</w:t>
      </w:r>
    </w:p>
    <w:p w14:paraId="55F05A53" w14:textId="6E9B9056" w:rsidR="002A14CE" w:rsidRPr="00806EA5" w:rsidRDefault="002A14CE" w:rsidP="002A14CE">
      <w:pPr>
        <w:rPr>
          <w:szCs w:val="24"/>
        </w:rPr>
      </w:pPr>
      <w:r w:rsidRPr="0040601F">
        <w:rPr>
          <w:szCs w:val="24"/>
        </w:rPr>
        <w:t xml:space="preserve">Therefore, CEPT supports the inclusion of a new footnote to Article </w:t>
      </w:r>
      <w:r w:rsidRPr="0040601F">
        <w:rPr>
          <w:b/>
          <w:szCs w:val="24"/>
        </w:rPr>
        <w:t>5</w:t>
      </w:r>
      <w:r w:rsidRPr="0040601F">
        <w:rPr>
          <w:szCs w:val="24"/>
        </w:rPr>
        <w:t xml:space="preserve"> of the </w:t>
      </w:r>
      <w:r w:rsidR="00B17EAC" w:rsidRPr="0040601F">
        <w:rPr>
          <w:szCs w:val="24"/>
        </w:rPr>
        <w:t xml:space="preserve">RR </w:t>
      </w:r>
      <w:r w:rsidRPr="0040601F">
        <w:rPr>
          <w:szCs w:val="24"/>
        </w:rPr>
        <w:t xml:space="preserve">identifying the following frequency bands for fixed and </w:t>
      </w:r>
      <w:r w:rsidR="0041760B" w:rsidRPr="0040601F">
        <w:rPr>
          <w:szCs w:val="24"/>
        </w:rPr>
        <w:t xml:space="preserve">land </w:t>
      </w:r>
      <w:r w:rsidRPr="0040601F">
        <w:rPr>
          <w:szCs w:val="24"/>
        </w:rPr>
        <w:t>mobile service applications in the range 275-450 GHz</w:t>
      </w:r>
      <w:r w:rsidRPr="00571BB8">
        <w:rPr>
          <w:szCs w:val="24"/>
        </w:rPr>
        <w:t xml:space="preserve"> while maintaining the protection of the passive services identified in RR No. </w:t>
      </w:r>
      <w:r w:rsidRPr="00571BB8">
        <w:rPr>
          <w:rStyle w:val="Strong"/>
          <w:szCs w:val="24"/>
        </w:rPr>
        <w:t>5.565</w:t>
      </w:r>
      <w:r w:rsidRPr="00571BB8">
        <w:rPr>
          <w:szCs w:val="24"/>
        </w:rPr>
        <w:t>:</w:t>
      </w:r>
    </w:p>
    <w:p w14:paraId="00C60C08" w14:textId="77777777" w:rsidR="002A14CE" w:rsidRPr="00806EA5" w:rsidRDefault="002A14CE" w:rsidP="002A14CE">
      <w:pPr>
        <w:pStyle w:val="enumlev1"/>
      </w:pPr>
      <w:r w:rsidRPr="00806EA5">
        <w:t>–</w:t>
      </w:r>
      <w:r w:rsidRPr="00806EA5">
        <w:tab/>
        <w:t>275-296 GHz</w:t>
      </w:r>
    </w:p>
    <w:p w14:paraId="48C83545" w14:textId="77777777" w:rsidR="002A14CE" w:rsidRPr="00806EA5" w:rsidRDefault="002A14CE" w:rsidP="002A14CE">
      <w:pPr>
        <w:pStyle w:val="enumlev1"/>
      </w:pPr>
      <w:r w:rsidRPr="00806EA5">
        <w:t>–</w:t>
      </w:r>
      <w:r w:rsidRPr="00806EA5">
        <w:tab/>
        <w:t>306-313 GHz</w:t>
      </w:r>
    </w:p>
    <w:p w14:paraId="43B071E8" w14:textId="77777777" w:rsidR="002A14CE" w:rsidRPr="00806EA5" w:rsidRDefault="002A14CE" w:rsidP="002A14CE">
      <w:pPr>
        <w:pStyle w:val="enumlev1"/>
      </w:pPr>
      <w:r w:rsidRPr="00806EA5">
        <w:t>–</w:t>
      </w:r>
      <w:r w:rsidRPr="00806EA5">
        <w:tab/>
        <w:t>318-333 GHz</w:t>
      </w:r>
    </w:p>
    <w:p w14:paraId="630EAE6A" w14:textId="77777777" w:rsidR="002A14CE" w:rsidRPr="00806EA5" w:rsidRDefault="002A14CE" w:rsidP="002A14CE">
      <w:pPr>
        <w:pStyle w:val="enumlev1"/>
      </w:pPr>
      <w:r w:rsidRPr="00806EA5">
        <w:t>–</w:t>
      </w:r>
      <w:r w:rsidRPr="00806EA5">
        <w:tab/>
        <w:t>356-450 GHz</w:t>
      </w:r>
    </w:p>
    <w:p w14:paraId="4546103E" w14:textId="77777777" w:rsidR="002A14CE" w:rsidRPr="00806EA5" w:rsidRDefault="002A14CE" w:rsidP="002A14CE">
      <w:pPr>
        <w:rPr>
          <w:szCs w:val="24"/>
        </w:rPr>
      </w:pPr>
      <w:r w:rsidRPr="00806EA5">
        <w:rPr>
          <w:szCs w:val="24"/>
        </w:rPr>
        <w:t xml:space="preserve">With a total bandwidth of 137 GHz </w:t>
      </w:r>
      <w:r w:rsidRPr="00806EA5">
        <w:t>proposed to be identified above 275 GHz</w:t>
      </w:r>
      <w:r w:rsidRPr="00806EA5">
        <w:rPr>
          <w:szCs w:val="24"/>
        </w:rPr>
        <w:t xml:space="preserve">, CEPT stresses that this is exceeding the assessed spectrum requirements of </w:t>
      </w:r>
      <w:r w:rsidRPr="00806EA5">
        <w:rPr>
          <w:lang w:val="en-US"/>
        </w:rPr>
        <w:t xml:space="preserve">50 GHz for </w:t>
      </w:r>
      <w:r w:rsidRPr="00806EA5">
        <w:rPr>
          <w:szCs w:val="24"/>
        </w:rPr>
        <w:t xml:space="preserve">the land mobile and fixed services, each </w:t>
      </w:r>
      <w:r w:rsidRPr="00806EA5">
        <w:rPr>
          <w:lang w:val="en-US"/>
        </w:rPr>
        <w:t>(with possibility of overlap)</w:t>
      </w:r>
      <w:r w:rsidRPr="00806EA5">
        <w:rPr>
          <w:szCs w:val="24"/>
        </w:rPr>
        <w:t xml:space="preserve">. In particular, the frequency band 356-450 </w:t>
      </w:r>
      <w:r>
        <w:rPr>
          <w:szCs w:val="24"/>
        </w:rPr>
        <w:t>G</w:t>
      </w:r>
      <w:r w:rsidRPr="00806EA5">
        <w:rPr>
          <w:szCs w:val="24"/>
        </w:rPr>
        <w:t xml:space="preserve">Hz provides a large contiguous bandwidth of 94 GHz and, with the 23 GHz already allocated to land mobile and fixed services in the lower adjacent band 252-275 GHz, the identification of the frequency band </w:t>
      </w:r>
      <w:r w:rsidRPr="00806EA5">
        <w:t>275-296 GHz</w:t>
      </w:r>
      <w:r w:rsidRPr="00806EA5">
        <w:rPr>
          <w:szCs w:val="24"/>
        </w:rPr>
        <w:t xml:space="preserve"> also allows to providing a large contiguous bandwidth of 44 GHz. </w:t>
      </w:r>
    </w:p>
    <w:p w14:paraId="2BE9FE68" w14:textId="77777777" w:rsidR="002A14CE" w:rsidRPr="00806EA5" w:rsidRDefault="002A14CE" w:rsidP="002A14CE">
      <w:pPr>
        <w:rPr>
          <w:szCs w:val="24"/>
        </w:rPr>
      </w:pPr>
      <w:r w:rsidRPr="00806EA5">
        <w:rPr>
          <w:szCs w:val="24"/>
        </w:rPr>
        <w:lastRenderedPageBreak/>
        <w:t xml:space="preserve">On the basis of the results of compatibility studies with EESS (passive), CEPT does not support land mobile and fixed services identification in the EESS (passive) bands </w:t>
      </w:r>
      <w:r w:rsidRPr="00806EA5">
        <w:rPr>
          <w:rFonts w:eastAsia="Calibri"/>
          <w:szCs w:val="24"/>
        </w:rPr>
        <w:t>296-306 GHz, 313</w:t>
      </w:r>
      <w:r>
        <w:rPr>
          <w:rFonts w:eastAsia="Calibri"/>
          <w:szCs w:val="24"/>
        </w:rPr>
        <w:noBreakHyphen/>
        <w:t>318 </w:t>
      </w:r>
      <w:r w:rsidRPr="00806EA5">
        <w:rPr>
          <w:rFonts w:eastAsia="Calibri"/>
          <w:szCs w:val="24"/>
        </w:rPr>
        <w:t>GHz and 333-356 GHz</w:t>
      </w:r>
      <w:r w:rsidRPr="00806EA5">
        <w:rPr>
          <w:szCs w:val="24"/>
        </w:rPr>
        <w:t xml:space="preserve"> (as identified in </w:t>
      </w:r>
      <w:r w:rsidRPr="00571BB8">
        <w:rPr>
          <w:szCs w:val="24"/>
        </w:rPr>
        <w:t>RR</w:t>
      </w:r>
      <w:r>
        <w:rPr>
          <w:szCs w:val="24"/>
        </w:rPr>
        <w:t xml:space="preserve"> </w:t>
      </w:r>
      <w:r w:rsidRPr="00806EA5">
        <w:rPr>
          <w:szCs w:val="24"/>
        </w:rPr>
        <w:t xml:space="preserve">No. </w:t>
      </w:r>
      <w:r w:rsidRPr="00806EA5">
        <w:rPr>
          <w:rStyle w:val="Strong"/>
          <w:szCs w:val="24"/>
        </w:rPr>
        <w:t>5.565</w:t>
      </w:r>
      <w:r w:rsidRPr="00806EA5">
        <w:rPr>
          <w:szCs w:val="24"/>
        </w:rPr>
        <w:t>) due to their incompatibility with EESS (passive) in these parts of the spectrum.</w:t>
      </w:r>
    </w:p>
    <w:p w14:paraId="4AD19421" w14:textId="77777777" w:rsidR="002A14CE" w:rsidRPr="00806EA5" w:rsidRDefault="002A14CE" w:rsidP="002A14CE">
      <w:pPr>
        <w:rPr>
          <w:szCs w:val="24"/>
        </w:rPr>
      </w:pPr>
      <w:r w:rsidRPr="00806EA5">
        <w:rPr>
          <w:szCs w:val="24"/>
        </w:rPr>
        <w:t xml:space="preserve">Active services other than land mobile and fixed services are not subject to WRC-19 agenda item 1.15. Consequently CEPT is of the view that the corresponding regulatory provisions </w:t>
      </w:r>
      <w:r w:rsidRPr="00806EA5">
        <w:t>to other active services</w:t>
      </w:r>
      <w:r w:rsidRPr="00806EA5">
        <w:rPr>
          <w:szCs w:val="24"/>
        </w:rPr>
        <w:t xml:space="preserve"> in </w:t>
      </w:r>
      <w:r w:rsidRPr="00571BB8">
        <w:rPr>
          <w:szCs w:val="24"/>
        </w:rPr>
        <w:t>RR</w:t>
      </w:r>
      <w:r>
        <w:rPr>
          <w:szCs w:val="24"/>
        </w:rPr>
        <w:t xml:space="preserve"> </w:t>
      </w:r>
      <w:r w:rsidRPr="00806EA5">
        <w:rPr>
          <w:szCs w:val="24"/>
        </w:rPr>
        <w:t xml:space="preserve">No. </w:t>
      </w:r>
      <w:r w:rsidRPr="00806EA5">
        <w:rPr>
          <w:rStyle w:val="Strong"/>
          <w:szCs w:val="24"/>
        </w:rPr>
        <w:t xml:space="preserve">5.565 </w:t>
      </w:r>
      <w:r w:rsidRPr="00806EA5">
        <w:rPr>
          <w:szCs w:val="24"/>
        </w:rPr>
        <w:t>have to remain unchanged.</w:t>
      </w:r>
    </w:p>
    <w:p w14:paraId="652C803E" w14:textId="77777777" w:rsidR="002A14CE" w:rsidRPr="00F85101" w:rsidRDefault="002A14CE" w:rsidP="002A14CE">
      <w:pPr>
        <w:rPr>
          <w:szCs w:val="24"/>
        </w:rPr>
      </w:pPr>
      <w:r w:rsidRPr="00806EA5">
        <w:rPr>
          <w:rStyle w:val="Artdef"/>
          <w:b w:val="0"/>
          <w:lang w:val="en-US"/>
        </w:rPr>
        <w:t xml:space="preserve">This European Common Proposal is hence consistent with Method E of the CPM Report which </w:t>
      </w:r>
      <w:r w:rsidRPr="00806EA5">
        <w:rPr>
          <w:rFonts w:eastAsia="BatangChe"/>
          <w:lang w:val="en-US"/>
        </w:rPr>
        <w:t>provides a clear guidance to administrations in which bands land mobile and fixed services applications should operate.</w:t>
      </w:r>
    </w:p>
    <w:p w14:paraId="3F1B6639" w14:textId="77777777" w:rsidR="009F4CC8" w:rsidRPr="00A36AB0" w:rsidRDefault="009F4CC8">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7740A496" w14:textId="3090D3D5" w:rsidR="00241FA2" w:rsidRPr="00A36AB0" w:rsidRDefault="002A14CE" w:rsidP="009F4CC8">
      <w:pPr>
        <w:pStyle w:val="Headingb"/>
        <w:rPr>
          <w:lang w:val="en-GB"/>
        </w:rPr>
      </w:pPr>
      <w:r w:rsidRPr="00A36AB0">
        <w:rPr>
          <w:lang w:val="en-GB"/>
        </w:rPr>
        <w:lastRenderedPageBreak/>
        <w:t>Proposals</w:t>
      </w:r>
    </w:p>
    <w:p w14:paraId="6E2480A3" w14:textId="77777777" w:rsidR="008B2E84" w:rsidRDefault="00260DFD" w:rsidP="008B2E84">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0967E9E6" w14:textId="77777777" w:rsidR="008B2E84" w:rsidRDefault="00260DFD"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7284D99E" w14:textId="77777777" w:rsidR="008B2E84" w:rsidRPr="00B25B23" w:rsidRDefault="00260DFD"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6D9D8406" w14:textId="77777777" w:rsidR="00E06D59" w:rsidRDefault="00260DFD">
      <w:pPr>
        <w:pStyle w:val="Proposal"/>
      </w:pPr>
      <w:r>
        <w:t>MOD</w:t>
      </w:r>
      <w:r>
        <w:tab/>
        <w:t>EUR/16A15/1</w:t>
      </w:r>
      <w:r>
        <w:rPr>
          <w:vanish/>
          <w:color w:val="7F7F7F" w:themeColor="text1" w:themeTint="80"/>
          <w:vertAlign w:val="superscript"/>
        </w:rPr>
        <w:t>#49817</w:t>
      </w:r>
    </w:p>
    <w:p w14:paraId="4EDEBD4F" w14:textId="77777777" w:rsidR="001962A2" w:rsidRPr="0042498F" w:rsidRDefault="00260DFD" w:rsidP="00130FDA">
      <w:pPr>
        <w:pStyle w:val="Tabletitle"/>
      </w:pPr>
      <w:r w:rsidRPr="0042498F">
        <w:t>248-3 000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1962A2" w:rsidRPr="0042498F" w14:paraId="0070C01E"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2116587" w14:textId="77777777" w:rsidR="001962A2" w:rsidRPr="0042498F" w:rsidRDefault="00260DFD" w:rsidP="00130FDA">
            <w:pPr>
              <w:pStyle w:val="Tablehead"/>
            </w:pPr>
            <w:r w:rsidRPr="0042498F">
              <w:t>Allocation to services</w:t>
            </w:r>
          </w:p>
        </w:tc>
      </w:tr>
      <w:tr w:rsidR="001962A2" w:rsidRPr="0042498F" w14:paraId="3C9C27FA" w14:textId="77777777" w:rsidTr="00130FDA">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0086EABC" w14:textId="77777777" w:rsidR="001962A2" w:rsidRPr="0042498F" w:rsidRDefault="00260DFD" w:rsidP="00130FDA">
            <w:pPr>
              <w:pStyle w:val="Tablehead"/>
            </w:pPr>
            <w:r w:rsidRPr="0042498F">
              <w:t>Region 1</w:t>
            </w:r>
          </w:p>
        </w:tc>
        <w:tc>
          <w:tcPr>
            <w:tcW w:w="3100" w:type="dxa"/>
            <w:tcBorders>
              <w:top w:val="single" w:sz="4" w:space="0" w:color="auto"/>
              <w:left w:val="single" w:sz="4" w:space="0" w:color="auto"/>
              <w:bottom w:val="single" w:sz="4" w:space="0" w:color="auto"/>
              <w:right w:val="single" w:sz="4" w:space="0" w:color="auto"/>
            </w:tcBorders>
            <w:hideMark/>
          </w:tcPr>
          <w:p w14:paraId="52E7EBBD" w14:textId="77777777" w:rsidR="001962A2" w:rsidRPr="0042498F" w:rsidRDefault="00260DFD" w:rsidP="00130FDA">
            <w:pPr>
              <w:pStyle w:val="Tablehead"/>
            </w:pPr>
            <w:r w:rsidRPr="0042498F">
              <w:t>Region 2</w:t>
            </w:r>
          </w:p>
        </w:tc>
        <w:tc>
          <w:tcPr>
            <w:tcW w:w="3105" w:type="dxa"/>
            <w:tcBorders>
              <w:top w:val="single" w:sz="4" w:space="0" w:color="auto"/>
              <w:left w:val="single" w:sz="4" w:space="0" w:color="auto"/>
              <w:bottom w:val="single" w:sz="4" w:space="0" w:color="auto"/>
              <w:right w:val="single" w:sz="4" w:space="0" w:color="auto"/>
            </w:tcBorders>
            <w:hideMark/>
          </w:tcPr>
          <w:p w14:paraId="264B94E7" w14:textId="77777777" w:rsidR="001962A2" w:rsidRPr="0042498F" w:rsidRDefault="00260DFD" w:rsidP="00130FDA">
            <w:pPr>
              <w:pStyle w:val="Tablehead"/>
            </w:pPr>
            <w:r w:rsidRPr="0042498F">
              <w:t>Region 3</w:t>
            </w:r>
          </w:p>
        </w:tc>
      </w:tr>
      <w:tr w:rsidR="001962A2" w:rsidRPr="0042498F" w14:paraId="6BBE7F0F"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DB6754A" w14:textId="77777777" w:rsidR="001962A2" w:rsidRPr="0042498F" w:rsidRDefault="00260DFD" w:rsidP="00130FDA">
            <w:pPr>
              <w:pStyle w:val="TableTextS5"/>
              <w:rPr>
                <w:caps/>
                <w:color w:val="000000"/>
              </w:rPr>
            </w:pPr>
            <w:r w:rsidRPr="0042498F">
              <w:rPr>
                <w:rStyle w:val="Tablefreq"/>
              </w:rPr>
              <w:t>275-3 000</w:t>
            </w:r>
            <w:r w:rsidRPr="0042498F">
              <w:rPr>
                <w:color w:val="000000"/>
              </w:rPr>
              <w:tab/>
              <w:t xml:space="preserve">(Not allocated)  </w:t>
            </w:r>
            <w:ins w:id="11" w:author="Arnould, Carine" w:date="2019-10-07T16:22:00Z">
              <w:r w:rsidR="00762FC2">
                <w:rPr>
                  <w:color w:val="000000"/>
                </w:rPr>
                <w:t xml:space="preserve">MOD </w:t>
              </w:r>
            </w:ins>
            <w:r w:rsidRPr="0042498F">
              <w:rPr>
                <w:rStyle w:val="Artref"/>
                <w:color w:val="000000"/>
              </w:rPr>
              <w:t>5.565</w:t>
            </w:r>
            <w:ins w:id="12" w:author="Unknown" w:date="2019-02-21T16:46:00Z">
              <w:r w:rsidRPr="0042498F">
                <w:rPr>
                  <w:rStyle w:val="Artref"/>
                  <w:color w:val="000000"/>
                </w:rPr>
                <w:t xml:space="preserve"> </w:t>
              </w:r>
            </w:ins>
            <w:ins w:id="13" w:author="Unknown" w:date="2019-03-04T13:45:00Z">
              <w:r w:rsidRPr="0042498F">
                <w:rPr>
                  <w:rStyle w:val="Artref"/>
                  <w:color w:val="000000"/>
                </w:rPr>
                <w:t xml:space="preserve"> </w:t>
              </w:r>
            </w:ins>
            <w:ins w:id="14" w:author="Unknown" w:date="2019-02-21T16:46:00Z">
              <w:r w:rsidRPr="0042498F">
                <w:t xml:space="preserve">ADD </w:t>
              </w:r>
              <w:r w:rsidRPr="0042498F">
                <w:rPr>
                  <w:rStyle w:val="Artref"/>
                  <w:color w:val="000000"/>
                </w:rPr>
                <w:t>5.</w:t>
              </w:r>
            </w:ins>
            <w:ins w:id="15" w:author="Unknown" w:date="2019-02-22T09:50:00Z">
              <w:r w:rsidRPr="0042498F">
                <w:rPr>
                  <w:rStyle w:val="Artref"/>
                  <w:color w:val="000000"/>
                  <w:rPrChange w:id="16" w:author="Unknown" w:date="2019-02-22T09:51:00Z">
                    <w:rPr>
                      <w:rStyle w:val="Artref"/>
                      <w:color w:val="000000"/>
                      <w:highlight w:val="cyan"/>
                    </w:rPr>
                  </w:rPrChange>
                </w:rPr>
                <w:t>A</w:t>
              </w:r>
            </w:ins>
            <w:ins w:id="17" w:author="Unknown" w:date="2019-02-21T16:46:00Z">
              <w:r w:rsidRPr="0042498F">
                <w:rPr>
                  <w:rStyle w:val="Artref"/>
                  <w:color w:val="000000"/>
                </w:rPr>
                <w:t>115</w:t>
              </w:r>
            </w:ins>
          </w:p>
        </w:tc>
      </w:tr>
    </w:tbl>
    <w:p w14:paraId="061D40DD" w14:textId="77777777" w:rsidR="00E06D59" w:rsidRDefault="00E06D59"/>
    <w:p w14:paraId="2B4E0CAB" w14:textId="77777777" w:rsidR="00E06D59" w:rsidRDefault="00260DFD">
      <w:pPr>
        <w:pStyle w:val="Reasons"/>
      </w:pPr>
      <w:r>
        <w:rPr>
          <w:b/>
        </w:rPr>
        <w:t>Reasons:</w:t>
      </w:r>
      <w:r>
        <w:tab/>
      </w:r>
      <w:r w:rsidR="00762FC2">
        <w:t>T</w:t>
      </w:r>
      <w:r w:rsidR="00762FC2" w:rsidRPr="008A54F1">
        <w:t>o introduce the new footnote f</w:t>
      </w:r>
      <w:r w:rsidR="00762FC2">
        <w:t xml:space="preserve">or the identification of </w:t>
      </w:r>
      <w:r w:rsidR="00762FC2" w:rsidRPr="00806EA5">
        <w:rPr>
          <w:lang w:val="en-US"/>
        </w:rPr>
        <w:t>land mobile and fixed services applications</w:t>
      </w:r>
      <w:r w:rsidR="00762FC2">
        <w:t>.</w:t>
      </w:r>
    </w:p>
    <w:p w14:paraId="6C48C04E" w14:textId="77777777" w:rsidR="00E06D59" w:rsidRDefault="00260DFD">
      <w:pPr>
        <w:pStyle w:val="Proposal"/>
      </w:pPr>
      <w:r>
        <w:t>ADD</w:t>
      </w:r>
      <w:r>
        <w:tab/>
        <w:t>EUR/16A15/2</w:t>
      </w:r>
    </w:p>
    <w:p w14:paraId="3E06556A" w14:textId="77777777" w:rsidR="00762FC2" w:rsidRPr="008A54F1" w:rsidRDefault="00260DFD" w:rsidP="00762FC2">
      <w:pPr>
        <w:pStyle w:val="Note"/>
        <w:rPr>
          <w:rStyle w:val="Artdef"/>
          <w:b w:val="0"/>
        </w:rPr>
      </w:pPr>
      <w:r>
        <w:rPr>
          <w:rStyle w:val="Artdef"/>
        </w:rPr>
        <w:t>5.A115</w:t>
      </w:r>
      <w:r>
        <w:tab/>
      </w:r>
      <w:r w:rsidR="00762FC2" w:rsidRPr="008A54F1">
        <w:rPr>
          <w:rStyle w:val="Artdef"/>
          <w:b w:val="0"/>
        </w:rPr>
        <w:t>The frequency bands 275-296 GHz, 306-313 GHz, 318-333 GHz and 356-450 GHz are identified for use by administrations for the implementation of land mobile and fixed services applications.</w:t>
      </w:r>
    </w:p>
    <w:p w14:paraId="14079EB3" w14:textId="77777777" w:rsidR="00762FC2" w:rsidRPr="008A54F1" w:rsidRDefault="00762FC2" w:rsidP="00762FC2">
      <w:pPr>
        <w:pStyle w:val="Note"/>
        <w:rPr>
          <w:rStyle w:val="Artdef"/>
          <w:b w:val="0"/>
        </w:rPr>
      </w:pPr>
      <w:r>
        <w:rPr>
          <w:rStyle w:val="Artdef"/>
          <w:b w:val="0"/>
        </w:rPr>
        <w:tab/>
      </w:r>
      <w:r>
        <w:rPr>
          <w:rStyle w:val="Artdef"/>
          <w:b w:val="0"/>
        </w:rPr>
        <w:tab/>
      </w:r>
      <w:r w:rsidRPr="008A54F1">
        <w:rPr>
          <w:rStyle w:val="Artdef"/>
          <w:b w:val="0"/>
        </w:rPr>
        <w:t xml:space="preserve">Administrations wishing to make these above-mentioned frequency bands available for land-mobile and/or fixed service applications are urged to take all practicable steps to protect passive services operating according to No. </w:t>
      </w:r>
      <w:r w:rsidRPr="008A54F1">
        <w:rPr>
          <w:rStyle w:val="Artdef"/>
        </w:rPr>
        <w:t>5.565</w:t>
      </w:r>
      <w:r w:rsidRPr="008A54F1">
        <w:rPr>
          <w:rStyle w:val="Artdef"/>
          <w:b w:val="0"/>
        </w:rPr>
        <w:t xml:space="preserve"> until the date when the Table of Frequency Allocations is established in the 275-1 000 GHz frequency range. Considering the protection of the Earth exploration-satellite service (passive), the bands 296-306 GHz, 313-318 GHz, 333-356 GHz are not suitable for land mobile and fixed service applications.</w:t>
      </w:r>
    </w:p>
    <w:p w14:paraId="035FEEAE" w14:textId="650D6CA6" w:rsidR="00E06D59" w:rsidRDefault="00762FC2" w:rsidP="00762FC2">
      <w:pPr>
        <w:pStyle w:val="Note"/>
      </w:pPr>
      <w:r>
        <w:rPr>
          <w:rStyle w:val="Artdef"/>
          <w:b w:val="0"/>
        </w:rPr>
        <w:tab/>
      </w:r>
      <w:r>
        <w:rPr>
          <w:rStyle w:val="Artdef"/>
          <w:b w:val="0"/>
        </w:rPr>
        <w:tab/>
      </w:r>
      <w:r w:rsidRPr="008A54F1">
        <w:rPr>
          <w:rStyle w:val="Artdef"/>
          <w:b w:val="0"/>
        </w:rPr>
        <w:t>In the frequency bands 275-296 GHz, 306-313 GHz, 318- 323 GHz, 327-333 GHz , 356-371 GHz, 388-424 GHz and 426-442 GHz, some specific conditions (e.g. minimum separation distances and/or avoidance angles) may be necessary to ensure protection of radio astronomy sites from land mobile and/or fixed service applications, on a case</w:t>
      </w:r>
      <w:r w:rsidR="00E4666F">
        <w:rPr>
          <w:rStyle w:val="Artdef"/>
          <w:b w:val="0"/>
        </w:rPr>
        <w:t>-</w:t>
      </w:r>
      <w:r w:rsidRPr="008A54F1">
        <w:rPr>
          <w:rStyle w:val="Artdef"/>
          <w:b w:val="0"/>
        </w:rPr>
        <w:t>by</w:t>
      </w:r>
      <w:r w:rsidR="00E4666F">
        <w:rPr>
          <w:rStyle w:val="Artdef"/>
          <w:b w:val="0"/>
        </w:rPr>
        <w:t>-</w:t>
      </w:r>
      <w:r w:rsidRPr="008A54F1">
        <w:rPr>
          <w:rStyle w:val="Artdef"/>
          <w:b w:val="0"/>
        </w:rPr>
        <w:t>case basis.</w:t>
      </w:r>
    </w:p>
    <w:p w14:paraId="12543ECA" w14:textId="3CBF8B01" w:rsidR="00E06D59" w:rsidRDefault="00260DFD">
      <w:pPr>
        <w:pStyle w:val="Reasons"/>
      </w:pPr>
      <w:r>
        <w:rPr>
          <w:b/>
        </w:rPr>
        <w:t>Reasons:</w:t>
      </w:r>
      <w:r>
        <w:tab/>
      </w:r>
      <w:r w:rsidR="00762FC2">
        <w:t xml:space="preserve">Studies that evaluated the entire 275-450 GHz range show that sharing is feasible </w:t>
      </w:r>
      <w:r w:rsidR="00762FC2" w:rsidRPr="0040601F">
        <w:t>between fixed service/land mobile service applications and the EESS (passive)/</w:t>
      </w:r>
      <w:r w:rsidR="00914696" w:rsidRPr="0040601F">
        <w:t>radio astronomy service (</w:t>
      </w:r>
      <w:r w:rsidR="00762FC2" w:rsidRPr="0040601F">
        <w:t>RAS</w:t>
      </w:r>
      <w:r w:rsidR="00914696" w:rsidRPr="0040601F">
        <w:t>)</w:t>
      </w:r>
      <w:r w:rsidR="00762FC2" w:rsidRPr="0040601F">
        <w:t xml:space="preserve"> in the particular bands proposed to be identified in RR No. </w:t>
      </w:r>
      <w:r w:rsidR="00762FC2" w:rsidRPr="0040601F">
        <w:rPr>
          <w:b/>
        </w:rPr>
        <w:t>5.A115</w:t>
      </w:r>
      <w:r w:rsidR="00762FC2" w:rsidRPr="0040601F">
        <w:t>. For the other frequency bands current studies have shown that sharing between fixed service/land mobile service</w:t>
      </w:r>
      <w:r w:rsidR="00762FC2">
        <w:t xml:space="preserve"> applications and EESS (passive)/RAS applications is not feasible. The amount of spectrum (in total 137 GHz) for use by land mobile and fixed services applications is exceeding the current spectrum needs of 50 GHz for each service (with possibility of overlap). </w:t>
      </w:r>
      <w:r w:rsidR="00762FC2" w:rsidRPr="00571BB8">
        <w:rPr>
          <w:bCs/>
        </w:rPr>
        <w:t xml:space="preserve">RR </w:t>
      </w:r>
      <w:r w:rsidR="00762FC2" w:rsidRPr="00571BB8">
        <w:rPr>
          <w:b/>
        </w:rPr>
        <w:t>No.</w:t>
      </w:r>
      <w:r w:rsidR="00762FC2" w:rsidRPr="00571BB8">
        <w:rPr>
          <w:bCs/>
        </w:rPr>
        <w:t xml:space="preserve"> </w:t>
      </w:r>
      <w:r w:rsidR="00762FC2" w:rsidRPr="008A54F1">
        <w:rPr>
          <w:b/>
        </w:rPr>
        <w:t>5.A115</w:t>
      </w:r>
      <w:r w:rsidR="00762FC2">
        <w:t xml:space="preserve"> above provides a clear guidance to administrations in which frequency bands land mobile and fixed services applications should operate.</w:t>
      </w:r>
    </w:p>
    <w:p w14:paraId="44F979FD" w14:textId="77777777" w:rsidR="00E06D59" w:rsidRDefault="00260DFD">
      <w:pPr>
        <w:pStyle w:val="Proposal"/>
      </w:pPr>
      <w:r>
        <w:t>MOD</w:t>
      </w:r>
      <w:r>
        <w:tab/>
        <w:t>EUR/16A15/3</w:t>
      </w:r>
    </w:p>
    <w:p w14:paraId="31C9B800" w14:textId="77777777" w:rsidR="008B2E84" w:rsidRPr="008321B2" w:rsidRDefault="00260DFD" w:rsidP="008B2E84">
      <w:pPr>
        <w:pStyle w:val="Note"/>
      </w:pPr>
      <w:r w:rsidRPr="00F5119C">
        <w:rPr>
          <w:rStyle w:val="Artdef"/>
        </w:rPr>
        <w:t>5.565</w:t>
      </w:r>
      <w:r w:rsidRPr="0058731F">
        <w:rPr>
          <w:rStyle w:val="Artdef"/>
        </w:rPr>
        <w:tab/>
      </w:r>
      <w:r w:rsidRPr="008321B2">
        <w:t>The following frequency bands in the range 275-1 000 GHz are identified for use by administrations for passive service applications:</w:t>
      </w:r>
    </w:p>
    <w:p w14:paraId="22A4B0B8" w14:textId="77777777" w:rsidR="008B2E84" w:rsidRPr="00361E1A" w:rsidRDefault="00260DFD" w:rsidP="008B2E84">
      <w:pPr>
        <w:pStyle w:val="Note"/>
        <w:ind w:left="1843" w:hanging="1843"/>
      </w:pPr>
      <w:r>
        <w:lastRenderedPageBreak/>
        <w:tab/>
      </w:r>
      <w:r>
        <w:tab/>
      </w:r>
      <w:r w:rsidRPr="00361E1A">
        <w:t>–</w:t>
      </w:r>
      <w:r w:rsidRPr="00361E1A">
        <w:tab/>
        <w:t>radio astronomy service: 275-323 GHz, 327-371 GHz, 388-424 GHz, 426</w:t>
      </w:r>
      <w:r>
        <w:noBreakHyphen/>
      </w:r>
      <w:r w:rsidRPr="00361E1A">
        <w:t>442 GHz, 453</w:t>
      </w:r>
      <w:r>
        <w:noBreakHyphen/>
      </w:r>
      <w:r w:rsidRPr="00361E1A">
        <w:t>510 GHz, 623-711 GHz, 795-909 GHz and 926-945 GHz;</w:t>
      </w:r>
    </w:p>
    <w:p w14:paraId="231C38B8" w14:textId="77777777" w:rsidR="008B2E84" w:rsidRPr="00361E1A" w:rsidRDefault="00260DFD" w:rsidP="008B2E84">
      <w:pPr>
        <w:pStyle w:val="Note"/>
        <w:ind w:left="1843" w:hanging="1843"/>
      </w:pPr>
      <w:r>
        <w:tab/>
      </w:r>
      <w:r>
        <w:tab/>
      </w:r>
      <w:r w:rsidRPr="00361E1A">
        <w:t>–</w:t>
      </w:r>
      <w:r w:rsidRPr="00361E1A">
        <w:tab/>
        <w:t>Earth exploration-satellite service (passive) and space research service (passive): 275</w:t>
      </w:r>
      <w:r w:rsidRPr="00352F09">
        <w:t>-286</w:t>
      </w:r>
      <w:r w:rsidRPr="00361E1A">
        <w:t> GHz, 296-306 GHz, 313-356 GHz, 361-365 GHz, 369-392 GHz, 397</w:t>
      </w:r>
      <w:r>
        <w:noBreakHyphen/>
      </w:r>
      <w:r w:rsidRPr="00361E1A">
        <w:t>399 GHz, 409-411 GHz, 416</w:t>
      </w:r>
      <w:r>
        <w:noBreakHyphen/>
      </w:r>
      <w:r w:rsidRPr="00361E1A">
        <w:t>434 GHz, 439-467 GHz, 477-502 GHz, 523</w:t>
      </w:r>
      <w:r>
        <w:noBreakHyphen/>
      </w:r>
      <w:r w:rsidRPr="00361E1A">
        <w:t>527 GHz, 538-581 GHz, 611-630 GHz, 634</w:t>
      </w:r>
      <w:r>
        <w:noBreakHyphen/>
      </w:r>
      <w:r w:rsidRPr="00361E1A">
        <w:t>654 GHz, 657-692 GHz, 713</w:t>
      </w:r>
      <w:r>
        <w:noBreakHyphen/>
      </w:r>
      <w:r w:rsidRPr="00361E1A">
        <w:t>718 GHz, 729-733 GHz, 750-754 GHz, 771-776 GHz, 823</w:t>
      </w:r>
      <w:r>
        <w:noBreakHyphen/>
      </w:r>
      <w:r w:rsidRPr="00361E1A">
        <w:t>846 GHz, 850</w:t>
      </w:r>
      <w:r>
        <w:noBreakHyphen/>
      </w:r>
      <w:r w:rsidRPr="00361E1A">
        <w:t>854 GHz, 857-862 GHz, 866-882 GHz, 905-928 GHz, 951-956 GHz, 968</w:t>
      </w:r>
      <w:r>
        <w:noBreakHyphen/>
      </w:r>
      <w:r w:rsidRPr="00361E1A">
        <w:t>973 GHz and 985-990 GHz.</w:t>
      </w:r>
    </w:p>
    <w:p w14:paraId="0CB8B553" w14:textId="77777777" w:rsidR="00762FC2" w:rsidRDefault="00260DFD" w:rsidP="008B2E84">
      <w:pPr>
        <w:pStyle w:val="Note"/>
        <w:rPr>
          <w:ins w:id="18" w:author="Arnould, Carine" w:date="2019-10-07T16:27:00Z"/>
        </w:rPr>
      </w:pPr>
      <w:r>
        <w:tab/>
      </w:r>
      <w:r w:rsidRPr="00F5119C">
        <w:tab/>
        <w:t>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w:t>
      </w:r>
    </w:p>
    <w:p w14:paraId="2510F9C3" w14:textId="77777777" w:rsidR="008B2E84" w:rsidRPr="00F5119C" w:rsidRDefault="00762FC2" w:rsidP="008B2E84">
      <w:pPr>
        <w:pStyle w:val="Note"/>
      </w:pPr>
      <w:ins w:id="19" w:author="Arnould, Carine" w:date="2019-10-07T16:27:00Z">
        <w:r>
          <w:tab/>
        </w:r>
        <w:r>
          <w:tab/>
        </w:r>
      </w:ins>
      <w:ins w:id="20" w:author="PTA" w:date="2019-04-14T22:50:00Z">
        <w:r w:rsidRPr="00B525F7">
          <w:t xml:space="preserve">The use of the range 275-450 GHz by land mobile and fixed </w:t>
        </w:r>
        <w:r w:rsidRPr="008A54F1">
          <w:t>services</w:t>
        </w:r>
      </w:ins>
      <w:ins w:id="21" w:author="PTA" w:date="2019-04-14T22:51:00Z">
        <w:r>
          <w:t xml:space="preserve"> applications</w:t>
        </w:r>
      </w:ins>
      <w:ins w:id="22" w:author="PTA" w:date="2019-04-14T22:50:00Z">
        <w:r>
          <w:t xml:space="preserve"> </w:t>
        </w:r>
        <w:r w:rsidRPr="00B525F7">
          <w:t xml:space="preserve">is subject to </w:t>
        </w:r>
        <w:r w:rsidRPr="00B525F7">
          <w:rPr>
            <w:bCs/>
            <w:lang w:val="en-US"/>
          </w:rPr>
          <w:t>N</w:t>
        </w:r>
        <w:r w:rsidRPr="00B525F7">
          <w:rPr>
            <w:lang w:val="en-US"/>
          </w:rPr>
          <w:t>o.</w:t>
        </w:r>
        <w:r>
          <w:t> </w:t>
        </w:r>
        <w:r w:rsidRPr="00B525F7">
          <w:rPr>
            <w:b/>
          </w:rPr>
          <w:t>5.A115</w:t>
        </w:r>
        <w:r w:rsidRPr="00B525F7">
          <w:t>.</w:t>
        </w:r>
      </w:ins>
    </w:p>
    <w:p w14:paraId="174A61B1" w14:textId="1B446E0C" w:rsidR="008B2E84" w:rsidRDefault="00260DFD" w:rsidP="008B2E84">
      <w:pPr>
        <w:pStyle w:val="Note"/>
        <w:rPr>
          <w:sz w:val="16"/>
        </w:rPr>
      </w:pPr>
      <w:r w:rsidRPr="00F5119C">
        <w:tab/>
      </w:r>
      <w:r>
        <w:tab/>
      </w:r>
      <w:r w:rsidRPr="00F5119C">
        <w:t>All frequencies in the range 1 000-3 000 GHz may be used by both active and passive services.</w:t>
      </w:r>
      <w:r>
        <w:rPr>
          <w:sz w:val="16"/>
        </w:rPr>
        <w:t>  </w:t>
      </w:r>
      <w:r w:rsidRPr="00F5119C">
        <w:rPr>
          <w:sz w:val="16"/>
        </w:rPr>
        <w:t>  </w:t>
      </w:r>
      <w:r w:rsidR="00E4666F">
        <w:rPr>
          <w:sz w:val="16"/>
        </w:rPr>
        <w:t> </w:t>
      </w:r>
      <w:r w:rsidRPr="00F5119C">
        <w:rPr>
          <w:sz w:val="16"/>
        </w:rPr>
        <w:t>(</w:t>
      </w:r>
      <w:r>
        <w:rPr>
          <w:sz w:val="16"/>
        </w:rPr>
        <w:t>WRC</w:t>
      </w:r>
      <w:r>
        <w:rPr>
          <w:sz w:val="16"/>
        </w:rPr>
        <w:noBreakHyphen/>
      </w:r>
      <w:del w:id="23" w:author="Arnould, Carine" w:date="2019-10-07T16:27:00Z">
        <w:r w:rsidRPr="00F5119C" w:rsidDel="00762FC2">
          <w:rPr>
            <w:sz w:val="16"/>
          </w:rPr>
          <w:delText>12</w:delText>
        </w:r>
      </w:del>
      <w:ins w:id="24" w:author="Arnould, Carine" w:date="2019-10-07T16:27:00Z">
        <w:r w:rsidR="00762FC2">
          <w:rPr>
            <w:sz w:val="16"/>
          </w:rPr>
          <w:t>19</w:t>
        </w:r>
      </w:ins>
      <w:r w:rsidRPr="00F5119C">
        <w:rPr>
          <w:sz w:val="16"/>
        </w:rPr>
        <w:t>)</w:t>
      </w:r>
    </w:p>
    <w:p w14:paraId="1B929174" w14:textId="77777777" w:rsidR="00E06D59" w:rsidRDefault="00260DFD">
      <w:pPr>
        <w:pStyle w:val="Reasons"/>
      </w:pPr>
      <w:r>
        <w:rPr>
          <w:b/>
        </w:rPr>
        <w:t>Reasons:</w:t>
      </w:r>
      <w:r>
        <w:tab/>
      </w:r>
      <w:r w:rsidR="00762FC2" w:rsidRPr="00571BB8">
        <w:t>C</w:t>
      </w:r>
      <w:r w:rsidR="00762FC2" w:rsidRPr="008A54F1">
        <w:t xml:space="preserve">onsequential to the addition of No. </w:t>
      </w:r>
      <w:r w:rsidR="00762FC2" w:rsidRPr="008A54F1">
        <w:rPr>
          <w:b/>
        </w:rPr>
        <w:t>5.A115</w:t>
      </w:r>
      <w:r w:rsidR="00762FC2" w:rsidRPr="008A54F1">
        <w:t>.</w:t>
      </w:r>
    </w:p>
    <w:p w14:paraId="60E2D3EC" w14:textId="77777777" w:rsidR="00E06D59" w:rsidRDefault="00260DFD">
      <w:pPr>
        <w:pStyle w:val="Proposal"/>
      </w:pPr>
      <w:r>
        <w:t>SUP</w:t>
      </w:r>
      <w:r>
        <w:tab/>
        <w:t>EUR/16A15/4</w:t>
      </w:r>
    </w:p>
    <w:p w14:paraId="78E8FB31" w14:textId="77777777" w:rsidR="007B1885" w:rsidRPr="0096575C" w:rsidRDefault="00260DFD" w:rsidP="007B1885">
      <w:pPr>
        <w:pStyle w:val="ResNo"/>
      </w:pPr>
      <w:bookmarkStart w:id="25" w:name="_Toc450048850"/>
      <w:r w:rsidRPr="0096575C">
        <w:t xml:space="preserve">RESOLUTION </w:t>
      </w:r>
      <w:r w:rsidRPr="0096575C">
        <w:rPr>
          <w:rStyle w:val="href"/>
        </w:rPr>
        <w:t>767</w:t>
      </w:r>
      <w:r w:rsidRPr="0096575C">
        <w:t xml:space="preserve"> (WRC-15)</w:t>
      </w:r>
      <w:bookmarkEnd w:id="25"/>
    </w:p>
    <w:p w14:paraId="1CF98DAD" w14:textId="77777777" w:rsidR="007B1885" w:rsidRPr="00755316" w:rsidRDefault="00260DFD" w:rsidP="007B1885">
      <w:pPr>
        <w:pStyle w:val="Restitle"/>
      </w:pPr>
      <w:bookmarkStart w:id="26" w:name="_Toc450048851"/>
      <w:r w:rsidRPr="00755316">
        <w:t>Studies towards an identification for use by administrations for land-mobile and fixed services applications operating in the frequency range 275-450 GHz</w:t>
      </w:r>
      <w:bookmarkEnd w:id="26"/>
    </w:p>
    <w:p w14:paraId="2CBCD787" w14:textId="77777777" w:rsidR="00762FC2" w:rsidRDefault="00260DFD" w:rsidP="00411C49">
      <w:pPr>
        <w:pStyle w:val="Reasons"/>
      </w:pPr>
      <w:r>
        <w:rPr>
          <w:b/>
        </w:rPr>
        <w:t>Reasons:</w:t>
      </w:r>
      <w:r>
        <w:tab/>
      </w:r>
      <w:r w:rsidR="00762FC2">
        <w:t>N</w:t>
      </w:r>
      <w:r w:rsidR="00762FC2" w:rsidRPr="00ED42E9">
        <w:t>o further studies needed</w:t>
      </w:r>
      <w:r w:rsidR="00762FC2">
        <w:t>.</w:t>
      </w:r>
    </w:p>
    <w:p w14:paraId="63A519ED" w14:textId="77777777" w:rsidR="00762FC2" w:rsidRDefault="00762FC2">
      <w:pPr>
        <w:jc w:val="center"/>
      </w:pPr>
      <w:r>
        <w:t>______________</w:t>
      </w:r>
    </w:p>
    <w:p w14:paraId="4FE088AA" w14:textId="77777777" w:rsidR="00E06D59" w:rsidRDefault="00E06D59" w:rsidP="00762FC2"/>
    <w:sectPr w:rsidR="00E06D59">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9D0" w14:textId="77777777" w:rsidR="00B45100" w:rsidRDefault="00B45100">
      <w:r>
        <w:separator/>
      </w:r>
    </w:p>
  </w:endnote>
  <w:endnote w:type="continuationSeparator" w:id="0">
    <w:p w14:paraId="31E554E7" w14:textId="77777777" w:rsidR="00B45100" w:rsidRDefault="00B4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335B" w14:textId="77777777" w:rsidR="00E45D05" w:rsidRDefault="00E45D05">
    <w:pPr>
      <w:framePr w:wrap="around" w:vAnchor="text" w:hAnchor="margin" w:xAlign="right" w:y="1"/>
    </w:pPr>
    <w:r>
      <w:fldChar w:fldCharType="begin"/>
    </w:r>
    <w:r>
      <w:instrText xml:space="preserve">PAGE  </w:instrText>
    </w:r>
    <w:r>
      <w:fldChar w:fldCharType="end"/>
    </w:r>
  </w:p>
  <w:p w14:paraId="328BF104" w14:textId="54CDA1E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D5BE4">
      <w:rPr>
        <w:noProof/>
        <w:lang w:val="en-US"/>
      </w:rPr>
      <w:t>P:\ENG\ITU-R\CONF-R\CMR19\000\016ADD15E.docx</w:t>
    </w:r>
    <w:r>
      <w:fldChar w:fldCharType="end"/>
    </w:r>
    <w:r w:rsidRPr="0041348E">
      <w:rPr>
        <w:lang w:val="en-US"/>
      </w:rPr>
      <w:tab/>
    </w:r>
    <w:r>
      <w:fldChar w:fldCharType="begin"/>
    </w:r>
    <w:r>
      <w:instrText xml:space="preserve"> SAVEDATE \@ DD.MM.YY </w:instrText>
    </w:r>
    <w:r>
      <w:fldChar w:fldCharType="separate"/>
    </w:r>
    <w:r w:rsidR="00ED5BE4">
      <w:rPr>
        <w:noProof/>
      </w:rPr>
      <w:t>10.10.19</w:t>
    </w:r>
    <w:r>
      <w:fldChar w:fldCharType="end"/>
    </w:r>
    <w:r w:rsidRPr="0041348E">
      <w:rPr>
        <w:lang w:val="en-US"/>
      </w:rPr>
      <w:tab/>
    </w:r>
    <w:r>
      <w:fldChar w:fldCharType="begin"/>
    </w:r>
    <w:r>
      <w:instrText xml:space="preserve"> PRINTDATE \@ DD.MM.YY </w:instrText>
    </w:r>
    <w:r>
      <w:fldChar w:fldCharType="separate"/>
    </w:r>
    <w:r w:rsidR="00ED5BE4">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2E03" w14:textId="120DFB55" w:rsidR="00E45D05" w:rsidRDefault="00E45D05" w:rsidP="009B1EA1">
    <w:pPr>
      <w:pStyle w:val="Footer"/>
    </w:pPr>
    <w:r>
      <w:fldChar w:fldCharType="begin"/>
    </w:r>
    <w:r w:rsidRPr="0041348E">
      <w:rPr>
        <w:lang w:val="en-US"/>
      </w:rPr>
      <w:instrText xml:space="preserve"> FILENAME \p  \* MERGEFORMAT </w:instrText>
    </w:r>
    <w:r>
      <w:fldChar w:fldCharType="separate"/>
    </w:r>
    <w:r w:rsidR="00ED5BE4">
      <w:rPr>
        <w:lang w:val="en-US"/>
      </w:rPr>
      <w:t>P:\ENG\ITU-R\CONF-R\CMR19\000\016ADD15E.docx</w:t>
    </w:r>
    <w:r>
      <w:fldChar w:fldCharType="end"/>
    </w:r>
    <w:r w:rsidR="009F4CC8">
      <w:t xml:space="preserve"> (461996)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1067C" w14:textId="7F49ABD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ED5BE4">
      <w:rPr>
        <w:lang w:val="en-US"/>
      </w:rPr>
      <w:t>P:\ENG\ITU-R\CONF-R\CMR19\000\016ADD15E.docx</w:t>
    </w:r>
    <w:r>
      <w:fldChar w:fldCharType="end"/>
    </w:r>
    <w:r w:rsidR="009F4CC8">
      <w:t xml:space="preserve"> (461996)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DD529" w14:textId="77777777" w:rsidR="00B45100" w:rsidRDefault="00B45100">
      <w:r>
        <w:rPr>
          <w:b/>
        </w:rPr>
        <w:t>_______________</w:t>
      </w:r>
    </w:p>
  </w:footnote>
  <w:footnote w:type="continuationSeparator" w:id="0">
    <w:p w14:paraId="25CCD21A" w14:textId="77777777" w:rsidR="00B45100" w:rsidRDefault="00B4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0F4" w14:textId="77777777" w:rsidR="00E45D05" w:rsidRDefault="00A066F1" w:rsidP="00187BD9">
    <w:pPr>
      <w:pStyle w:val="Header"/>
    </w:pPr>
    <w:r>
      <w:fldChar w:fldCharType="begin"/>
    </w:r>
    <w:r>
      <w:instrText xml:space="preserve"> PAGE  \* MERGEFORMAT </w:instrText>
    </w:r>
    <w:r>
      <w:fldChar w:fldCharType="separate"/>
    </w:r>
    <w:r w:rsidR="0040601F">
      <w:rPr>
        <w:noProof/>
      </w:rPr>
      <w:t>4</w:t>
    </w:r>
    <w:r>
      <w:fldChar w:fldCharType="end"/>
    </w:r>
  </w:p>
  <w:p w14:paraId="0F097A57" w14:textId="77777777" w:rsidR="00A066F1" w:rsidRPr="00A066F1" w:rsidRDefault="00187BD9" w:rsidP="00241FA2">
    <w:pPr>
      <w:pStyle w:val="Header"/>
    </w:pPr>
    <w:r>
      <w:t>CMR1</w:t>
    </w:r>
    <w:r w:rsidR="00202756">
      <w:t>9</w:t>
    </w:r>
    <w:r w:rsidR="00A066F1">
      <w:t>/</w:t>
    </w:r>
    <w:bookmarkStart w:id="27" w:name="OLE_LINK1"/>
    <w:bookmarkStart w:id="28" w:name="OLE_LINK2"/>
    <w:bookmarkStart w:id="29" w:name="OLE_LINK3"/>
    <w:r w:rsidR="00EB55C6">
      <w:t>16(Add.15)</w:t>
    </w:r>
    <w:bookmarkEnd w:id="27"/>
    <w:bookmarkEnd w:id="28"/>
    <w:bookmarkEnd w:id="29"/>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6"/>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60DFD"/>
    <w:rsid w:val="00271316"/>
    <w:rsid w:val="002A14CE"/>
    <w:rsid w:val="002B349C"/>
    <w:rsid w:val="002D0CEC"/>
    <w:rsid w:val="002D58BE"/>
    <w:rsid w:val="002F4747"/>
    <w:rsid w:val="00302605"/>
    <w:rsid w:val="00361B37"/>
    <w:rsid w:val="00377BD3"/>
    <w:rsid w:val="00384088"/>
    <w:rsid w:val="003852CE"/>
    <w:rsid w:val="0039169B"/>
    <w:rsid w:val="003A7F8C"/>
    <w:rsid w:val="003B2284"/>
    <w:rsid w:val="003B532E"/>
    <w:rsid w:val="003D0F8B"/>
    <w:rsid w:val="003E0DB6"/>
    <w:rsid w:val="0040601F"/>
    <w:rsid w:val="0041348E"/>
    <w:rsid w:val="0041760B"/>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6E4CCD"/>
    <w:rsid w:val="0070607A"/>
    <w:rsid w:val="007149F9"/>
    <w:rsid w:val="00733A30"/>
    <w:rsid w:val="00745AEE"/>
    <w:rsid w:val="00750F10"/>
    <w:rsid w:val="00762FC2"/>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14696"/>
    <w:rsid w:val="009274B4"/>
    <w:rsid w:val="00934EA2"/>
    <w:rsid w:val="00944A5C"/>
    <w:rsid w:val="00952A66"/>
    <w:rsid w:val="009B1EA1"/>
    <w:rsid w:val="009B7C9A"/>
    <w:rsid w:val="009C56E5"/>
    <w:rsid w:val="009C7716"/>
    <w:rsid w:val="009E5FC8"/>
    <w:rsid w:val="009E687A"/>
    <w:rsid w:val="009F236F"/>
    <w:rsid w:val="009F4CC8"/>
    <w:rsid w:val="00A066F1"/>
    <w:rsid w:val="00A141AF"/>
    <w:rsid w:val="00A16D29"/>
    <w:rsid w:val="00A30305"/>
    <w:rsid w:val="00A31D2D"/>
    <w:rsid w:val="00A36AB0"/>
    <w:rsid w:val="00A4600A"/>
    <w:rsid w:val="00A538A6"/>
    <w:rsid w:val="00A54C25"/>
    <w:rsid w:val="00A710E7"/>
    <w:rsid w:val="00A7372E"/>
    <w:rsid w:val="00A93B85"/>
    <w:rsid w:val="00AA0B18"/>
    <w:rsid w:val="00AA3C65"/>
    <w:rsid w:val="00AA666F"/>
    <w:rsid w:val="00AD7914"/>
    <w:rsid w:val="00AE514B"/>
    <w:rsid w:val="00B17EAC"/>
    <w:rsid w:val="00B40888"/>
    <w:rsid w:val="00B45100"/>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06D59"/>
    <w:rsid w:val="00E205BC"/>
    <w:rsid w:val="00E26226"/>
    <w:rsid w:val="00E4392E"/>
    <w:rsid w:val="00E45D05"/>
    <w:rsid w:val="00E4666F"/>
    <w:rsid w:val="00E55816"/>
    <w:rsid w:val="00E55AEF"/>
    <w:rsid w:val="00E976C1"/>
    <w:rsid w:val="00EA12E5"/>
    <w:rsid w:val="00EB55C6"/>
    <w:rsid w:val="00ED5BE4"/>
    <w:rsid w:val="00EF1932"/>
    <w:rsid w:val="00EF71B6"/>
    <w:rsid w:val="00F02766"/>
    <w:rsid w:val="00F05BD4"/>
    <w:rsid w:val="00F06473"/>
    <w:rsid w:val="00F6155B"/>
    <w:rsid w:val="00F65C19"/>
    <w:rsid w:val="00FD08E2"/>
    <w:rsid w:val="00FD18DA"/>
    <w:rsid w:val="00FD2546"/>
    <w:rsid w:val="00FD772E"/>
    <w:rsid w:val="00FE10D0"/>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33633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Strong">
    <w:name w:val="Strong"/>
    <w:aliases w:val="ECC HL bold"/>
    <w:basedOn w:val="DefaultParagraphFont"/>
    <w:uiPriority w:val="1"/>
    <w:qFormat/>
    <w:rsid w:val="002A1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C8162-84BB-4154-AC16-3D1C7D34C5AF}">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9362059C-896B-40FF-95A7-13053F59AF0C}">
  <ds:schemaRefs>
    <ds:schemaRef ds:uri="http://purl.org/dc/elements/1.1/"/>
    <ds:schemaRef ds:uri="http://schemas.openxmlformats.org/package/2006/metadata/core-properties"/>
    <ds:schemaRef ds:uri="996b2e75-67fd-4955-a3b0-5ab9934cb50b"/>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1A06DF-5B0D-41D5-B79E-B3A66F61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1037</Words>
  <Characters>5766</Characters>
  <Application>Microsoft Office Word</Application>
  <DocSecurity>0</DocSecurity>
  <Lines>124</Lines>
  <Paragraphs>51</Paragraphs>
  <ScaleCrop>false</ScaleCrop>
  <HeadingPairs>
    <vt:vector size="2" baseType="variant">
      <vt:variant>
        <vt:lpstr>Title</vt:lpstr>
      </vt:variant>
      <vt:variant>
        <vt:i4>1</vt:i4>
      </vt:variant>
    </vt:vector>
  </HeadingPairs>
  <TitlesOfParts>
    <vt:vector size="1" baseType="lpstr">
      <vt:lpstr>R16-WRC19-C-0016!A15!MSW-E</vt:lpstr>
    </vt:vector>
  </TitlesOfParts>
  <Manager>General Secretariat - Pool</Manager>
  <Company>International Telecommunication Union (ITU)</Company>
  <LinksUpToDate>false</LinksUpToDate>
  <CharactersWithSpaces>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R16-WRC19-C-0016!A15!MSW-E</dc:title>
  <dc:subject>World Radiocommunication Conference - 2019</dc:subject>
  <dc:creator>Documents Proposals Manager (DPM)</dc:creator>
  <cp:keywords>DPM_v2019.10.3.1_prod</cp:keywords>
  <dc:description>Uploaded on 2015.07.06</dc:description>
  <cp:lastModifiedBy>English</cp:lastModifiedBy>
  <cp:revision>6</cp:revision>
  <cp:lastPrinted>2019-10-14T05:54:00Z</cp:lastPrinted>
  <dcterms:created xsi:type="dcterms:W3CDTF">2019-10-09T14:23:00Z</dcterms:created>
  <dcterms:modified xsi:type="dcterms:W3CDTF">2019-10-14T05:54:00Z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