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85BBF" w14:paraId="2BCBDEB2" w14:textId="77777777" w:rsidTr="001226EC">
        <w:trPr>
          <w:cantSplit/>
        </w:trPr>
        <w:tc>
          <w:tcPr>
            <w:tcW w:w="6771" w:type="dxa"/>
          </w:tcPr>
          <w:p w14:paraId="719A5591" w14:textId="77777777" w:rsidR="005651C9" w:rsidRPr="00685BB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85BB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685BBF">
              <w:rPr>
                <w:rFonts w:ascii="Verdana" w:hAnsi="Verdana"/>
                <w:b/>
                <w:bCs/>
                <w:szCs w:val="22"/>
              </w:rPr>
              <w:t>9</w:t>
            </w:r>
            <w:r w:rsidRPr="00685BBF">
              <w:rPr>
                <w:rFonts w:ascii="Verdana" w:hAnsi="Verdana"/>
                <w:b/>
                <w:bCs/>
                <w:szCs w:val="22"/>
              </w:rPr>
              <w:t>)</w:t>
            </w: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685B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685B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685BB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48D19848" w14:textId="77777777" w:rsidR="005651C9" w:rsidRPr="00685BB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85BBF">
              <w:rPr>
                <w:szCs w:val="22"/>
                <w:lang w:eastAsia="zh-CN"/>
              </w:rPr>
              <w:drawing>
                <wp:inline distT="0" distB="0" distL="0" distR="0" wp14:anchorId="40A18635" wp14:editId="0FA674E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85BBF" w14:paraId="32F006E2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72B12A7" w14:textId="77777777" w:rsidR="005651C9" w:rsidRPr="00685BB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A776F27" w14:textId="77777777" w:rsidR="005651C9" w:rsidRPr="00685BB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85BBF" w14:paraId="63E0B9B5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D44CC2A" w14:textId="77777777" w:rsidR="005651C9" w:rsidRPr="00685BB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3594CB7" w14:textId="77777777" w:rsidR="005651C9" w:rsidRPr="00685BB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685BBF" w14:paraId="6065E94D" w14:textId="77777777" w:rsidTr="001226EC">
        <w:trPr>
          <w:cantSplit/>
        </w:trPr>
        <w:tc>
          <w:tcPr>
            <w:tcW w:w="6771" w:type="dxa"/>
          </w:tcPr>
          <w:p w14:paraId="3F413B8E" w14:textId="77777777" w:rsidR="005651C9" w:rsidRPr="00685BB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85BB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4969884" w14:textId="77777777" w:rsidR="005651C9" w:rsidRPr="00685BB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685BB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85BBF" w14:paraId="7B56EE89" w14:textId="77777777" w:rsidTr="001226EC">
        <w:trPr>
          <w:cantSplit/>
        </w:trPr>
        <w:tc>
          <w:tcPr>
            <w:tcW w:w="6771" w:type="dxa"/>
          </w:tcPr>
          <w:p w14:paraId="40B417A6" w14:textId="77777777" w:rsidR="000F33D8" w:rsidRPr="00685B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7FC0BA0" w14:textId="77777777" w:rsidR="000F33D8" w:rsidRPr="00685BB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5BBF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685BBF" w14:paraId="46FE5CC9" w14:textId="77777777" w:rsidTr="001226EC">
        <w:trPr>
          <w:cantSplit/>
        </w:trPr>
        <w:tc>
          <w:tcPr>
            <w:tcW w:w="6771" w:type="dxa"/>
          </w:tcPr>
          <w:p w14:paraId="5109EFCF" w14:textId="77777777" w:rsidR="000F33D8" w:rsidRPr="00685BB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541C3BA" w14:textId="77777777" w:rsidR="000F33D8" w:rsidRPr="00685BB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85BB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85BBF" w14:paraId="042575A7" w14:textId="77777777" w:rsidTr="009546EA">
        <w:trPr>
          <w:cantSplit/>
        </w:trPr>
        <w:tc>
          <w:tcPr>
            <w:tcW w:w="10031" w:type="dxa"/>
            <w:gridSpan w:val="2"/>
          </w:tcPr>
          <w:p w14:paraId="273A56EC" w14:textId="77777777" w:rsidR="000F33D8" w:rsidRPr="00685BB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85BBF" w14:paraId="44FECE2F" w14:textId="77777777">
        <w:trPr>
          <w:cantSplit/>
        </w:trPr>
        <w:tc>
          <w:tcPr>
            <w:tcW w:w="10031" w:type="dxa"/>
            <w:gridSpan w:val="2"/>
          </w:tcPr>
          <w:p w14:paraId="2C1F39F2" w14:textId="77777777" w:rsidR="000F33D8" w:rsidRPr="00685BB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685BBF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685BBF" w14:paraId="5FB84814" w14:textId="77777777">
        <w:trPr>
          <w:cantSplit/>
        </w:trPr>
        <w:tc>
          <w:tcPr>
            <w:tcW w:w="10031" w:type="dxa"/>
            <w:gridSpan w:val="2"/>
          </w:tcPr>
          <w:p w14:paraId="7E38AFAC" w14:textId="77777777" w:rsidR="000F33D8" w:rsidRPr="00685BBF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685BB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85BBF" w14:paraId="3776B3C2" w14:textId="77777777">
        <w:trPr>
          <w:cantSplit/>
        </w:trPr>
        <w:tc>
          <w:tcPr>
            <w:tcW w:w="10031" w:type="dxa"/>
            <w:gridSpan w:val="2"/>
          </w:tcPr>
          <w:p w14:paraId="3BB20500" w14:textId="77777777" w:rsidR="000F33D8" w:rsidRPr="00685BBF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685BBF" w14:paraId="6A45A3AB" w14:textId="77777777">
        <w:trPr>
          <w:cantSplit/>
        </w:trPr>
        <w:tc>
          <w:tcPr>
            <w:tcW w:w="10031" w:type="dxa"/>
            <w:gridSpan w:val="2"/>
          </w:tcPr>
          <w:p w14:paraId="5FDADC63" w14:textId="77777777" w:rsidR="000F33D8" w:rsidRPr="00685BBF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685BBF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0CA4D1EF" w14:textId="77777777" w:rsidR="00D51940" w:rsidRPr="00685BBF" w:rsidRDefault="000956A5" w:rsidP="00685BBF">
      <w:pPr>
        <w:pStyle w:val="Normalaftertitle"/>
        <w:rPr>
          <w:szCs w:val="22"/>
        </w:rPr>
      </w:pPr>
      <w:r w:rsidRPr="00685BBF">
        <w:t>1.13</w:t>
      </w:r>
      <w:r w:rsidRPr="00685BBF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685BBF">
        <w:rPr>
          <w:b/>
          <w:bCs/>
        </w:rPr>
        <w:t>238 (ВКР-15)</w:t>
      </w:r>
      <w:r w:rsidRPr="00685BBF">
        <w:t>;</w:t>
      </w:r>
    </w:p>
    <w:p w14:paraId="6D047AB0" w14:textId="441A94CE" w:rsidR="00700D86" w:rsidRPr="00685BBF" w:rsidRDefault="00692993" w:rsidP="00093F03">
      <w:pPr>
        <w:pStyle w:val="Title4"/>
      </w:pPr>
      <w:r w:rsidRPr="00685BBF">
        <w:t>Часть</w:t>
      </w:r>
      <w:r w:rsidR="00700D86" w:rsidRPr="00685BBF">
        <w:t xml:space="preserve"> 7 </w:t>
      </w:r>
      <w:r w:rsidR="00685BBF" w:rsidRPr="00685BBF">
        <w:t>−</w:t>
      </w:r>
      <w:r w:rsidR="00700D86" w:rsidRPr="00685BBF">
        <w:t xml:space="preserve"> </w:t>
      </w:r>
      <w:r w:rsidR="00EB5F29" w:rsidRPr="00685BBF">
        <w:t>Полоса частот</w:t>
      </w:r>
      <w:r w:rsidR="00700D86" w:rsidRPr="00685BBF">
        <w:t xml:space="preserve"> 50,4−52,6 ГГц</w:t>
      </w:r>
    </w:p>
    <w:p w14:paraId="5FE39225" w14:textId="2EE167B0" w:rsidR="00700D86" w:rsidRPr="00685BBF" w:rsidRDefault="00700D86" w:rsidP="00700D86">
      <w:pPr>
        <w:pStyle w:val="Headingb"/>
        <w:rPr>
          <w:lang w:val="ru-RU"/>
        </w:rPr>
      </w:pPr>
      <w:r w:rsidRPr="00685BBF">
        <w:rPr>
          <w:lang w:val="ru-RU"/>
        </w:rPr>
        <w:t>Введение</w:t>
      </w:r>
    </w:p>
    <w:p w14:paraId="386A77F9" w14:textId="414BCEC1" w:rsidR="00700D86" w:rsidRPr="00685BBF" w:rsidRDefault="00692993" w:rsidP="00700D86">
      <w:r w:rsidRPr="00685BBF">
        <w:t>Настоящий документ содержит общие предложения европейских стран, касающиеся полос частот</w:t>
      </w:r>
      <w:r w:rsidR="00700D86" w:rsidRPr="00685BBF">
        <w:t xml:space="preserve"> 50,4−52,6 ГГц</w:t>
      </w:r>
      <w:r w:rsidRPr="00685BBF">
        <w:t>, в соответствии с пунктом</w:t>
      </w:r>
      <w:r w:rsidR="00700D86" w:rsidRPr="00685BBF">
        <w:t xml:space="preserve"> </w:t>
      </w:r>
      <w:r w:rsidRPr="00685BBF">
        <w:t xml:space="preserve">1.13 повестки дня </w:t>
      </w:r>
      <w:r w:rsidR="00700D86" w:rsidRPr="00685BBF">
        <w:t>ВКР</w:t>
      </w:r>
      <w:r w:rsidR="00154DFB" w:rsidRPr="00685BBF">
        <w:noBreakHyphen/>
      </w:r>
      <w:r w:rsidR="00700D86" w:rsidRPr="00685BBF">
        <w:t>19.</w:t>
      </w:r>
    </w:p>
    <w:p w14:paraId="7B3BF00C" w14:textId="77777777" w:rsidR="00685BBF" w:rsidRPr="00685BBF" w:rsidRDefault="00685BBF" w:rsidP="00685BBF">
      <w:r w:rsidRPr="00685BBF">
        <w:br w:type="page"/>
      </w:r>
      <w:bookmarkStart w:id="7" w:name="_GoBack"/>
      <w:bookmarkEnd w:id="7"/>
    </w:p>
    <w:p w14:paraId="2A166623" w14:textId="5186F3E6" w:rsidR="0003535B" w:rsidRPr="00685BBF" w:rsidRDefault="00700D86" w:rsidP="00700D86">
      <w:pPr>
        <w:pStyle w:val="Headingb"/>
        <w:rPr>
          <w:lang w:val="ru-RU"/>
        </w:rPr>
      </w:pPr>
      <w:r w:rsidRPr="00685BBF">
        <w:rPr>
          <w:lang w:val="ru-RU"/>
        </w:rPr>
        <w:lastRenderedPageBreak/>
        <w:t>Предложения</w:t>
      </w:r>
    </w:p>
    <w:p w14:paraId="4D90B99F" w14:textId="77777777" w:rsidR="000C3ACF" w:rsidRPr="00685BBF" w:rsidRDefault="000956A5" w:rsidP="00093F03">
      <w:pPr>
        <w:pStyle w:val="ArtNo"/>
      </w:pPr>
      <w:bookmarkStart w:id="8" w:name="_Toc331607681"/>
      <w:bookmarkStart w:id="9" w:name="_Toc456189604"/>
      <w:r w:rsidRPr="00685BBF">
        <w:t xml:space="preserve">СТАТЬЯ </w:t>
      </w:r>
      <w:r w:rsidRPr="00685BBF">
        <w:rPr>
          <w:rStyle w:val="href"/>
        </w:rPr>
        <w:t>5</w:t>
      </w:r>
      <w:bookmarkEnd w:id="8"/>
      <w:bookmarkEnd w:id="9"/>
    </w:p>
    <w:p w14:paraId="442DEBE4" w14:textId="77777777" w:rsidR="000C3ACF" w:rsidRPr="00685BBF" w:rsidRDefault="000956A5" w:rsidP="00450154">
      <w:pPr>
        <w:pStyle w:val="Arttitle"/>
      </w:pPr>
      <w:bookmarkStart w:id="10" w:name="_Toc331607682"/>
      <w:bookmarkStart w:id="11" w:name="_Toc456189605"/>
      <w:r w:rsidRPr="00685BBF">
        <w:t>Распределение частот</w:t>
      </w:r>
      <w:bookmarkEnd w:id="10"/>
      <w:bookmarkEnd w:id="11"/>
    </w:p>
    <w:p w14:paraId="30BF6F95" w14:textId="77777777" w:rsidR="000C3ACF" w:rsidRPr="00685BBF" w:rsidRDefault="000956A5" w:rsidP="00450154">
      <w:pPr>
        <w:pStyle w:val="Section1"/>
      </w:pPr>
      <w:bookmarkStart w:id="12" w:name="_Toc331607687"/>
      <w:r w:rsidRPr="00685BBF">
        <w:t xml:space="preserve">Раздел </w:t>
      </w:r>
      <w:proofErr w:type="gramStart"/>
      <w:r w:rsidRPr="00685BBF">
        <w:t>IV  –</w:t>
      </w:r>
      <w:proofErr w:type="gramEnd"/>
      <w:r w:rsidRPr="00685BBF">
        <w:t xml:space="preserve">  Таблица распределения частот</w:t>
      </w:r>
      <w:r w:rsidRPr="00685BBF">
        <w:br/>
      </w:r>
      <w:r w:rsidRPr="00685BBF">
        <w:rPr>
          <w:b w:val="0"/>
          <w:bCs/>
        </w:rPr>
        <w:t>(См. п.</w:t>
      </w:r>
      <w:r w:rsidRPr="00685BBF">
        <w:t xml:space="preserve"> 2.1</w:t>
      </w:r>
      <w:r w:rsidRPr="00685BBF">
        <w:rPr>
          <w:b w:val="0"/>
          <w:bCs/>
        </w:rPr>
        <w:t>)</w:t>
      </w:r>
      <w:bookmarkEnd w:id="12"/>
    </w:p>
    <w:p w14:paraId="3B28743B" w14:textId="77777777" w:rsidR="002058A6" w:rsidRPr="00685BBF" w:rsidRDefault="000956A5">
      <w:pPr>
        <w:pStyle w:val="Proposal"/>
      </w:pPr>
      <w:proofErr w:type="spellStart"/>
      <w:r w:rsidRPr="00685BBF">
        <w:rPr>
          <w:u w:val="single"/>
        </w:rPr>
        <w:t>NOC</w:t>
      </w:r>
      <w:proofErr w:type="spellEnd"/>
      <w:r w:rsidRPr="00685BBF">
        <w:tab/>
      </w:r>
      <w:proofErr w:type="spellStart"/>
      <w:r w:rsidRPr="00685BBF">
        <w:t>EUR</w:t>
      </w:r>
      <w:proofErr w:type="spellEnd"/>
      <w:r w:rsidRPr="00685BBF">
        <w:t>/</w:t>
      </w:r>
      <w:proofErr w:type="spellStart"/>
      <w:r w:rsidRPr="00685BBF">
        <w:t>16A13A7</w:t>
      </w:r>
      <w:proofErr w:type="spellEnd"/>
      <w:r w:rsidRPr="00685BBF">
        <w:t>/1</w:t>
      </w:r>
      <w:r w:rsidRPr="00685BBF">
        <w:rPr>
          <w:vanish/>
          <w:color w:val="7F7F7F" w:themeColor="text1" w:themeTint="80"/>
          <w:vertAlign w:val="superscript"/>
        </w:rPr>
        <w:t>#49943</w:t>
      </w:r>
    </w:p>
    <w:p w14:paraId="05B99506" w14:textId="0D8195CA" w:rsidR="001E0D9E" w:rsidRPr="00685BBF" w:rsidRDefault="000956A5" w:rsidP="001E0D9E">
      <w:pPr>
        <w:pStyle w:val="Tabletitle"/>
      </w:pPr>
      <w:r w:rsidRPr="00685BBF">
        <w:t>47,5−51,4 ГГц</w:t>
      </w:r>
      <w:r w:rsidR="001E0D9E" w:rsidRPr="00685BBF">
        <w:t xml:space="preserve"> 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E478A7" w:rsidRPr="00685BBF" w14:paraId="1EBBDA93" w14:textId="77777777" w:rsidTr="00E478A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738" w14:textId="77777777" w:rsidR="00E478A7" w:rsidRPr="00685BBF" w:rsidRDefault="00E478A7" w:rsidP="00AE6D9F">
            <w:pPr>
              <w:pStyle w:val="Tablehead"/>
              <w:rPr>
                <w:lang w:val="ru-RU"/>
              </w:rPr>
            </w:pPr>
            <w:r w:rsidRPr="00685BBF">
              <w:rPr>
                <w:lang w:val="ru-RU"/>
              </w:rPr>
              <w:t>Распределение по службам</w:t>
            </w:r>
          </w:p>
        </w:tc>
      </w:tr>
      <w:tr w:rsidR="00E478A7" w:rsidRPr="00685BBF" w14:paraId="6B6B8A1D" w14:textId="77777777" w:rsidTr="00E478A7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AF7" w14:textId="77777777" w:rsidR="00E478A7" w:rsidRPr="00685BBF" w:rsidRDefault="00E478A7" w:rsidP="00AE6D9F">
            <w:pPr>
              <w:pStyle w:val="Tablehead"/>
              <w:rPr>
                <w:lang w:val="ru-RU"/>
              </w:rPr>
            </w:pPr>
            <w:r w:rsidRPr="00685BBF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D1A" w14:textId="77777777" w:rsidR="00E478A7" w:rsidRPr="00685BBF" w:rsidRDefault="00E478A7" w:rsidP="00AE6D9F">
            <w:pPr>
              <w:pStyle w:val="Tablehead"/>
              <w:rPr>
                <w:lang w:val="ru-RU"/>
              </w:rPr>
            </w:pPr>
            <w:r w:rsidRPr="00685BBF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9FB" w14:textId="77777777" w:rsidR="00E478A7" w:rsidRPr="00685BBF" w:rsidRDefault="00E478A7" w:rsidP="00AE6D9F">
            <w:pPr>
              <w:pStyle w:val="Tablehead"/>
              <w:rPr>
                <w:lang w:val="ru-RU"/>
              </w:rPr>
            </w:pPr>
            <w:r w:rsidRPr="00685BBF">
              <w:rPr>
                <w:lang w:val="ru-RU"/>
              </w:rPr>
              <w:t>Район 3</w:t>
            </w:r>
          </w:p>
        </w:tc>
      </w:tr>
      <w:tr w:rsidR="00E478A7" w:rsidRPr="00685BBF" w14:paraId="6FCAAF83" w14:textId="77777777" w:rsidTr="00E478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3EEEE" w14:textId="77777777" w:rsidR="00E478A7" w:rsidRPr="00685BBF" w:rsidRDefault="00E478A7" w:rsidP="00AE6D9F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685BBF">
              <w:rPr>
                <w:rStyle w:val="Tablefreq"/>
                <w:lang w:val="ru-RU"/>
              </w:rPr>
              <w:t>50,4–51,4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8E9" w14:textId="77777777" w:rsidR="00E478A7" w:rsidRPr="00685BBF" w:rsidRDefault="00E478A7" w:rsidP="00E478A7">
            <w:pPr>
              <w:pStyle w:val="TableTextS5"/>
              <w:ind w:hanging="255"/>
              <w:rPr>
                <w:lang w:val="ru-RU"/>
              </w:rPr>
            </w:pPr>
            <w:r w:rsidRPr="00685BBF">
              <w:rPr>
                <w:lang w:val="ru-RU"/>
              </w:rPr>
              <w:t xml:space="preserve">ФИКСИРОВАННАЯ </w:t>
            </w:r>
          </w:p>
          <w:p w14:paraId="789CB46C" w14:textId="77777777" w:rsidR="00E478A7" w:rsidRPr="00685BBF" w:rsidRDefault="00E478A7" w:rsidP="00AE6D9F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85BBF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685BBF">
              <w:rPr>
                <w:lang w:val="ru-RU"/>
              </w:rPr>
              <w:t xml:space="preserve">)  </w:t>
            </w:r>
            <w:proofErr w:type="spellStart"/>
            <w:r w:rsidRPr="00685BBF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  <w:p w14:paraId="2EC29503" w14:textId="77777777" w:rsidR="00E478A7" w:rsidRPr="00685BBF" w:rsidRDefault="00E478A7" w:rsidP="00AE6D9F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85BBF">
              <w:rPr>
                <w:lang w:val="ru-RU"/>
              </w:rPr>
              <w:t xml:space="preserve">ПОДВИЖНАЯ </w:t>
            </w:r>
          </w:p>
          <w:p w14:paraId="79DB5EA4" w14:textId="77777777" w:rsidR="00E478A7" w:rsidRPr="00685BBF" w:rsidRDefault="00E478A7" w:rsidP="00AE6D9F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85BBF">
              <w:rPr>
                <w:lang w:val="ru-RU"/>
              </w:rPr>
              <w:t>Подвижная спутниковая (Земля-космос)</w:t>
            </w:r>
          </w:p>
        </w:tc>
      </w:tr>
    </w:tbl>
    <w:p w14:paraId="347ED7B7" w14:textId="776EABA6" w:rsidR="00EB5F29" w:rsidRPr="00685BBF" w:rsidRDefault="000956A5" w:rsidP="00EB5F29">
      <w:pPr>
        <w:pStyle w:val="Reasons"/>
      </w:pPr>
      <w:r w:rsidRPr="00685BBF">
        <w:rPr>
          <w:b/>
        </w:rPr>
        <w:t>Основания</w:t>
      </w:r>
      <w:r w:rsidRPr="00685BBF">
        <w:rPr>
          <w:bCs/>
        </w:rPr>
        <w:t>:</w:t>
      </w:r>
      <w:r w:rsidRPr="00685BBF">
        <w:tab/>
      </w:r>
      <w:r w:rsidR="00EB5F29" w:rsidRPr="00685BBF">
        <w:t>Полоса частот 50,4−52,6 ГГц окружена двумя важными полосами, используемыми для пассивного дистанционного зондирования (т</w:t>
      </w:r>
      <w:r w:rsidR="00685BBF" w:rsidRPr="00685BBF">
        <w:t>. е.</w:t>
      </w:r>
      <w:r w:rsidR="00EB5F29" w:rsidRPr="00685BBF">
        <w:t xml:space="preserve"> 50,2−50,4 ГГц и 52,6−54,25 ГГц), предусмотренными </w:t>
      </w:r>
      <w:proofErr w:type="spellStart"/>
      <w:r w:rsidR="00EB5F29" w:rsidRPr="00685BBF">
        <w:t>п.</w:t>
      </w:r>
      <w:r w:rsidR="00EB5F29" w:rsidRPr="00685BBF">
        <w:rPr>
          <w:b/>
          <w:bCs/>
        </w:rPr>
        <w:t>5.340</w:t>
      </w:r>
      <w:proofErr w:type="spellEnd"/>
      <w:r w:rsidR="00EB5F29" w:rsidRPr="00685BBF">
        <w:t xml:space="preserve"> РР, что потребует соответствующей защиты, а именно установления ограничений для предельных уровней нежелательных излучений систем IMT-2020. Соблюдение </w:t>
      </w:r>
      <w:r w:rsidR="00093F03" w:rsidRPr="00685BBF">
        <w:t>требуемых</w:t>
      </w:r>
      <w:r w:rsidR="00EB5F29" w:rsidRPr="00685BBF">
        <w:t xml:space="preserve"> уровней защиты ССИЗ (пассивной) как в полосе частот 50,2−50,4 ГГц, так и 52,6−54,25 ГГц могло бы ограничить ее использование для IMT-2020 в пределах узкой части </w:t>
      </w:r>
      <w:r w:rsidR="00093F03" w:rsidRPr="00685BBF">
        <w:t>диапазона</w:t>
      </w:r>
      <w:r w:rsidR="00EB5F29" w:rsidRPr="00685BBF">
        <w:t xml:space="preserve"> частот 50,4−52,6 ГГц, что сделало бы полосу непригодной для IMT-2020.</w:t>
      </w:r>
    </w:p>
    <w:p w14:paraId="5E743DF9" w14:textId="09BD0BEA" w:rsidR="002058A6" w:rsidRPr="00685BBF" w:rsidRDefault="000956A5" w:rsidP="00093F03">
      <w:pPr>
        <w:pStyle w:val="Proposal"/>
      </w:pPr>
      <w:proofErr w:type="spellStart"/>
      <w:r w:rsidRPr="00685BBF">
        <w:rPr>
          <w:u w:val="single"/>
        </w:rPr>
        <w:t>NOC</w:t>
      </w:r>
      <w:proofErr w:type="spellEnd"/>
      <w:r w:rsidRPr="00685BBF">
        <w:tab/>
      </w:r>
      <w:proofErr w:type="spellStart"/>
      <w:r w:rsidRPr="00685BBF">
        <w:t>EUR</w:t>
      </w:r>
      <w:proofErr w:type="spellEnd"/>
      <w:r w:rsidRPr="00685BBF">
        <w:t>/</w:t>
      </w:r>
      <w:proofErr w:type="spellStart"/>
      <w:r w:rsidRPr="00685BBF">
        <w:t>16A13A7</w:t>
      </w:r>
      <w:proofErr w:type="spellEnd"/>
      <w:r w:rsidRPr="00685BBF">
        <w:t>/2</w:t>
      </w:r>
      <w:r w:rsidRPr="00685BBF">
        <w:rPr>
          <w:vanish/>
          <w:color w:val="7F7F7F" w:themeColor="text1" w:themeTint="80"/>
          <w:vertAlign w:val="superscript"/>
        </w:rPr>
        <w:t>#49945</w:t>
      </w:r>
    </w:p>
    <w:p w14:paraId="2C7A5C70" w14:textId="66ADD866" w:rsidR="00A5302E" w:rsidRPr="00685BBF" w:rsidRDefault="000956A5" w:rsidP="00301E49">
      <w:pPr>
        <w:pStyle w:val="Tabletitle"/>
      </w:pPr>
      <w:r w:rsidRPr="00685BBF">
        <w:t>51,4−55,78 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59"/>
        <w:gridCol w:w="3174"/>
        <w:gridCol w:w="3179"/>
      </w:tblGrid>
      <w:tr w:rsidR="00E478A7" w:rsidRPr="00685BBF" w14:paraId="28A9BA31" w14:textId="77777777" w:rsidTr="00E478A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CCE" w14:textId="77777777" w:rsidR="00E478A7" w:rsidRPr="00685BBF" w:rsidRDefault="00E478A7" w:rsidP="00AE6D9F">
            <w:pPr>
              <w:pStyle w:val="Tablehead"/>
              <w:spacing w:before="40" w:after="40"/>
              <w:rPr>
                <w:lang w:val="ru-RU"/>
              </w:rPr>
            </w:pPr>
            <w:r w:rsidRPr="00685BBF">
              <w:rPr>
                <w:lang w:val="ru-RU"/>
              </w:rPr>
              <w:t>Распределение по службам</w:t>
            </w:r>
          </w:p>
        </w:tc>
      </w:tr>
      <w:tr w:rsidR="00E478A7" w:rsidRPr="00685BBF" w14:paraId="625D9526" w14:textId="77777777" w:rsidTr="00E478A7">
        <w:trPr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BDA" w14:textId="77777777" w:rsidR="00E478A7" w:rsidRPr="00685BBF" w:rsidRDefault="00E478A7" w:rsidP="00AE6D9F">
            <w:pPr>
              <w:pStyle w:val="Tablehead"/>
              <w:spacing w:before="40" w:after="40"/>
              <w:rPr>
                <w:lang w:val="ru-RU"/>
              </w:rPr>
            </w:pPr>
            <w:r w:rsidRPr="00685BBF">
              <w:rPr>
                <w:lang w:val="ru-RU"/>
              </w:rPr>
              <w:t>Район 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0B3" w14:textId="77777777" w:rsidR="00E478A7" w:rsidRPr="00685BBF" w:rsidRDefault="00E478A7" w:rsidP="00AE6D9F">
            <w:pPr>
              <w:pStyle w:val="Tablehead"/>
              <w:spacing w:before="40" w:after="40"/>
              <w:rPr>
                <w:lang w:val="ru-RU"/>
              </w:rPr>
            </w:pPr>
            <w:r w:rsidRPr="00685BBF">
              <w:rPr>
                <w:lang w:val="ru-RU"/>
              </w:rPr>
              <w:t>Район 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04F" w14:textId="77777777" w:rsidR="00E478A7" w:rsidRPr="00685BBF" w:rsidRDefault="00E478A7" w:rsidP="00AE6D9F">
            <w:pPr>
              <w:pStyle w:val="Tablehead"/>
              <w:spacing w:before="40" w:after="40"/>
              <w:rPr>
                <w:lang w:val="ru-RU"/>
              </w:rPr>
            </w:pPr>
            <w:r w:rsidRPr="00685BBF">
              <w:rPr>
                <w:lang w:val="ru-RU"/>
              </w:rPr>
              <w:t>Район 3</w:t>
            </w:r>
          </w:p>
        </w:tc>
      </w:tr>
      <w:tr w:rsidR="00E478A7" w:rsidRPr="00685BBF" w14:paraId="5B0332FB" w14:textId="77777777" w:rsidTr="00E478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3B2FB376" w14:textId="77777777" w:rsidR="00E478A7" w:rsidRPr="00685BBF" w:rsidRDefault="00E478A7" w:rsidP="00AE6D9F">
            <w:pPr>
              <w:spacing w:before="40" w:after="40"/>
              <w:rPr>
                <w:rStyle w:val="Tablefreq"/>
              </w:rPr>
            </w:pPr>
            <w:r w:rsidRPr="00685BBF">
              <w:rPr>
                <w:rStyle w:val="Tablefreq"/>
              </w:rPr>
              <w:t>51,4–52,6</w:t>
            </w:r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30049BD9" w14:textId="77777777" w:rsidR="00E478A7" w:rsidRPr="00685BBF" w:rsidRDefault="00E478A7" w:rsidP="00AE6D9F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685BBF">
              <w:rPr>
                <w:lang w:val="ru-RU"/>
              </w:rPr>
              <w:t xml:space="preserve">ФИКСИРОВАННАЯ  </w:t>
            </w:r>
            <w:proofErr w:type="spellStart"/>
            <w:r w:rsidRPr="00685BBF">
              <w:rPr>
                <w:rStyle w:val="Artref"/>
                <w:lang w:val="ru-RU"/>
              </w:rPr>
              <w:t>5.338А</w:t>
            </w:r>
            <w:proofErr w:type="spellEnd"/>
            <w:proofErr w:type="gramEnd"/>
          </w:p>
          <w:p w14:paraId="3BDB8F7A" w14:textId="77777777" w:rsidR="00E478A7" w:rsidRPr="00685BBF" w:rsidRDefault="00E478A7" w:rsidP="00AE6D9F">
            <w:pPr>
              <w:pStyle w:val="TableTextS5"/>
              <w:ind w:hanging="255"/>
              <w:rPr>
                <w:lang w:val="ru-RU"/>
              </w:rPr>
            </w:pPr>
            <w:r w:rsidRPr="00685BBF">
              <w:rPr>
                <w:lang w:val="ru-RU"/>
              </w:rPr>
              <w:t>ПОДВИЖНАЯ</w:t>
            </w:r>
          </w:p>
          <w:p w14:paraId="711C0546" w14:textId="77777777" w:rsidR="00E478A7" w:rsidRPr="00685BBF" w:rsidRDefault="00E478A7" w:rsidP="00AE6D9F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proofErr w:type="gramStart"/>
            <w:r w:rsidRPr="00685BBF">
              <w:rPr>
                <w:rStyle w:val="Artref"/>
                <w:lang w:val="ru-RU"/>
              </w:rPr>
              <w:t>5.547  5</w:t>
            </w:r>
            <w:proofErr w:type="gramEnd"/>
            <w:r w:rsidRPr="00685BBF">
              <w:rPr>
                <w:rStyle w:val="Artref"/>
                <w:lang w:val="ru-RU"/>
              </w:rPr>
              <w:t>.556</w:t>
            </w:r>
          </w:p>
        </w:tc>
      </w:tr>
    </w:tbl>
    <w:p w14:paraId="1BB28EF0" w14:textId="30934F7C" w:rsidR="00154DFB" w:rsidRPr="00685BBF" w:rsidRDefault="000956A5" w:rsidP="00411C49">
      <w:pPr>
        <w:pStyle w:val="Reasons"/>
      </w:pPr>
      <w:r w:rsidRPr="00685BBF">
        <w:rPr>
          <w:b/>
        </w:rPr>
        <w:t>Основания</w:t>
      </w:r>
      <w:r w:rsidRPr="00685BBF">
        <w:rPr>
          <w:bCs/>
        </w:rPr>
        <w:t>:</w:t>
      </w:r>
      <w:r w:rsidRPr="00685BBF">
        <w:tab/>
      </w:r>
      <w:r w:rsidR="00692993" w:rsidRPr="00685BBF">
        <w:t>Полоса частот</w:t>
      </w:r>
      <w:r w:rsidR="00154DFB" w:rsidRPr="00685BBF">
        <w:t xml:space="preserve"> 50,4−52,6 ГГц </w:t>
      </w:r>
      <w:r w:rsidR="009B22D5" w:rsidRPr="00685BBF">
        <w:t>окружена двумя важными полосами, используемыми для пассивного дистанционного зондирования</w:t>
      </w:r>
      <w:r w:rsidR="00154DFB" w:rsidRPr="00685BBF">
        <w:t xml:space="preserve"> (</w:t>
      </w:r>
      <w:r w:rsidR="00EB5F29" w:rsidRPr="00685BBF">
        <w:t>т</w:t>
      </w:r>
      <w:r w:rsidR="00685BBF" w:rsidRPr="00685BBF">
        <w:t>. е.</w:t>
      </w:r>
      <w:r w:rsidR="00EB5F29" w:rsidRPr="00685BBF">
        <w:t xml:space="preserve"> </w:t>
      </w:r>
      <w:r w:rsidR="00154DFB" w:rsidRPr="00685BBF">
        <w:t xml:space="preserve">50,2−50,4 ГГц </w:t>
      </w:r>
      <w:r w:rsidR="009B22D5" w:rsidRPr="00685BBF">
        <w:t>и</w:t>
      </w:r>
      <w:r w:rsidR="00154DFB" w:rsidRPr="00685BBF">
        <w:t xml:space="preserve"> 52,6−54,25 ГГц)</w:t>
      </w:r>
      <w:r w:rsidR="009B22D5" w:rsidRPr="00685BBF">
        <w:t xml:space="preserve">, предусмотренными </w:t>
      </w:r>
      <w:proofErr w:type="spellStart"/>
      <w:r w:rsidR="009B22D5" w:rsidRPr="00685BBF">
        <w:t>п.</w:t>
      </w:r>
      <w:r w:rsidR="00154DFB" w:rsidRPr="00685BBF">
        <w:rPr>
          <w:b/>
          <w:bCs/>
        </w:rPr>
        <w:t>5.340</w:t>
      </w:r>
      <w:proofErr w:type="spellEnd"/>
      <w:r w:rsidR="009B22D5" w:rsidRPr="00685BBF">
        <w:t xml:space="preserve"> РР</w:t>
      </w:r>
      <w:r w:rsidR="00154DFB" w:rsidRPr="00685BBF">
        <w:t xml:space="preserve">, </w:t>
      </w:r>
      <w:r w:rsidR="009B22D5" w:rsidRPr="00685BBF">
        <w:t>что потребует соответствующей защиты</w:t>
      </w:r>
      <w:r w:rsidR="00154DFB" w:rsidRPr="00685BBF">
        <w:t xml:space="preserve">, </w:t>
      </w:r>
      <w:r w:rsidR="009B22D5" w:rsidRPr="00685BBF">
        <w:t>а именно установления</w:t>
      </w:r>
      <w:r w:rsidR="00154DFB" w:rsidRPr="00685BBF">
        <w:t xml:space="preserve"> </w:t>
      </w:r>
      <w:r w:rsidR="009B22D5" w:rsidRPr="00685BBF">
        <w:t>ограничений для</w:t>
      </w:r>
      <w:r w:rsidR="00154DFB" w:rsidRPr="00685BBF">
        <w:t xml:space="preserve"> </w:t>
      </w:r>
      <w:r w:rsidR="009B22D5" w:rsidRPr="00685BBF">
        <w:t>предельных уровней нежелательных излучений систем</w:t>
      </w:r>
      <w:r w:rsidR="00154DFB" w:rsidRPr="00685BBF">
        <w:t xml:space="preserve"> IMT-2020.</w:t>
      </w:r>
      <w:r w:rsidR="009450F1" w:rsidRPr="00685BBF">
        <w:t xml:space="preserve"> </w:t>
      </w:r>
      <w:r w:rsidR="009B22D5" w:rsidRPr="00685BBF">
        <w:t xml:space="preserve">Соблюдение </w:t>
      </w:r>
      <w:r w:rsidR="00093F03" w:rsidRPr="00685BBF">
        <w:t>требуемых</w:t>
      </w:r>
      <w:r w:rsidR="009B22D5" w:rsidRPr="00685BBF">
        <w:t xml:space="preserve"> уровней защиты ССИЗ</w:t>
      </w:r>
      <w:r w:rsidR="00154DFB" w:rsidRPr="00685BBF">
        <w:t xml:space="preserve"> (</w:t>
      </w:r>
      <w:r w:rsidR="009B22D5" w:rsidRPr="00685BBF">
        <w:t>пассивной</w:t>
      </w:r>
      <w:r w:rsidR="00154DFB" w:rsidRPr="00685BBF">
        <w:t xml:space="preserve">) </w:t>
      </w:r>
      <w:r w:rsidR="009B22D5" w:rsidRPr="00685BBF">
        <w:t>как в полосе частот</w:t>
      </w:r>
      <w:r w:rsidR="00154DFB" w:rsidRPr="00685BBF">
        <w:t xml:space="preserve"> 50,2−50,4 ГГц</w:t>
      </w:r>
      <w:r w:rsidR="009B22D5" w:rsidRPr="00685BBF">
        <w:t>,</w:t>
      </w:r>
      <w:r w:rsidR="00154DFB" w:rsidRPr="00685BBF">
        <w:t xml:space="preserve"> </w:t>
      </w:r>
      <w:r w:rsidR="009B22D5" w:rsidRPr="00685BBF">
        <w:t xml:space="preserve">так и </w:t>
      </w:r>
      <w:r w:rsidR="00154DFB" w:rsidRPr="00685BBF">
        <w:t>52,6−54,25 ГГц</w:t>
      </w:r>
      <w:r w:rsidR="009B22D5" w:rsidRPr="00685BBF">
        <w:t xml:space="preserve"> могло бы ограничить ее использование для</w:t>
      </w:r>
      <w:r w:rsidR="00154DFB" w:rsidRPr="00685BBF">
        <w:t xml:space="preserve"> IMT-2020 </w:t>
      </w:r>
      <w:r w:rsidR="00EB5F29" w:rsidRPr="00685BBF">
        <w:t xml:space="preserve">в пределах узкой части </w:t>
      </w:r>
      <w:r w:rsidR="00093F03" w:rsidRPr="00685BBF">
        <w:t>диапазона</w:t>
      </w:r>
      <w:r w:rsidR="00EB5F29" w:rsidRPr="00685BBF">
        <w:t xml:space="preserve"> частот</w:t>
      </w:r>
      <w:r w:rsidR="00154DFB" w:rsidRPr="00685BBF">
        <w:t xml:space="preserve"> 50,4−52,6 ГГц,</w:t>
      </w:r>
      <w:r w:rsidR="00EB5F29" w:rsidRPr="00685BBF">
        <w:t xml:space="preserve"> что сделало бы полосу непригодной для </w:t>
      </w:r>
      <w:r w:rsidR="00154DFB" w:rsidRPr="00685BBF">
        <w:t>IMT-2020.</w:t>
      </w:r>
    </w:p>
    <w:p w14:paraId="7797F583" w14:textId="3CDD5FFA" w:rsidR="00154DFB" w:rsidRPr="00685BBF" w:rsidRDefault="00154DFB" w:rsidP="00154DFB">
      <w:pPr>
        <w:spacing w:before="720"/>
        <w:jc w:val="center"/>
      </w:pPr>
      <w:r w:rsidRPr="00685BBF">
        <w:t>______________</w:t>
      </w:r>
    </w:p>
    <w:sectPr w:rsidR="00154DFB" w:rsidRPr="00685BBF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A325" w14:textId="77777777" w:rsidR="00F1578A" w:rsidRDefault="00F1578A">
      <w:r>
        <w:separator/>
      </w:r>
    </w:p>
  </w:endnote>
  <w:endnote w:type="continuationSeparator" w:id="0">
    <w:p w14:paraId="31552AB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538A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7B8948" w14:textId="48486137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C680A">
      <w:rPr>
        <w:noProof/>
        <w:lang w:val="fr-FR"/>
      </w:rPr>
      <w:t>P:\RUS\ITU-R\CONF-R\CMR19\000\016ADD13ADD07R.docx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C680A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C680A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CB15" w14:textId="21B0F979" w:rsidR="00567276" w:rsidRPr="00700D86" w:rsidRDefault="00700D86" w:rsidP="00700D86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C680A">
      <w:rPr>
        <w:lang w:val="fr-FR"/>
      </w:rPr>
      <w:t>P:\RUS\ITU-R\CONF-R\CMR19\000\016ADD13ADD07R.docx</w:t>
    </w:r>
    <w:r>
      <w:fldChar w:fldCharType="end"/>
    </w:r>
    <w:r>
      <w:t xml:space="preserve"> (462002)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A69D" w14:textId="6EDF11A7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C680A">
      <w:rPr>
        <w:lang w:val="fr-FR"/>
      </w:rPr>
      <w:t>P:\RUS\ITU-R\CONF-R\CMR19\000\016ADD13ADD07R.docx</w:t>
    </w:r>
    <w:r>
      <w:fldChar w:fldCharType="end"/>
    </w:r>
    <w:r w:rsidR="00700D86">
      <w:t xml:space="preserve"> (462002)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12ED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DC9967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FDC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243F40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93F03"/>
    <w:rsid w:val="000956A5"/>
    <w:rsid w:val="000A0EF3"/>
    <w:rsid w:val="000C3F55"/>
    <w:rsid w:val="000F33D8"/>
    <w:rsid w:val="000F39B4"/>
    <w:rsid w:val="00110CAB"/>
    <w:rsid w:val="00113D0B"/>
    <w:rsid w:val="001226EC"/>
    <w:rsid w:val="00123B68"/>
    <w:rsid w:val="00124C09"/>
    <w:rsid w:val="00126F2E"/>
    <w:rsid w:val="001521AE"/>
    <w:rsid w:val="00154DFB"/>
    <w:rsid w:val="001A5585"/>
    <w:rsid w:val="001E0D9E"/>
    <w:rsid w:val="001E5FB4"/>
    <w:rsid w:val="00202CA0"/>
    <w:rsid w:val="002058A6"/>
    <w:rsid w:val="00230582"/>
    <w:rsid w:val="002449AA"/>
    <w:rsid w:val="00245A1F"/>
    <w:rsid w:val="00290C74"/>
    <w:rsid w:val="0029634D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0087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5BBF"/>
    <w:rsid w:val="00692993"/>
    <w:rsid w:val="00692C06"/>
    <w:rsid w:val="006A6E9B"/>
    <w:rsid w:val="00700D86"/>
    <w:rsid w:val="00713D4D"/>
    <w:rsid w:val="00753B99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450F1"/>
    <w:rsid w:val="00966C93"/>
    <w:rsid w:val="00987FA4"/>
    <w:rsid w:val="009B22D5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C680A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478A7"/>
    <w:rsid w:val="00E5155F"/>
    <w:rsid w:val="00E65919"/>
    <w:rsid w:val="00E976C1"/>
    <w:rsid w:val="00EA0C0C"/>
    <w:rsid w:val="00EB5F29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4F87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R16-WRC19-C-0016!A13-A7!MSW-R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0BB0-EE73-4DF2-B8BE-8B8F6AB3B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AAE9A-1D49-4381-9AA8-E84D6987E5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D9C14F-90D9-4C63-92BB-6D867329D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EB79B-3F3A-4E61-9157-96AB67B56D20}">
  <ds:schemaRefs>
    <ds:schemaRef ds:uri="http://purl.org/dc/elements/1.1/"/>
    <ds:schemaRef ds:uri="http://purl.org/dc/dcmitype/"/>
    <ds:schemaRef ds:uri="http://schemas.microsoft.com/office/2006/metadata/properties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7F3E2A-2B76-4711-9B80-34839194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2075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R16-WRC19-C-0016!A13-A7!MSW-R</vt:lpstr>
    </vt:vector>
  </TitlesOfParts>
  <Manager>General Secretariat - Pool</Manager>
  <Company>International Telecommunication Union (ITU)</Company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R16-WRC19-C-0016!A13-A7!MSW-R</dc:title>
  <dc:subject>World Radiocommunication Conference - 2019</dc:subject>
  <dc:creator>Documents Proposals Manager (DPM)</dc:creator>
  <cp:keywords>DPM_v2019.10.11.1_prod</cp:keywords>
  <dc:description/>
  <cp:lastModifiedBy>Russian</cp:lastModifiedBy>
  <cp:revision>7</cp:revision>
  <cp:lastPrinted>2019-10-21T20:33:00Z</cp:lastPrinted>
  <dcterms:created xsi:type="dcterms:W3CDTF">2019-10-21T08:40:00Z</dcterms:created>
  <dcterms:modified xsi:type="dcterms:W3CDTF">2019-10-21T20:33:00Z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