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4DE765E9" w14:textId="77777777" w:rsidTr="007F77AB">
        <w:trPr>
          <w:cantSplit/>
          <w:trHeight w:val="20"/>
        </w:trPr>
        <w:tc>
          <w:tcPr>
            <w:tcW w:w="6620" w:type="dxa"/>
          </w:tcPr>
          <w:p w14:paraId="21F3E328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245E3A18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7DEC396" wp14:editId="28021EBF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C336776" w14:textId="77777777" w:rsidTr="007F77AB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413D8884" w14:textId="77777777" w:rsidR="00280E04" w:rsidRPr="00960962" w:rsidRDefault="00280E04" w:rsidP="0026504C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70AB06DE" w14:textId="77777777" w:rsidR="00280E04" w:rsidRPr="00A9645C" w:rsidRDefault="00280E04" w:rsidP="0026504C">
            <w:pPr>
              <w:spacing w:line="240" w:lineRule="exact"/>
              <w:rPr>
                <w:lang w:bidi="ar-EG"/>
              </w:rPr>
            </w:pPr>
          </w:p>
        </w:tc>
      </w:tr>
      <w:tr w:rsidR="00280E04" w14:paraId="7F9074CC" w14:textId="77777777" w:rsidTr="007F77AB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0B14FA9A" w14:textId="77777777" w:rsidR="00280E04" w:rsidRPr="00BD6EF3" w:rsidRDefault="00280E04" w:rsidP="0026504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3EDEAC9A" w14:textId="77777777" w:rsidR="00280E04" w:rsidRPr="00BD6EF3" w:rsidRDefault="00280E04" w:rsidP="0026504C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7F77AB" w:rsidRPr="00F545E4" w14:paraId="28244234" w14:textId="77777777" w:rsidTr="007F77AB">
        <w:trPr>
          <w:cantSplit/>
        </w:trPr>
        <w:tc>
          <w:tcPr>
            <w:tcW w:w="6620" w:type="dxa"/>
          </w:tcPr>
          <w:p w14:paraId="63DDA2AE" w14:textId="77777777" w:rsidR="007F77AB" w:rsidRPr="00F545E4" w:rsidRDefault="007F77AB" w:rsidP="0026504C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48B6CEB1" w14:textId="207ABD6C" w:rsidR="007F77AB" w:rsidRPr="00F545E4" w:rsidRDefault="0026504C" w:rsidP="0026504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 w:rsidR="007F77AB">
              <w:rPr>
                <w:rFonts w:ascii="Verdana" w:hAnsi="Verdana"/>
              </w:rPr>
              <w:t>5</w:t>
            </w:r>
            <w:r w:rsidR="007F77AB" w:rsidRPr="003B4967"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16(Add.</w:t>
            </w:r>
            <w:proofErr w:type="gramStart"/>
            <w:r>
              <w:rPr>
                <w:rFonts w:ascii="Verdana" w:eastAsia="SimSun" w:hAnsi="Verdana"/>
              </w:rPr>
              <w:t>13)</w:t>
            </w:r>
            <w:r w:rsidRPr="003B4967">
              <w:rPr>
                <w:rFonts w:ascii="Verdana" w:eastAsia="SimSun" w:hAnsi="Verdana"/>
              </w:rPr>
              <w:t>-</w:t>
            </w:r>
            <w:proofErr w:type="gramEnd"/>
            <w:r w:rsidRPr="003B4967">
              <w:rPr>
                <w:rFonts w:ascii="Verdana" w:eastAsia="SimSun" w:hAnsi="Verdana"/>
              </w:rPr>
              <w:t>A</w:t>
            </w:r>
          </w:p>
        </w:tc>
      </w:tr>
      <w:tr w:rsidR="007F77AB" w:rsidRPr="00F545E4" w14:paraId="4BD8DAF3" w14:textId="77777777" w:rsidTr="007F77AB">
        <w:trPr>
          <w:cantSplit/>
        </w:trPr>
        <w:tc>
          <w:tcPr>
            <w:tcW w:w="6620" w:type="dxa"/>
          </w:tcPr>
          <w:p w14:paraId="120C9FEE" w14:textId="77777777" w:rsidR="007F77AB" w:rsidRPr="00F545E4" w:rsidRDefault="007F77AB" w:rsidP="0026504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09603B8A" w14:textId="501332BD" w:rsidR="007F77AB" w:rsidRPr="00F545E4" w:rsidRDefault="00D27E6E" w:rsidP="0026504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="007F77AB"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="007F77AB" w:rsidRPr="003B4967">
              <w:rPr>
                <w:rFonts w:ascii="Verdana" w:eastAsia="SimSun" w:hAnsi="Verdana"/>
              </w:rPr>
              <w:t>2019</w:t>
            </w:r>
          </w:p>
        </w:tc>
      </w:tr>
      <w:tr w:rsidR="007F77AB" w:rsidRPr="00F545E4" w14:paraId="3C1A6AA1" w14:textId="77777777" w:rsidTr="007F77AB">
        <w:trPr>
          <w:cantSplit/>
        </w:trPr>
        <w:tc>
          <w:tcPr>
            <w:tcW w:w="6620" w:type="dxa"/>
          </w:tcPr>
          <w:p w14:paraId="5954707F" w14:textId="77777777" w:rsidR="007F77AB" w:rsidRPr="00F545E4" w:rsidRDefault="007F77AB" w:rsidP="0026504C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176C9846" w14:textId="0BECF5F3" w:rsidR="007F77AB" w:rsidRPr="00F545E4" w:rsidRDefault="007F77AB" w:rsidP="0026504C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3B6FB684" w14:textId="77777777" w:rsidTr="007F77AB">
        <w:trPr>
          <w:cantSplit/>
        </w:trPr>
        <w:tc>
          <w:tcPr>
            <w:tcW w:w="9674" w:type="dxa"/>
            <w:gridSpan w:val="2"/>
          </w:tcPr>
          <w:p w14:paraId="5C797AFA" w14:textId="77777777" w:rsidR="00764079" w:rsidRDefault="00764079" w:rsidP="0026504C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3B8CA597" w14:textId="77777777" w:rsidTr="007F77AB">
        <w:trPr>
          <w:cantSplit/>
        </w:trPr>
        <w:tc>
          <w:tcPr>
            <w:tcW w:w="9674" w:type="dxa"/>
            <w:gridSpan w:val="2"/>
          </w:tcPr>
          <w:p w14:paraId="47B9BCCB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6F090A74" w14:textId="77777777" w:rsidTr="007F77AB">
        <w:trPr>
          <w:cantSplit/>
        </w:trPr>
        <w:tc>
          <w:tcPr>
            <w:tcW w:w="9674" w:type="dxa"/>
            <w:gridSpan w:val="2"/>
          </w:tcPr>
          <w:p w14:paraId="1DB976A3" w14:textId="3CF90AB5" w:rsidR="00764079" w:rsidRPr="00BD6EF3" w:rsidRDefault="00217E95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442B23C1" w14:textId="77777777" w:rsidTr="007F77AB">
        <w:trPr>
          <w:cantSplit/>
        </w:trPr>
        <w:tc>
          <w:tcPr>
            <w:tcW w:w="9674" w:type="dxa"/>
            <w:gridSpan w:val="2"/>
          </w:tcPr>
          <w:p w14:paraId="48E2E9AB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AAFF307" w14:textId="77777777" w:rsidTr="007F77AB">
        <w:trPr>
          <w:cantSplit/>
        </w:trPr>
        <w:tc>
          <w:tcPr>
            <w:tcW w:w="9674" w:type="dxa"/>
            <w:gridSpan w:val="2"/>
          </w:tcPr>
          <w:p w14:paraId="46078CC3" w14:textId="62A52AB2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7F77AB">
              <w:rPr>
                <w:rFonts w:hint="cs"/>
                <w:rtl/>
                <w:lang w:val="en-US"/>
              </w:rPr>
              <w:t xml:space="preserve"> </w:t>
            </w:r>
            <w:r w:rsidR="007F77AB">
              <w:rPr>
                <w:lang w:val="en-US"/>
              </w:rPr>
              <w:t>13.1</w:t>
            </w:r>
          </w:p>
        </w:tc>
      </w:tr>
    </w:tbl>
    <w:p w14:paraId="3B0B1362" w14:textId="144C2BA0" w:rsidR="001D597A" w:rsidRDefault="00217E95" w:rsidP="008213CF">
      <w:pPr>
        <w:rPr>
          <w:rFonts w:eastAsia="SimSun"/>
          <w:lang w:eastAsia="zh-CN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32B72CBD" w14:textId="114EE93E" w:rsidR="00E01CA4" w:rsidRDefault="00E01CA4" w:rsidP="0023579E">
      <w:pPr>
        <w:pStyle w:val="Title4"/>
      </w:pPr>
      <w:r>
        <w:rPr>
          <w:rFonts w:hint="cs"/>
          <w:rtl/>
        </w:rPr>
        <w:t xml:space="preserve">الجزء </w:t>
      </w:r>
      <w:r>
        <w:t>5</w:t>
      </w:r>
      <w:r>
        <w:rPr>
          <w:rFonts w:hint="cs"/>
          <w:rtl/>
        </w:rPr>
        <w:t xml:space="preserve"> </w:t>
      </w:r>
      <w:r w:rsidR="0026504C">
        <w:rPr>
          <w:rFonts w:hint="cs"/>
          <w:rtl/>
        </w:rPr>
        <w:t>-</w:t>
      </w:r>
      <w:r>
        <w:rPr>
          <w:rFonts w:hint="cs"/>
          <w:rtl/>
        </w:rPr>
        <w:t xml:space="preserve"> نطاق </w:t>
      </w:r>
      <w:r w:rsidRPr="0026504C">
        <w:rPr>
          <w:rFonts w:hint="cs"/>
          <w:rtl/>
        </w:rPr>
        <w:t>التردد</w:t>
      </w:r>
      <w:r>
        <w:rPr>
          <w:rFonts w:hint="cs"/>
          <w:rtl/>
        </w:rPr>
        <w:t xml:space="preserve"> </w:t>
      </w:r>
      <w:r>
        <w:t>GHz 47,2-47</w:t>
      </w:r>
    </w:p>
    <w:p w14:paraId="375D3440" w14:textId="547F4CEE" w:rsidR="00E01CA4" w:rsidRDefault="00E01CA4" w:rsidP="00E01CA4">
      <w:pPr>
        <w:pStyle w:val="Headingb"/>
        <w:jc w:val="left"/>
        <w:rPr>
          <w:rtl/>
        </w:rPr>
      </w:pPr>
      <w:r>
        <w:rPr>
          <w:rFonts w:hint="cs"/>
          <w:rtl/>
        </w:rPr>
        <w:t>مقدمة</w:t>
      </w:r>
    </w:p>
    <w:p w14:paraId="276E5664" w14:textId="5034DBA3" w:rsidR="00E01CA4" w:rsidRDefault="00E01CA4" w:rsidP="00E01CA4">
      <w:pPr>
        <w:rPr>
          <w:rtl/>
          <w:lang w:bidi="ar-SY"/>
        </w:rPr>
      </w:pPr>
      <w:r w:rsidRPr="00C25AE8">
        <w:rPr>
          <w:rFonts w:hint="cs"/>
          <w:rtl/>
          <w:lang w:bidi="ar-SY"/>
        </w:rPr>
        <w:t xml:space="preserve">تعرض هذه الوثيقة المقترح الأوروبي المشترك بشأن نطاقات التردد </w:t>
      </w:r>
      <w:r w:rsidRPr="00C25AE8">
        <w:rPr>
          <w:lang w:val="fr-CH"/>
        </w:rPr>
        <w:t>GHz 47,2</w:t>
      </w:r>
      <w:r w:rsidRPr="00C25AE8">
        <w:rPr>
          <w:lang w:val="fr-CH"/>
        </w:rPr>
        <w:noBreakHyphen/>
        <w:t>47</w:t>
      </w:r>
      <w:r w:rsidRPr="00C25AE8">
        <w:rPr>
          <w:rFonts w:hint="cs"/>
          <w:rtl/>
        </w:rPr>
        <w:t xml:space="preserve"> في إطار</w:t>
      </w:r>
      <w:r w:rsidRPr="00C25AE8">
        <w:rPr>
          <w:rFonts w:hint="cs"/>
          <w:rtl/>
          <w:lang w:bidi="ar-SY"/>
        </w:rPr>
        <w:t xml:space="preserve"> البند </w:t>
      </w:r>
      <w:r w:rsidRPr="00C25AE8">
        <w:rPr>
          <w:lang w:val="fr-CH"/>
        </w:rPr>
        <w:t>13.1</w:t>
      </w:r>
      <w:r w:rsidRPr="00C25AE8">
        <w:rPr>
          <w:rFonts w:hint="cs"/>
          <w:rtl/>
          <w:lang w:bidi="ar-SY"/>
        </w:rPr>
        <w:t xml:space="preserve"> من جدول أعمال المؤتمر العالمي للاتصالات الراديوية لعام </w:t>
      </w:r>
      <w:r w:rsidRPr="00C25AE8">
        <w:rPr>
          <w:lang w:val="fr-CH"/>
        </w:rPr>
        <w:t>2019</w:t>
      </w:r>
      <w:r w:rsidR="003A6B38" w:rsidRPr="00C25AE8">
        <w:rPr>
          <w:rFonts w:hint="cs"/>
          <w:rtl/>
          <w:lang w:val="es-ES" w:bidi="ar-EG"/>
        </w:rPr>
        <w:t xml:space="preserve"> </w:t>
      </w:r>
      <w:r w:rsidR="003A6B38" w:rsidRPr="00C25AE8">
        <w:rPr>
          <w:lang w:val="en-GB" w:bidi="ar-EG"/>
        </w:rPr>
        <w:t>(WRC-19)</w:t>
      </w:r>
      <w:r w:rsidRPr="00C25AE8">
        <w:rPr>
          <w:rFonts w:hint="cs"/>
          <w:rtl/>
          <w:lang w:bidi="ar-SY"/>
        </w:rPr>
        <w:t>.</w:t>
      </w:r>
    </w:p>
    <w:p w14:paraId="502F7BEB" w14:textId="77777777" w:rsidR="00E01CA4" w:rsidRPr="00992264" w:rsidRDefault="00E01CA4" w:rsidP="00E01CA4">
      <w:pPr>
        <w:pStyle w:val="Headingb"/>
        <w:jc w:val="left"/>
        <w:rPr>
          <w:rtl/>
        </w:rPr>
      </w:pPr>
      <w:r>
        <w:rPr>
          <w:rFonts w:hint="cs"/>
          <w:rtl/>
        </w:rPr>
        <w:t>المقترحات</w:t>
      </w:r>
    </w:p>
    <w:p w14:paraId="3EC900C2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1D838337" w14:textId="77777777" w:rsidR="00632DB3" w:rsidRDefault="00217E95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14:paraId="594D848F" w14:textId="77777777" w:rsidR="00632DB3" w:rsidRDefault="00217E95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0DE348E7" w14:textId="1B569EF5" w:rsidR="00632DB3" w:rsidRDefault="00217E95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bookmarkStart w:id="4" w:name="_GoBack"/>
      <w:bookmarkEnd w:id="4"/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E01CA4">
        <w:rPr>
          <w:b w:val="0"/>
          <w:bCs w:val="0"/>
          <w:sz w:val="22"/>
          <w:szCs w:val="30"/>
        </w:rPr>
        <w:br/>
      </w:r>
    </w:p>
    <w:p w14:paraId="63708F6C" w14:textId="77777777" w:rsidR="0031201E" w:rsidRDefault="00217E95">
      <w:pPr>
        <w:pStyle w:val="Proposal"/>
      </w:pPr>
      <w:r>
        <w:rPr>
          <w:u w:val="single"/>
        </w:rPr>
        <w:t>NOC</w:t>
      </w:r>
      <w:r>
        <w:tab/>
        <w:t>EUR/16A13A5/1</w:t>
      </w:r>
    </w:p>
    <w:p w14:paraId="703B0357" w14:textId="77777777" w:rsidR="006444B7" w:rsidRDefault="00217E95">
      <w:pPr>
        <w:pStyle w:val="Tabletitle"/>
        <w:rPr>
          <w:rtl/>
        </w:rPr>
      </w:pPr>
      <w:r>
        <w:t>GHz 47,5-40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3A199E43" w14:textId="77777777" w:rsidTr="00E01CA4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0A08" w14:textId="77777777" w:rsidR="00632DB3" w:rsidRDefault="00217E95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632DB3" w14:paraId="51C1BC74" w14:textId="77777777" w:rsidTr="00E01CA4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4384" w14:textId="77777777" w:rsidR="00632DB3" w:rsidRDefault="00217E95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C3E5" w14:textId="77777777" w:rsidR="00632DB3" w:rsidRDefault="00217E95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F0B9" w14:textId="77777777" w:rsidR="00632DB3" w:rsidRDefault="00217E95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32DB3" w14:paraId="244647BE" w14:textId="77777777" w:rsidTr="00E01CA4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E0EF" w14:textId="77777777" w:rsidR="00632DB3" w:rsidRDefault="00217E95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Style w:val="Tablefreq"/>
              </w:rPr>
              <w:t>47,2-47</w:t>
            </w:r>
            <w:r>
              <w:rPr>
                <w:rtl/>
              </w:rPr>
              <w:tab/>
            </w:r>
            <w:r w:rsidRPr="0026504C">
              <w:rPr>
                <w:b/>
                <w:bCs/>
                <w:rtl/>
              </w:rPr>
              <w:t>هواة</w:t>
            </w:r>
          </w:p>
          <w:p w14:paraId="7E2D208A" w14:textId="77777777" w:rsidR="00632DB3" w:rsidRPr="0026504C" w:rsidRDefault="00217E95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26504C">
              <w:rPr>
                <w:b/>
                <w:bCs/>
                <w:rtl/>
              </w:rPr>
              <w:t>هواة ساتلية</w:t>
            </w:r>
          </w:p>
        </w:tc>
      </w:tr>
    </w:tbl>
    <w:p w14:paraId="788F2DD9" w14:textId="62BF9CD3" w:rsidR="0031201E" w:rsidRPr="00D27E6E" w:rsidRDefault="00217E95" w:rsidP="003D0B34">
      <w:pPr>
        <w:pStyle w:val="Reasons"/>
        <w:rPr>
          <w:rtl/>
          <w:lang w:val="es-ES" w:bidi="ar-EG"/>
        </w:rPr>
      </w:pPr>
      <w:r>
        <w:rPr>
          <w:rtl/>
        </w:rPr>
        <w:t>الأسباب:</w:t>
      </w:r>
      <w:r>
        <w:tab/>
      </w:r>
      <w:r w:rsidR="0007481B" w:rsidRPr="00D27E6E">
        <w:rPr>
          <w:rFonts w:hint="eastAsia"/>
          <w:b w:val="0"/>
          <w:bCs w:val="0"/>
          <w:rtl/>
          <w:lang w:val="es-ES" w:bidi="ar-EG"/>
        </w:rPr>
        <w:t>لم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تُجر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في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قطاع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الاتصالات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الراديوية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دراسات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بشأن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النطاق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ascii="Times New Roman" w:hAnsi="Times New Roman"/>
          <w:b w:val="0"/>
          <w:lang w:val="fr-CH"/>
        </w:rPr>
        <w:t>GHz 47,2</w:t>
      </w:r>
      <w:r w:rsidR="0007481B" w:rsidRPr="00D27E6E">
        <w:rPr>
          <w:rFonts w:ascii="Times New Roman" w:hAnsi="Times New Roman"/>
          <w:b w:val="0"/>
          <w:lang w:val="fr-CH"/>
        </w:rPr>
        <w:noBreakHyphen/>
        <w:t>47</w:t>
      </w:r>
      <w:r w:rsidR="0007481B" w:rsidRPr="00D27E6E">
        <w:rPr>
          <w:b w:val="0"/>
          <w:bCs w:val="0"/>
          <w:rtl/>
          <w:lang w:val="es-ES" w:bidi="ar-EG"/>
        </w:rPr>
        <w:t xml:space="preserve">.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ويوزَّع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نطاق</w:t>
      </w:r>
      <w:r w:rsidR="0007481B" w:rsidRPr="00D27E6E">
        <w:rPr>
          <w:b w:val="0"/>
          <w:bCs w:val="0"/>
          <w:rtl/>
          <w:lang w:val="es-ES" w:bidi="ar-EG"/>
        </w:rPr>
        <w:t xml:space="preserve"> التردد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هذا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لخدمة</w:t>
      </w:r>
      <w:r w:rsidR="0007481B" w:rsidRPr="00D27E6E">
        <w:rPr>
          <w:b w:val="0"/>
          <w:bCs w:val="0"/>
          <w:rtl/>
          <w:lang w:val="es-ES" w:bidi="ar-EG"/>
        </w:rPr>
        <w:t xml:space="preserve"> الهواة وخدمة الهواة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الساتلية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ويُستخدم</w:t>
      </w:r>
      <w:r w:rsidR="0007481B">
        <w:rPr>
          <w:rFonts w:hint="cs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لأغراض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التجارب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في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خدمة</w:t>
      </w:r>
      <w:r w:rsidR="0007481B" w:rsidRPr="00D27E6E">
        <w:rPr>
          <w:b w:val="0"/>
          <w:bCs w:val="0"/>
          <w:rtl/>
          <w:lang w:val="es-ES" w:bidi="ar-EG"/>
        </w:rPr>
        <w:t xml:space="preserve"> </w:t>
      </w:r>
      <w:r w:rsidR="0007481B" w:rsidRPr="00D27E6E">
        <w:rPr>
          <w:rFonts w:hint="eastAsia"/>
          <w:b w:val="0"/>
          <w:bCs w:val="0"/>
          <w:rtl/>
          <w:lang w:val="es-ES" w:bidi="ar-EG"/>
        </w:rPr>
        <w:t>الهواة</w:t>
      </w:r>
      <w:r w:rsidR="0007481B" w:rsidRPr="0026504C">
        <w:rPr>
          <w:rFonts w:hint="cs"/>
          <w:b w:val="0"/>
          <w:bCs w:val="0"/>
          <w:rtl/>
          <w:lang w:val="es-ES" w:bidi="ar-EG"/>
        </w:rPr>
        <w:t xml:space="preserve"> </w:t>
      </w:r>
      <w:r w:rsidR="003D0B34" w:rsidRPr="00D27E6E">
        <w:rPr>
          <w:rFonts w:hint="eastAsia"/>
          <w:b w:val="0"/>
          <w:bCs w:val="0"/>
          <w:rtl/>
          <w:lang w:val="es-ES" w:bidi="ar-EG"/>
        </w:rPr>
        <w:t>ب</w:t>
      </w:r>
      <w:r w:rsidR="003D0B34" w:rsidRPr="00D27E6E">
        <w:rPr>
          <w:b w:val="0"/>
          <w:bCs w:val="0"/>
          <w:rtl/>
          <w:lang w:val="es-ES"/>
        </w:rPr>
        <w:t>أطوال الموجات الملليمترية.</w:t>
      </w:r>
    </w:p>
    <w:p w14:paraId="1D80C1CA" w14:textId="77777777" w:rsidR="00E01CA4" w:rsidRPr="00992264" w:rsidRDefault="00E01CA4" w:rsidP="0023579E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E01CA4" w:rsidRPr="00992264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B0F1B" w14:textId="77777777" w:rsidR="006D2E5F" w:rsidRDefault="006D2E5F" w:rsidP="002919E1">
      <w:r>
        <w:separator/>
      </w:r>
    </w:p>
    <w:p w14:paraId="3B1F567A" w14:textId="77777777" w:rsidR="006D2E5F" w:rsidRDefault="006D2E5F" w:rsidP="002919E1"/>
    <w:p w14:paraId="3C454DBA" w14:textId="77777777" w:rsidR="006D2E5F" w:rsidRDefault="006D2E5F" w:rsidP="002919E1"/>
    <w:p w14:paraId="49C3B661" w14:textId="77777777" w:rsidR="006D2E5F" w:rsidRDefault="006D2E5F"/>
  </w:endnote>
  <w:endnote w:type="continuationSeparator" w:id="0">
    <w:p w14:paraId="391E1285" w14:textId="77777777" w:rsidR="006D2E5F" w:rsidRDefault="006D2E5F" w:rsidP="002919E1">
      <w:r>
        <w:continuationSeparator/>
      </w:r>
    </w:p>
    <w:p w14:paraId="51B95A8C" w14:textId="77777777" w:rsidR="006D2E5F" w:rsidRDefault="006D2E5F" w:rsidP="002919E1"/>
    <w:p w14:paraId="4ED38BB8" w14:textId="77777777" w:rsidR="006D2E5F" w:rsidRDefault="006D2E5F" w:rsidP="002919E1"/>
    <w:p w14:paraId="24A3EA09" w14:textId="77777777" w:rsidR="006D2E5F" w:rsidRDefault="006D2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4EE3A" w14:textId="6B648AFE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06242">
      <w:rPr>
        <w:noProof/>
      </w:rPr>
      <w:t>P:\ARA\ITU-R\CONF-R\CMR19\000\016ADD13ADD05A.docx</w:t>
    </w:r>
    <w:r>
      <w:fldChar w:fldCharType="end"/>
    </w:r>
    <w:proofErr w:type="gramStart"/>
    <w:r w:rsidRPr="00A809E8">
      <w:t xml:space="preserve">   (</w:t>
    </w:r>
    <w:proofErr w:type="gramEnd"/>
    <w:r w:rsidR="007F77AB">
      <w:t>462004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1BE5B" w14:textId="128807F3" w:rsidR="00281F5F" w:rsidRPr="007F77AB" w:rsidRDefault="007F77AB" w:rsidP="007F77AB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06242">
      <w:rPr>
        <w:noProof/>
      </w:rPr>
      <w:t>P:\ARA\ITU-R\CONF-R\CMR19\000\016ADD13ADD05A.docx</w:t>
    </w:r>
    <w:r>
      <w:fldChar w:fldCharType="end"/>
    </w:r>
    <w:proofErr w:type="gramStart"/>
    <w:r w:rsidRPr="00A809E8">
      <w:t xml:space="preserve">   (</w:t>
    </w:r>
    <w:proofErr w:type="gramEnd"/>
    <w:r>
      <w:t>462004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2DDF2" w14:textId="77777777" w:rsidR="006D2E5F" w:rsidRDefault="006D2E5F" w:rsidP="002919E1">
      <w:r>
        <w:t>___________________</w:t>
      </w:r>
    </w:p>
  </w:footnote>
  <w:footnote w:type="continuationSeparator" w:id="0">
    <w:p w14:paraId="311D559D" w14:textId="77777777" w:rsidR="006D2E5F" w:rsidRDefault="006D2E5F" w:rsidP="002919E1">
      <w:r>
        <w:continuationSeparator/>
      </w:r>
    </w:p>
    <w:p w14:paraId="4D6A47B8" w14:textId="77777777" w:rsidR="006D2E5F" w:rsidRDefault="006D2E5F" w:rsidP="002919E1"/>
    <w:p w14:paraId="014E4CF7" w14:textId="77777777" w:rsidR="006D2E5F" w:rsidRDefault="006D2E5F" w:rsidP="002919E1"/>
    <w:p w14:paraId="33EB6185" w14:textId="77777777" w:rsidR="006D2E5F" w:rsidRDefault="006D2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48CCF" w14:textId="77777777" w:rsidR="00281F5F" w:rsidRDefault="00281F5F" w:rsidP="002919E1"/>
  <w:p w14:paraId="242AE034" w14:textId="77777777" w:rsidR="00281F5F" w:rsidRDefault="00281F5F" w:rsidP="002919E1"/>
  <w:p w14:paraId="1BE8003D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8142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Add.5)-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10B7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8F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EC16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7AE5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481B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17E95"/>
    <w:rsid w:val="00223C6C"/>
    <w:rsid w:val="002333A0"/>
    <w:rsid w:val="0023579E"/>
    <w:rsid w:val="002543CF"/>
    <w:rsid w:val="0026062E"/>
    <w:rsid w:val="00260F50"/>
    <w:rsid w:val="00261EF7"/>
    <w:rsid w:val="0026504C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283C"/>
    <w:rsid w:val="002F3E46"/>
    <w:rsid w:val="00311E3F"/>
    <w:rsid w:val="0031201E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A6B38"/>
    <w:rsid w:val="003B27AD"/>
    <w:rsid w:val="003B4F23"/>
    <w:rsid w:val="003C12F6"/>
    <w:rsid w:val="003C3A13"/>
    <w:rsid w:val="003D0B34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3A4D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D2E5F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7AB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74150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1593D"/>
    <w:rsid w:val="00C22074"/>
    <w:rsid w:val="00C2377B"/>
    <w:rsid w:val="00C25AE8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6242"/>
    <w:rsid w:val="00D25120"/>
    <w:rsid w:val="00D27E6E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01CA4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6700E3C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R16-WRC19-C-0016!A13-A5!MSW-A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6329-3C26-48E4-9CF2-79F472032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A8DF7-B250-4E34-883E-50490CC069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C3AF53-58CF-4606-BB53-5FA19092E0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F652AC-851E-4D8A-B62E-18A249A2F283}">
  <ds:schemaRefs>
    <ds:schemaRef ds:uri="32a1a8c5-2265-4ebc-b7a0-2071e2c5c9bb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4A1FFA8-E435-47FC-AA2F-D0693E51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878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R16-WRC19-C-0016!A13-A5!MSW-A</vt:lpstr>
    </vt:vector>
  </TitlesOfParts>
  <Manager>General Secretariat - Pool</Manager>
  <Company>International Telecommunication Union (ITU)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R16-WRC19-C-0016!A13-A5!MSW-A</dc:title>
  <dc:creator>Documents Proposals Manager (DPM)</dc:creator>
  <cp:keywords>DPM_v2019.10.8.1_prod</cp:keywords>
  <cp:lastModifiedBy>Riz, Imad</cp:lastModifiedBy>
  <cp:revision>6</cp:revision>
  <cp:lastPrinted>2019-10-20T10:35:00Z</cp:lastPrinted>
  <dcterms:created xsi:type="dcterms:W3CDTF">2019-10-15T15:22:00Z</dcterms:created>
  <dcterms:modified xsi:type="dcterms:W3CDTF">2019-10-20T10:36:00Z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