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2500EA" w14:paraId="5B4C4A95" w14:textId="77777777" w:rsidTr="0050008E">
        <w:trPr>
          <w:cantSplit/>
        </w:trPr>
        <w:tc>
          <w:tcPr>
            <w:tcW w:w="6911" w:type="dxa"/>
          </w:tcPr>
          <w:p w14:paraId="5A78D9AC" w14:textId="77777777" w:rsidR="0090121B" w:rsidRPr="002500EA" w:rsidRDefault="005D46FB" w:rsidP="00C44E9E">
            <w:pPr>
              <w:spacing w:before="400" w:after="48" w:line="240" w:lineRule="atLeast"/>
              <w:rPr>
                <w:rFonts w:ascii="Verdana" w:hAnsi="Verdana"/>
                <w:position w:val="6"/>
              </w:rPr>
            </w:pPr>
            <w:r w:rsidRPr="002500EA">
              <w:rPr>
                <w:rFonts w:ascii="Verdana" w:hAnsi="Verdana" w:cs="Times"/>
                <w:b/>
                <w:position w:val="6"/>
                <w:sz w:val="20"/>
              </w:rPr>
              <w:t>Conferencia Mundial de Radiocomunicaciones (CMR-1</w:t>
            </w:r>
            <w:r w:rsidR="00C44E9E" w:rsidRPr="002500EA">
              <w:rPr>
                <w:rFonts w:ascii="Verdana" w:hAnsi="Verdana" w:cs="Times"/>
                <w:b/>
                <w:position w:val="6"/>
                <w:sz w:val="20"/>
              </w:rPr>
              <w:t>9</w:t>
            </w:r>
            <w:r w:rsidRPr="002500EA">
              <w:rPr>
                <w:rFonts w:ascii="Verdana" w:hAnsi="Verdana" w:cs="Times"/>
                <w:b/>
                <w:position w:val="6"/>
                <w:sz w:val="20"/>
              </w:rPr>
              <w:t>)</w:t>
            </w:r>
            <w:r w:rsidRPr="002500EA">
              <w:rPr>
                <w:rFonts w:ascii="Verdana" w:hAnsi="Verdana" w:cs="Times"/>
                <w:b/>
                <w:position w:val="6"/>
                <w:sz w:val="20"/>
              </w:rPr>
              <w:br/>
            </w:r>
            <w:r w:rsidR="006124AD" w:rsidRPr="002500EA">
              <w:rPr>
                <w:rFonts w:ascii="Verdana" w:hAnsi="Verdana"/>
                <w:b/>
                <w:bCs/>
                <w:position w:val="6"/>
                <w:sz w:val="17"/>
                <w:szCs w:val="17"/>
              </w:rPr>
              <w:t>Sharm el-Sheikh (Egipto)</w:t>
            </w:r>
            <w:r w:rsidRPr="002500EA">
              <w:rPr>
                <w:rFonts w:ascii="Verdana" w:hAnsi="Verdana"/>
                <w:b/>
                <w:bCs/>
                <w:position w:val="6"/>
                <w:sz w:val="17"/>
                <w:szCs w:val="17"/>
              </w:rPr>
              <w:t>, 2</w:t>
            </w:r>
            <w:r w:rsidR="00C44E9E" w:rsidRPr="002500EA">
              <w:rPr>
                <w:rFonts w:ascii="Verdana" w:hAnsi="Verdana"/>
                <w:b/>
                <w:bCs/>
                <w:position w:val="6"/>
                <w:sz w:val="17"/>
                <w:szCs w:val="17"/>
              </w:rPr>
              <w:t xml:space="preserve">8 de octubre </w:t>
            </w:r>
            <w:r w:rsidR="00DE1C31" w:rsidRPr="002500EA">
              <w:rPr>
                <w:rFonts w:ascii="Verdana" w:hAnsi="Verdana"/>
                <w:b/>
                <w:bCs/>
                <w:position w:val="6"/>
                <w:sz w:val="17"/>
                <w:szCs w:val="17"/>
              </w:rPr>
              <w:t>–</w:t>
            </w:r>
            <w:r w:rsidR="00C44E9E" w:rsidRPr="002500EA">
              <w:rPr>
                <w:rFonts w:ascii="Verdana" w:hAnsi="Verdana"/>
                <w:b/>
                <w:bCs/>
                <w:position w:val="6"/>
                <w:sz w:val="17"/>
                <w:szCs w:val="17"/>
              </w:rPr>
              <w:t xml:space="preserve"> </w:t>
            </w:r>
            <w:r w:rsidRPr="002500EA">
              <w:rPr>
                <w:rFonts w:ascii="Verdana" w:hAnsi="Verdana"/>
                <w:b/>
                <w:bCs/>
                <w:position w:val="6"/>
                <w:sz w:val="17"/>
                <w:szCs w:val="17"/>
              </w:rPr>
              <w:t>2</w:t>
            </w:r>
            <w:r w:rsidR="00C44E9E" w:rsidRPr="002500EA">
              <w:rPr>
                <w:rFonts w:ascii="Verdana" w:hAnsi="Verdana"/>
                <w:b/>
                <w:bCs/>
                <w:position w:val="6"/>
                <w:sz w:val="17"/>
                <w:szCs w:val="17"/>
              </w:rPr>
              <w:t>2</w:t>
            </w:r>
            <w:r w:rsidRPr="002500EA">
              <w:rPr>
                <w:rFonts w:ascii="Verdana" w:hAnsi="Verdana"/>
                <w:b/>
                <w:bCs/>
                <w:position w:val="6"/>
                <w:sz w:val="17"/>
                <w:szCs w:val="17"/>
              </w:rPr>
              <w:t xml:space="preserve"> de noviembre de 201</w:t>
            </w:r>
            <w:r w:rsidR="00C44E9E" w:rsidRPr="002500EA">
              <w:rPr>
                <w:rFonts w:ascii="Verdana" w:hAnsi="Verdana"/>
                <w:b/>
                <w:bCs/>
                <w:position w:val="6"/>
                <w:sz w:val="17"/>
                <w:szCs w:val="17"/>
              </w:rPr>
              <w:t>9</w:t>
            </w:r>
          </w:p>
        </w:tc>
        <w:tc>
          <w:tcPr>
            <w:tcW w:w="3120" w:type="dxa"/>
          </w:tcPr>
          <w:p w14:paraId="694370D3" w14:textId="77777777" w:rsidR="0090121B" w:rsidRPr="002500EA" w:rsidRDefault="00DA71A3" w:rsidP="00CE7431">
            <w:pPr>
              <w:spacing w:before="0" w:line="240" w:lineRule="atLeast"/>
              <w:jc w:val="right"/>
            </w:pPr>
            <w:bookmarkStart w:id="0" w:name="ditulogo"/>
            <w:bookmarkEnd w:id="0"/>
            <w:r w:rsidRPr="002500EA">
              <w:rPr>
                <w:rFonts w:ascii="Verdana" w:hAnsi="Verdana"/>
                <w:b/>
                <w:bCs/>
                <w:szCs w:val="24"/>
                <w:lang w:eastAsia="zh-CN"/>
              </w:rPr>
              <w:drawing>
                <wp:inline distT="0" distB="0" distL="0" distR="0" wp14:anchorId="2F2FB1F4" wp14:editId="53CAA499">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2500EA" w14:paraId="42C90252" w14:textId="77777777" w:rsidTr="0050008E">
        <w:trPr>
          <w:cantSplit/>
        </w:trPr>
        <w:tc>
          <w:tcPr>
            <w:tcW w:w="6911" w:type="dxa"/>
            <w:tcBorders>
              <w:bottom w:val="single" w:sz="12" w:space="0" w:color="auto"/>
            </w:tcBorders>
          </w:tcPr>
          <w:p w14:paraId="18D6209B" w14:textId="77777777" w:rsidR="0090121B" w:rsidRPr="002500EA" w:rsidRDefault="0090121B" w:rsidP="0090121B">
            <w:pPr>
              <w:spacing w:before="0" w:after="48" w:line="240" w:lineRule="atLeast"/>
              <w:rPr>
                <w:b/>
                <w:smallCaps/>
                <w:szCs w:val="24"/>
              </w:rPr>
            </w:pPr>
            <w:bookmarkStart w:id="1" w:name="dhead"/>
          </w:p>
        </w:tc>
        <w:tc>
          <w:tcPr>
            <w:tcW w:w="3120" w:type="dxa"/>
            <w:tcBorders>
              <w:bottom w:val="single" w:sz="12" w:space="0" w:color="auto"/>
            </w:tcBorders>
          </w:tcPr>
          <w:p w14:paraId="69AD920E" w14:textId="77777777" w:rsidR="0090121B" w:rsidRPr="002500EA" w:rsidRDefault="0090121B" w:rsidP="0090121B">
            <w:pPr>
              <w:spacing w:before="0" w:line="240" w:lineRule="atLeast"/>
              <w:rPr>
                <w:rFonts w:ascii="Verdana" w:hAnsi="Verdana"/>
                <w:szCs w:val="24"/>
              </w:rPr>
            </w:pPr>
          </w:p>
        </w:tc>
      </w:tr>
      <w:tr w:rsidR="0090121B" w:rsidRPr="002500EA" w14:paraId="2A80E2D4" w14:textId="77777777" w:rsidTr="0090121B">
        <w:trPr>
          <w:cantSplit/>
        </w:trPr>
        <w:tc>
          <w:tcPr>
            <w:tcW w:w="6911" w:type="dxa"/>
            <w:tcBorders>
              <w:top w:val="single" w:sz="12" w:space="0" w:color="auto"/>
            </w:tcBorders>
          </w:tcPr>
          <w:p w14:paraId="346AD876" w14:textId="77777777" w:rsidR="0090121B" w:rsidRPr="002500EA"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01FEE416" w14:textId="77777777" w:rsidR="0090121B" w:rsidRPr="002500EA" w:rsidRDefault="0090121B" w:rsidP="0090121B">
            <w:pPr>
              <w:spacing w:before="0" w:line="240" w:lineRule="atLeast"/>
              <w:rPr>
                <w:rFonts w:ascii="Verdana" w:hAnsi="Verdana"/>
                <w:sz w:val="20"/>
              </w:rPr>
            </w:pPr>
          </w:p>
        </w:tc>
      </w:tr>
      <w:tr w:rsidR="0090121B" w:rsidRPr="002500EA" w14:paraId="635DCECE" w14:textId="77777777" w:rsidTr="0090121B">
        <w:trPr>
          <w:cantSplit/>
        </w:trPr>
        <w:tc>
          <w:tcPr>
            <w:tcW w:w="6911" w:type="dxa"/>
          </w:tcPr>
          <w:p w14:paraId="2D8AB9C2" w14:textId="77777777" w:rsidR="0090121B" w:rsidRPr="002500EA" w:rsidRDefault="001E7D42" w:rsidP="00EA77F0">
            <w:pPr>
              <w:pStyle w:val="Committee"/>
              <w:framePr w:hSpace="0" w:wrap="auto" w:hAnchor="text" w:yAlign="inline"/>
              <w:rPr>
                <w:sz w:val="18"/>
                <w:szCs w:val="18"/>
                <w:lang w:val="es-ES_tradnl"/>
              </w:rPr>
            </w:pPr>
            <w:r w:rsidRPr="002500EA">
              <w:rPr>
                <w:sz w:val="18"/>
                <w:szCs w:val="18"/>
                <w:lang w:val="es-ES_tradnl"/>
              </w:rPr>
              <w:t>SESIÓN PLENARIA</w:t>
            </w:r>
          </w:p>
        </w:tc>
        <w:tc>
          <w:tcPr>
            <w:tcW w:w="3120" w:type="dxa"/>
          </w:tcPr>
          <w:p w14:paraId="3E0510AF" w14:textId="77777777" w:rsidR="0090121B" w:rsidRPr="002500EA" w:rsidRDefault="00AE658F" w:rsidP="0045384C">
            <w:pPr>
              <w:spacing w:before="0"/>
              <w:rPr>
                <w:rFonts w:ascii="Verdana" w:hAnsi="Verdana"/>
                <w:sz w:val="18"/>
                <w:szCs w:val="18"/>
              </w:rPr>
            </w:pPr>
            <w:r w:rsidRPr="002500EA">
              <w:rPr>
                <w:rFonts w:ascii="Verdana" w:hAnsi="Verdana"/>
                <w:b/>
                <w:sz w:val="18"/>
                <w:szCs w:val="18"/>
              </w:rPr>
              <w:t>Addéndum 3 al</w:t>
            </w:r>
            <w:r w:rsidRPr="002500EA">
              <w:rPr>
                <w:rFonts w:ascii="Verdana" w:hAnsi="Verdana"/>
                <w:b/>
                <w:sz w:val="18"/>
                <w:szCs w:val="18"/>
              </w:rPr>
              <w:br/>
              <w:t>Documento 16(Add.13)</w:t>
            </w:r>
            <w:r w:rsidR="0090121B" w:rsidRPr="002500EA">
              <w:rPr>
                <w:rFonts w:ascii="Verdana" w:hAnsi="Verdana"/>
                <w:b/>
                <w:sz w:val="18"/>
                <w:szCs w:val="18"/>
              </w:rPr>
              <w:t>-</w:t>
            </w:r>
            <w:r w:rsidRPr="002500EA">
              <w:rPr>
                <w:rFonts w:ascii="Verdana" w:hAnsi="Verdana"/>
                <w:b/>
                <w:sz w:val="18"/>
                <w:szCs w:val="18"/>
              </w:rPr>
              <w:t>S</w:t>
            </w:r>
          </w:p>
        </w:tc>
      </w:tr>
      <w:bookmarkEnd w:id="1"/>
      <w:tr w:rsidR="000A5B9A" w:rsidRPr="002500EA" w14:paraId="7E1154E8" w14:textId="77777777" w:rsidTr="0090121B">
        <w:trPr>
          <w:cantSplit/>
        </w:trPr>
        <w:tc>
          <w:tcPr>
            <w:tcW w:w="6911" w:type="dxa"/>
          </w:tcPr>
          <w:p w14:paraId="20D3AEBF" w14:textId="77777777" w:rsidR="000A5B9A" w:rsidRPr="002500EA" w:rsidRDefault="000A5B9A" w:rsidP="0045384C">
            <w:pPr>
              <w:spacing w:before="0" w:after="48"/>
              <w:rPr>
                <w:rFonts w:ascii="Verdana" w:hAnsi="Verdana"/>
                <w:b/>
                <w:smallCaps/>
                <w:sz w:val="18"/>
                <w:szCs w:val="18"/>
              </w:rPr>
            </w:pPr>
          </w:p>
        </w:tc>
        <w:tc>
          <w:tcPr>
            <w:tcW w:w="3120" w:type="dxa"/>
          </w:tcPr>
          <w:p w14:paraId="73E39D2A" w14:textId="4ADB0CF5" w:rsidR="000A5B9A" w:rsidRPr="002500EA" w:rsidRDefault="00206946" w:rsidP="0045384C">
            <w:pPr>
              <w:spacing w:before="0"/>
              <w:rPr>
                <w:rFonts w:ascii="Verdana" w:hAnsi="Verdana"/>
                <w:b/>
                <w:sz w:val="18"/>
                <w:szCs w:val="18"/>
              </w:rPr>
            </w:pPr>
            <w:r w:rsidRPr="002500EA">
              <w:rPr>
                <w:rFonts w:ascii="Verdana" w:hAnsi="Verdana"/>
                <w:b/>
                <w:sz w:val="18"/>
                <w:szCs w:val="18"/>
              </w:rPr>
              <w:t>4</w:t>
            </w:r>
            <w:r w:rsidR="000A5B9A" w:rsidRPr="002500EA">
              <w:rPr>
                <w:rFonts w:ascii="Verdana" w:hAnsi="Verdana"/>
                <w:b/>
                <w:sz w:val="18"/>
                <w:szCs w:val="18"/>
              </w:rPr>
              <w:t xml:space="preserve"> de octubre de 2019</w:t>
            </w:r>
          </w:p>
        </w:tc>
      </w:tr>
      <w:tr w:rsidR="000A5B9A" w:rsidRPr="002500EA" w14:paraId="7DD53CF4" w14:textId="77777777" w:rsidTr="0090121B">
        <w:trPr>
          <w:cantSplit/>
        </w:trPr>
        <w:tc>
          <w:tcPr>
            <w:tcW w:w="6911" w:type="dxa"/>
          </w:tcPr>
          <w:p w14:paraId="79F343D6" w14:textId="77777777" w:rsidR="000A5B9A" w:rsidRPr="002500EA" w:rsidRDefault="000A5B9A" w:rsidP="0045384C">
            <w:pPr>
              <w:spacing w:before="0" w:after="48"/>
              <w:rPr>
                <w:rFonts w:ascii="Verdana" w:hAnsi="Verdana"/>
                <w:b/>
                <w:smallCaps/>
                <w:sz w:val="18"/>
                <w:szCs w:val="18"/>
              </w:rPr>
            </w:pPr>
          </w:p>
        </w:tc>
        <w:tc>
          <w:tcPr>
            <w:tcW w:w="3120" w:type="dxa"/>
          </w:tcPr>
          <w:p w14:paraId="047E56D1" w14:textId="77777777" w:rsidR="000A5B9A" w:rsidRPr="002500EA" w:rsidRDefault="000A5B9A" w:rsidP="0045384C">
            <w:pPr>
              <w:spacing w:before="0"/>
              <w:rPr>
                <w:rFonts w:ascii="Verdana" w:hAnsi="Verdana"/>
                <w:b/>
                <w:sz w:val="18"/>
                <w:szCs w:val="18"/>
              </w:rPr>
            </w:pPr>
            <w:r w:rsidRPr="002500EA">
              <w:rPr>
                <w:rFonts w:ascii="Verdana" w:hAnsi="Verdana"/>
                <w:b/>
                <w:sz w:val="18"/>
                <w:szCs w:val="18"/>
              </w:rPr>
              <w:t>Original: inglés</w:t>
            </w:r>
          </w:p>
        </w:tc>
      </w:tr>
      <w:tr w:rsidR="000A5B9A" w:rsidRPr="002500EA" w14:paraId="563AF126" w14:textId="77777777" w:rsidTr="006744FC">
        <w:trPr>
          <w:cantSplit/>
        </w:trPr>
        <w:tc>
          <w:tcPr>
            <w:tcW w:w="10031" w:type="dxa"/>
            <w:gridSpan w:val="2"/>
          </w:tcPr>
          <w:p w14:paraId="78906335" w14:textId="77777777" w:rsidR="000A5B9A" w:rsidRPr="002500EA" w:rsidRDefault="000A5B9A" w:rsidP="0045384C">
            <w:pPr>
              <w:spacing w:before="0"/>
              <w:rPr>
                <w:rFonts w:ascii="Verdana" w:hAnsi="Verdana"/>
                <w:b/>
                <w:sz w:val="18"/>
                <w:szCs w:val="22"/>
              </w:rPr>
            </w:pPr>
          </w:p>
        </w:tc>
      </w:tr>
      <w:tr w:rsidR="000A5B9A" w:rsidRPr="002500EA" w14:paraId="37E94CED" w14:textId="77777777" w:rsidTr="0050008E">
        <w:trPr>
          <w:cantSplit/>
        </w:trPr>
        <w:tc>
          <w:tcPr>
            <w:tcW w:w="10031" w:type="dxa"/>
            <w:gridSpan w:val="2"/>
          </w:tcPr>
          <w:p w14:paraId="2E421340" w14:textId="77777777" w:rsidR="000A5B9A" w:rsidRPr="002500EA" w:rsidRDefault="000A5B9A" w:rsidP="000A5B9A">
            <w:pPr>
              <w:pStyle w:val="Source"/>
            </w:pPr>
            <w:bookmarkStart w:id="2" w:name="dsource" w:colFirst="0" w:colLast="0"/>
            <w:r w:rsidRPr="002500EA">
              <w:t>Propuestas Comunes Europeas</w:t>
            </w:r>
            <w:bookmarkStart w:id="3" w:name="_GoBack"/>
            <w:bookmarkEnd w:id="3"/>
          </w:p>
        </w:tc>
      </w:tr>
      <w:tr w:rsidR="000A5B9A" w:rsidRPr="002500EA" w14:paraId="7F411038" w14:textId="77777777" w:rsidTr="0050008E">
        <w:trPr>
          <w:cantSplit/>
        </w:trPr>
        <w:tc>
          <w:tcPr>
            <w:tcW w:w="10031" w:type="dxa"/>
            <w:gridSpan w:val="2"/>
          </w:tcPr>
          <w:p w14:paraId="0C38EF4D" w14:textId="77777777" w:rsidR="000A5B9A" w:rsidRPr="002500EA" w:rsidRDefault="000A5B9A" w:rsidP="000A5B9A">
            <w:pPr>
              <w:pStyle w:val="Title1"/>
            </w:pPr>
            <w:bookmarkStart w:id="4" w:name="dtitle1" w:colFirst="0" w:colLast="0"/>
            <w:bookmarkEnd w:id="2"/>
            <w:r w:rsidRPr="002500EA">
              <w:t>Propuestas para los trabajos de la Conferencia</w:t>
            </w:r>
          </w:p>
        </w:tc>
      </w:tr>
      <w:tr w:rsidR="000A5B9A" w:rsidRPr="002500EA" w14:paraId="03092093" w14:textId="77777777" w:rsidTr="0050008E">
        <w:trPr>
          <w:cantSplit/>
        </w:trPr>
        <w:tc>
          <w:tcPr>
            <w:tcW w:w="10031" w:type="dxa"/>
            <w:gridSpan w:val="2"/>
          </w:tcPr>
          <w:p w14:paraId="7E183DD5" w14:textId="77777777" w:rsidR="000A5B9A" w:rsidRPr="002500EA" w:rsidRDefault="000A5B9A" w:rsidP="000A5B9A">
            <w:pPr>
              <w:pStyle w:val="Title2"/>
            </w:pPr>
            <w:bookmarkStart w:id="5" w:name="dtitle2" w:colFirst="0" w:colLast="0"/>
            <w:bookmarkEnd w:id="4"/>
          </w:p>
        </w:tc>
      </w:tr>
      <w:tr w:rsidR="000A5B9A" w:rsidRPr="002500EA" w14:paraId="1C57C53E" w14:textId="77777777" w:rsidTr="0050008E">
        <w:trPr>
          <w:cantSplit/>
        </w:trPr>
        <w:tc>
          <w:tcPr>
            <w:tcW w:w="10031" w:type="dxa"/>
            <w:gridSpan w:val="2"/>
          </w:tcPr>
          <w:p w14:paraId="10335530" w14:textId="77777777" w:rsidR="000A5B9A" w:rsidRPr="002500EA" w:rsidRDefault="000A5B9A" w:rsidP="000A5B9A">
            <w:pPr>
              <w:pStyle w:val="Agendaitem"/>
            </w:pPr>
            <w:bookmarkStart w:id="6" w:name="dtitle3" w:colFirst="0" w:colLast="0"/>
            <w:bookmarkEnd w:id="5"/>
            <w:r w:rsidRPr="002500EA">
              <w:t>Punto 1.13 del orden del día</w:t>
            </w:r>
          </w:p>
        </w:tc>
      </w:tr>
    </w:tbl>
    <w:bookmarkEnd w:id="6"/>
    <w:p w14:paraId="6E36ABD8" w14:textId="77777777" w:rsidR="001C0E40" w:rsidRPr="002500EA" w:rsidRDefault="004E4354" w:rsidP="003A37B0">
      <w:r w:rsidRPr="002500EA">
        <w:t>1.13</w:t>
      </w:r>
      <w:r w:rsidRPr="002500EA">
        <w:tab/>
        <w:t xml:space="preserve">considerar la identificación de bandas de frecuencias para el futuro despliegue de las Telecomunicaciones Móviles Internacionales </w:t>
      </w:r>
      <w:r w:rsidRPr="002500EA">
        <w:rPr>
          <w:lang w:eastAsia="ja-JP"/>
        </w:rPr>
        <w:t>(</w:t>
      </w:r>
      <w:r w:rsidRPr="002500EA">
        <w:t>IMT</w:t>
      </w:r>
      <w:r w:rsidRPr="002500EA">
        <w:rPr>
          <w:lang w:eastAsia="ko-KR"/>
        </w:rPr>
        <w:t>)</w:t>
      </w:r>
      <w:r w:rsidRPr="002500EA">
        <w:t>, incluidas posibles atribuciones adicionales al servicio móvil a título primario, de conformidad con la Resolución </w:t>
      </w:r>
      <w:r w:rsidRPr="002500EA">
        <w:rPr>
          <w:rFonts w:eastAsia="SimSun"/>
          <w:b/>
          <w:szCs w:val="24"/>
          <w:lang w:eastAsia="zh-CN"/>
        </w:rPr>
        <w:t>238 (CMR-15)</w:t>
      </w:r>
      <w:r w:rsidRPr="002500EA">
        <w:rPr>
          <w:rFonts w:eastAsia="SimSun"/>
          <w:szCs w:val="24"/>
          <w:lang w:eastAsia="zh-CN"/>
        </w:rPr>
        <w:t>;</w:t>
      </w:r>
    </w:p>
    <w:p w14:paraId="6E7359D7" w14:textId="1D51E3D6" w:rsidR="00206946" w:rsidRPr="002500EA" w:rsidRDefault="00206946" w:rsidP="00206946">
      <w:pPr>
        <w:pStyle w:val="Title4"/>
        <w:rPr>
          <w:sz w:val="24"/>
        </w:rPr>
      </w:pPr>
      <w:r w:rsidRPr="002500EA">
        <w:t>Parte 3 – Banda de frecuencias 37-40,5 GHz</w:t>
      </w:r>
    </w:p>
    <w:p w14:paraId="5A4A70AF" w14:textId="7D6BAD6D" w:rsidR="00206946" w:rsidRPr="002500EA" w:rsidRDefault="00206946" w:rsidP="00206946">
      <w:pPr>
        <w:pStyle w:val="Headingb"/>
      </w:pPr>
      <w:r w:rsidRPr="002500EA">
        <w:t>Opinión</w:t>
      </w:r>
    </w:p>
    <w:p w14:paraId="74D1D2D8" w14:textId="7D63B421" w:rsidR="00206946" w:rsidRPr="002500EA" w:rsidRDefault="00206946" w:rsidP="00206946">
      <w:r w:rsidRPr="002500EA">
        <w:t>La CEPT apoya la identificación de la banda de frecuencias 40,5-43,5 GHz para las IMT a escala mundial. La CEPT no tiene intención de utilizar la banda de frecuencias 37-40,5 GHz para las IMT. Se toma nota de las posibles propuestas a la CMR-19 relativas a la identificación de esa banda para las IMT; en general, la CEPT apoya la idea de armonización mundial. Ahora bien, ello requerirá que se apliquen condiciones pertinentes para velar por la protección de los servicios establecidos en la banda de frecuencias 37-40,5 GHz y el SETS (pasivo) en la banda de frecuencias 36-37 GHz, las cuales deberán reflejarse adecuadamente en el Reglamento de Radiocomunicaciones. Para velar por la protección de los servicios establecidos en la banda de frecuencias 37-40,5 GHz deberán aplicarse las mismas condiciones que las propuestas por la CEPT en la Propuesta Común Europea para la banda de frecuencias 40,5-43,5 GHz.</w:t>
      </w:r>
    </w:p>
    <w:p w14:paraId="426B72E2" w14:textId="068B7295" w:rsidR="00363A65" w:rsidRPr="002500EA" w:rsidRDefault="00206946" w:rsidP="00206946">
      <w:r w:rsidRPr="002500EA">
        <w:t>Si se identifica a nivel mundial toda la gama (37-43,5 GHz) para las IMT, ello podría dificultar la utilización de esa banda para el SFS debido a un posible uso regional fragmentado de la banda para las IMT. Es posible que la CMR-19 tuviera que estudiar esa cuestión.</w:t>
      </w:r>
    </w:p>
    <w:p w14:paraId="2F2313DB" w14:textId="77777777" w:rsidR="008750A8" w:rsidRPr="002500EA" w:rsidRDefault="008750A8" w:rsidP="008750A8">
      <w:pPr>
        <w:tabs>
          <w:tab w:val="clear" w:pos="1134"/>
          <w:tab w:val="clear" w:pos="1871"/>
          <w:tab w:val="clear" w:pos="2268"/>
        </w:tabs>
        <w:overflowPunct/>
        <w:autoSpaceDE/>
        <w:autoSpaceDN/>
        <w:adjustRightInd/>
        <w:spacing w:before="0"/>
        <w:textAlignment w:val="auto"/>
      </w:pPr>
      <w:r w:rsidRPr="002500EA">
        <w:br w:type="page"/>
      </w:r>
    </w:p>
    <w:p w14:paraId="6FBD8489" w14:textId="77777777" w:rsidR="00CB57F7" w:rsidRPr="002500EA" w:rsidRDefault="004E4354">
      <w:pPr>
        <w:pStyle w:val="Proposal"/>
      </w:pPr>
      <w:r w:rsidRPr="002500EA">
        <w:lastRenderedPageBreak/>
        <w:tab/>
        <w:t>EUR/16A13A3/1</w:t>
      </w:r>
    </w:p>
    <w:p w14:paraId="0144F341" w14:textId="48E549B4" w:rsidR="00206946" w:rsidRPr="002500EA" w:rsidRDefault="00206946" w:rsidP="00B3090C">
      <w:r w:rsidRPr="002500EA">
        <w:t>La protección del SETS (pasivo) en la banda de frecuencias de 36-37 GHz debe figurar adecuadamente en el Reglamento de Radiocomunicaciones (RR) mediante límites obligatorios de emisiones no deseadas de las IMT. Como la banda de frecuencias 36-37 GHz no figura en el número</w:t>
      </w:r>
      <w:r w:rsidRPr="002500EA">
        <w:rPr>
          <w:b/>
        </w:rPr>
        <w:t xml:space="preserve"> 5.340</w:t>
      </w:r>
      <w:r w:rsidR="004E4354" w:rsidRPr="002500EA">
        <w:rPr>
          <w:bCs/>
        </w:rPr>
        <w:t xml:space="preserve"> </w:t>
      </w:r>
      <w:r w:rsidRPr="002500EA">
        <w:t xml:space="preserve">del RR por ser una banda compartida con los servicios activos, los límites de emisiones no deseadas de las IMT destinados a proteger esa banda no deben figurar en una revisión de la Resolución </w:t>
      </w:r>
      <w:r w:rsidRPr="002500EA">
        <w:rPr>
          <w:b/>
        </w:rPr>
        <w:t>750</w:t>
      </w:r>
      <w:r w:rsidRPr="002500EA">
        <w:t xml:space="preserve"> </w:t>
      </w:r>
      <w:r w:rsidRPr="002500EA">
        <w:rPr>
          <w:b/>
        </w:rPr>
        <w:t>(Rev.CMR-15)</w:t>
      </w:r>
      <w:r w:rsidRPr="002500EA">
        <w:t xml:space="preserve"> sino en el proyecto de nueva Resolución relativa a las IMT en la gama de 40 GHz.</w:t>
      </w:r>
    </w:p>
    <w:p w14:paraId="4D34C8B9" w14:textId="77777777" w:rsidR="00206946" w:rsidRPr="002500EA" w:rsidRDefault="00206946" w:rsidP="00B3090C">
      <w:r w:rsidRPr="002500EA">
        <w:t>Para velar por la protección de los servicios SIE (Tierra-espacio), SIE (espacio-Tierra) y SETS (Tierra-espacio) en la banda de frecuencias de 37-40,5 GHz y SETS (pasivo) en la banda de frecuencias de 36-37 GHz, en la nueva Resolución sobre la banda de frecuencias de 37-43,5 GHz se requeriría el siguiente texto:</w:t>
      </w:r>
    </w:p>
    <w:p w14:paraId="54925CA7" w14:textId="6F68EECF" w:rsidR="00CB57F7" w:rsidRPr="002500EA" w:rsidRDefault="00206946" w:rsidP="004E4354">
      <w:pPr>
        <w:pStyle w:val="enumlev1"/>
      </w:pPr>
      <w:r w:rsidRPr="002500EA">
        <w:rPr>
          <w:i/>
        </w:rPr>
        <w:t>–</w:t>
      </w:r>
      <w:r w:rsidRPr="002500EA">
        <w:rPr>
          <w:i/>
        </w:rPr>
        <w:tab/>
        <w:t>resuelve</w:t>
      </w:r>
      <w:r w:rsidRPr="002500EA">
        <w:t xml:space="preserve"> que, para proteger el SETS (pasivo) en la banda de frecuencias 36-37 GHz, las emisiones no deseadas de las estaciones IMT puestas en servicio en la banda de frecuencias 37-40,5 GHz no superarán los límites especificados en el siguiente Cuadro</w:t>
      </w:r>
      <w:r w:rsidR="004E4354" w:rsidRPr="002500EA">
        <w:t> </w:t>
      </w:r>
      <w:r w:rsidRPr="002500EA">
        <w:t>1:</w:t>
      </w:r>
    </w:p>
    <w:p w14:paraId="29DBE4C3" w14:textId="77777777" w:rsidR="00206946" w:rsidRPr="002500EA" w:rsidRDefault="00206946" w:rsidP="004E4354">
      <w:pPr>
        <w:pStyle w:val="TableNo"/>
      </w:pPr>
      <w:r w:rsidRPr="002500EA">
        <w:t>Cuadro 1</w:t>
      </w:r>
    </w:p>
    <w:tbl>
      <w:tblPr>
        <w:tblStyle w:val="TableGrid"/>
        <w:tblW w:w="0" w:type="auto"/>
        <w:tblInd w:w="720" w:type="dxa"/>
        <w:tblLook w:val="04A0" w:firstRow="1" w:lastRow="0" w:firstColumn="1" w:lastColumn="0" w:noHBand="0" w:noVBand="1"/>
      </w:tblPr>
      <w:tblGrid>
        <w:gridCol w:w="2222"/>
        <w:gridCol w:w="2193"/>
        <w:gridCol w:w="4494"/>
      </w:tblGrid>
      <w:tr w:rsidR="00206946" w:rsidRPr="002500EA" w14:paraId="239590DF" w14:textId="77777777" w:rsidTr="00206946">
        <w:tc>
          <w:tcPr>
            <w:tcW w:w="2222" w:type="dxa"/>
            <w:tcBorders>
              <w:top w:val="single" w:sz="4" w:space="0" w:color="auto"/>
              <w:left w:val="single" w:sz="4" w:space="0" w:color="auto"/>
              <w:bottom w:val="single" w:sz="4" w:space="0" w:color="auto"/>
              <w:right w:val="single" w:sz="4" w:space="0" w:color="auto"/>
            </w:tcBorders>
            <w:vAlign w:val="center"/>
            <w:hideMark/>
          </w:tcPr>
          <w:p w14:paraId="73E3D66B" w14:textId="77777777" w:rsidR="00206946" w:rsidRPr="002500EA" w:rsidRDefault="00206946">
            <w:pPr>
              <w:pStyle w:val="Tablehead"/>
            </w:pPr>
            <w:r w:rsidRPr="002500EA">
              <w:t>Banda atribuida al SETS (pasivo)</w:t>
            </w:r>
          </w:p>
        </w:tc>
        <w:tc>
          <w:tcPr>
            <w:tcW w:w="2193" w:type="dxa"/>
            <w:tcBorders>
              <w:top w:val="single" w:sz="4" w:space="0" w:color="auto"/>
              <w:left w:val="single" w:sz="4" w:space="0" w:color="auto"/>
              <w:bottom w:val="single" w:sz="4" w:space="0" w:color="auto"/>
              <w:right w:val="single" w:sz="4" w:space="0" w:color="auto"/>
            </w:tcBorders>
            <w:vAlign w:val="center"/>
            <w:hideMark/>
          </w:tcPr>
          <w:p w14:paraId="06A5AEF3" w14:textId="77777777" w:rsidR="00206946" w:rsidRPr="002500EA" w:rsidRDefault="00206946" w:rsidP="004E4354">
            <w:pPr>
              <w:pStyle w:val="Tablehead"/>
              <w:spacing w:line="480" w:lineRule="auto"/>
            </w:pPr>
            <w:r w:rsidRPr="002500EA">
              <w:t>Banda IMT</w:t>
            </w:r>
          </w:p>
        </w:tc>
        <w:tc>
          <w:tcPr>
            <w:tcW w:w="4494" w:type="dxa"/>
            <w:tcBorders>
              <w:top w:val="single" w:sz="4" w:space="0" w:color="auto"/>
              <w:left w:val="single" w:sz="4" w:space="0" w:color="auto"/>
              <w:bottom w:val="single" w:sz="4" w:space="0" w:color="auto"/>
              <w:right w:val="single" w:sz="4" w:space="0" w:color="auto"/>
            </w:tcBorders>
            <w:hideMark/>
          </w:tcPr>
          <w:p w14:paraId="1D355F4B" w14:textId="37E26C19" w:rsidR="00206946" w:rsidRPr="002500EA" w:rsidRDefault="00206946" w:rsidP="004E4354">
            <w:pPr>
              <w:pStyle w:val="Tablehead"/>
            </w:pPr>
            <w:r w:rsidRPr="002500EA">
              <w:t xml:space="preserve">Límites de la potencia radiada total de las emisiones no deseadas de las estaciones de </w:t>
            </w:r>
            <w:r w:rsidR="004E4354" w:rsidRPr="002500EA">
              <w:br/>
            </w:r>
            <w:r w:rsidRPr="002500EA">
              <w:t>IMT 2020 en un ancho de</w:t>
            </w:r>
            <w:r w:rsidR="004E4354" w:rsidRPr="002500EA">
              <w:t xml:space="preserve"> </w:t>
            </w:r>
            <w:r w:rsidRPr="002500EA">
              <w:t xml:space="preserve">banda determinado </w:t>
            </w:r>
            <w:r w:rsidR="004E4354" w:rsidRPr="002500EA">
              <w:br/>
            </w:r>
            <w:r w:rsidRPr="002500EA">
              <w:t>en la banda</w:t>
            </w:r>
            <w:r w:rsidR="004E4354" w:rsidRPr="002500EA">
              <w:t xml:space="preserve"> </w:t>
            </w:r>
            <w:r w:rsidRPr="002500EA">
              <w:t>atribuida al SETS (pasivo)</w:t>
            </w:r>
            <w:r w:rsidRPr="002500EA">
              <w:rPr>
                <w:vertAlign w:val="superscript"/>
              </w:rPr>
              <w:t>1</w:t>
            </w:r>
          </w:p>
        </w:tc>
      </w:tr>
      <w:tr w:rsidR="00206946" w:rsidRPr="002500EA" w14:paraId="0CEE7A47" w14:textId="77777777" w:rsidTr="00206946">
        <w:tc>
          <w:tcPr>
            <w:tcW w:w="2222" w:type="dxa"/>
            <w:tcBorders>
              <w:top w:val="single" w:sz="4" w:space="0" w:color="auto"/>
              <w:left w:val="single" w:sz="4" w:space="0" w:color="auto"/>
              <w:bottom w:val="single" w:sz="4" w:space="0" w:color="auto"/>
              <w:right w:val="single" w:sz="4" w:space="0" w:color="auto"/>
            </w:tcBorders>
            <w:vAlign w:val="center"/>
            <w:hideMark/>
          </w:tcPr>
          <w:p w14:paraId="3BE37F92" w14:textId="77777777" w:rsidR="00206946" w:rsidRPr="002500EA" w:rsidRDefault="00206946">
            <w:pPr>
              <w:pStyle w:val="Tabletext"/>
              <w:spacing w:before="10" w:after="10"/>
              <w:jc w:val="center"/>
            </w:pPr>
            <w:r w:rsidRPr="002500EA">
              <w:t>36-37 GHz</w:t>
            </w:r>
          </w:p>
        </w:tc>
        <w:tc>
          <w:tcPr>
            <w:tcW w:w="2193" w:type="dxa"/>
            <w:tcBorders>
              <w:top w:val="single" w:sz="4" w:space="0" w:color="auto"/>
              <w:left w:val="single" w:sz="4" w:space="0" w:color="auto"/>
              <w:bottom w:val="single" w:sz="4" w:space="0" w:color="auto"/>
              <w:right w:val="single" w:sz="4" w:space="0" w:color="auto"/>
            </w:tcBorders>
            <w:vAlign w:val="center"/>
            <w:hideMark/>
          </w:tcPr>
          <w:p w14:paraId="21A1E599" w14:textId="77777777" w:rsidR="00206946" w:rsidRPr="002500EA" w:rsidRDefault="00206946">
            <w:pPr>
              <w:pStyle w:val="Tabletext"/>
              <w:spacing w:before="10" w:after="10"/>
              <w:jc w:val="center"/>
            </w:pPr>
            <w:r w:rsidRPr="002500EA">
              <w:t>37-40,5 GHz</w:t>
            </w:r>
          </w:p>
        </w:tc>
        <w:tc>
          <w:tcPr>
            <w:tcW w:w="4494" w:type="dxa"/>
            <w:tcBorders>
              <w:top w:val="single" w:sz="4" w:space="0" w:color="auto"/>
              <w:left w:val="single" w:sz="4" w:space="0" w:color="auto"/>
              <w:bottom w:val="single" w:sz="4" w:space="0" w:color="auto"/>
              <w:right w:val="single" w:sz="4" w:space="0" w:color="auto"/>
            </w:tcBorders>
            <w:hideMark/>
          </w:tcPr>
          <w:p w14:paraId="5AF1E517" w14:textId="76825E53" w:rsidR="00206946" w:rsidRPr="002500EA" w:rsidRDefault="004E4354" w:rsidP="004E4354">
            <w:pPr>
              <w:pStyle w:val="Tabletext"/>
              <w:spacing w:before="10" w:after="10"/>
            </w:pPr>
            <w:r w:rsidRPr="002500EA">
              <w:t>–</w:t>
            </w:r>
            <w:r w:rsidR="00206946" w:rsidRPr="002500EA">
              <w:t xml:space="preserve">33 dB(W/100 MHz) para la estación de base y </w:t>
            </w:r>
            <w:r w:rsidR="00206946" w:rsidRPr="002500EA">
              <w:br/>
            </w:r>
            <w:r w:rsidRPr="002500EA">
              <w:t>–</w:t>
            </w:r>
            <w:r w:rsidR="00206946" w:rsidRPr="002500EA">
              <w:t>32 dB(W/100 MHz) para el equipo de usuario.</w:t>
            </w:r>
          </w:p>
        </w:tc>
      </w:tr>
      <w:tr w:rsidR="00206946" w:rsidRPr="002500EA" w14:paraId="2516A166" w14:textId="77777777" w:rsidTr="00206946">
        <w:tc>
          <w:tcPr>
            <w:tcW w:w="8909" w:type="dxa"/>
            <w:gridSpan w:val="3"/>
            <w:tcBorders>
              <w:top w:val="single" w:sz="4" w:space="0" w:color="auto"/>
              <w:left w:val="nil"/>
              <w:bottom w:val="nil"/>
              <w:right w:val="nil"/>
            </w:tcBorders>
            <w:hideMark/>
          </w:tcPr>
          <w:p w14:paraId="33D59DE1" w14:textId="5EB5FF7B" w:rsidR="00206946" w:rsidRPr="002500EA" w:rsidRDefault="00206946" w:rsidP="00E66065">
            <w:pPr>
              <w:pStyle w:val="Tablelegend"/>
              <w:tabs>
                <w:tab w:val="clear" w:pos="567"/>
                <w:tab w:val="left" w:pos="159"/>
              </w:tabs>
            </w:pPr>
            <w:r w:rsidRPr="002500EA">
              <w:rPr>
                <w:vertAlign w:val="superscript"/>
              </w:rPr>
              <w:t>1</w:t>
            </w:r>
            <w:r w:rsidR="00E66065" w:rsidRPr="002500EA">
              <w:tab/>
            </w:r>
            <w:r w:rsidRPr="002500EA">
              <w:t>PRT es el agregado de la potencia radiada de todos los elementos de antena.</w:t>
            </w:r>
          </w:p>
        </w:tc>
      </w:tr>
    </w:tbl>
    <w:p w14:paraId="703A85AB" w14:textId="32A725A5" w:rsidR="00206946" w:rsidRPr="002500EA" w:rsidRDefault="00206946" w:rsidP="004E4354">
      <w:pPr>
        <w:pStyle w:val="enumlev1"/>
        <w:rPr>
          <w:lang w:eastAsia="nl-NL"/>
        </w:rPr>
      </w:pPr>
      <w:r w:rsidRPr="002500EA">
        <w:rPr>
          <w:lang w:eastAsia="nl-NL"/>
        </w:rPr>
        <w:t>–</w:t>
      </w:r>
      <w:r w:rsidRPr="002500EA">
        <w:rPr>
          <w:lang w:eastAsia="nl-NL"/>
        </w:rPr>
        <w:tab/>
      </w:r>
      <w:r w:rsidRPr="002500EA">
        <w:rPr>
          <w:i/>
          <w:iCs/>
          <w:lang w:eastAsia="nl-NL"/>
        </w:rPr>
        <w:t>invita a las administraciones</w:t>
      </w:r>
      <w:r w:rsidRPr="002500EA">
        <w:rPr>
          <w:lang w:eastAsia="nl-NL"/>
        </w:rPr>
        <w:t xml:space="preserve"> a adoptar disposiciones que permitan la implantación futura de estaciones terrenas del SIE (espacio-Tierra) en la banda de frecuencias 37</w:t>
      </w:r>
      <w:r w:rsidR="004E4354" w:rsidRPr="002500EA">
        <w:rPr>
          <w:lang w:eastAsia="nl-NL"/>
        </w:rPr>
        <w:noBreakHyphen/>
      </w:r>
      <w:r w:rsidRPr="002500EA">
        <w:rPr>
          <w:lang w:eastAsia="nl-NL"/>
        </w:rPr>
        <w:t>38</w:t>
      </w:r>
      <w:r w:rsidR="004E4354" w:rsidRPr="002500EA">
        <w:rPr>
          <w:lang w:eastAsia="nl-NL"/>
        </w:rPr>
        <w:t> </w:t>
      </w:r>
      <w:r w:rsidRPr="002500EA">
        <w:rPr>
          <w:lang w:eastAsia="nl-NL"/>
        </w:rPr>
        <w:t>GHz y del SIE (Tierra-espacio) y el SETS (Tierra-espacio) en la banda de frecuencias 40-40,5 GHz;</w:t>
      </w:r>
    </w:p>
    <w:p w14:paraId="0DF94744" w14:textId="58FD7414" w:rsidR="00CB57F7" w:rsidRPr="002500EA" w:rsidRDefault="005C0485" w:rsidP="004E4354">
      <w:pPr>
        <w:pStyle w:val="enumlev1"/>
      </w:pPr>
      <w:r w:rsidRPr="002500EA">
        <w:t>–</w:t>
      </w:r>
      <w:r w:rsidR="00206946" w:rsidRPr="002500EA">
        <w:tab/>
      </w:r>
      <w:r w:rsidR="00206946" w:rsidRPr="002500EA">
        <w:rPr>
          <w:i/>
          <w:iCs/>
        </w:rPr>
        <w:t>invita al UIT</w:t>
      </w:r>
      <w:r w:rsidR="00206946" w:rsidRPr="002500EA">
        <w:rPr>
          <w:i/>
          <w:iCs/>
        </w:rPr>
        <w:noBreakHyphen/>
        <w:t>R</w:t>
      </w:r>
      <w:r w:rsidR="00206946" w:rsidRPr="002500EA">
        <w:t xml:space="preserve"> a elaborar una Recomendación UIT-R para ayudar a las administraciones a proteger las estaciones terrenas del SIE existentes y futuras que utilizan la banda de frecuencias 37-38 GHz, teniendo en cuenta los criterios de protección necesarios</w:t>
      </w:r>
      <w:r w:rsidR="004E4354" w:rsidRPr="002500EA">
        <w:t>.</w:t>
      </w:r>
    </w:p>
    <w:p w14:paraId="609F346D" w14:textId="77777777" w:rsidR="005C0485" w:rsidRPr="002500EA" w:rsidRDefault="005C0485" w:rsidP="00411C49">
      <w:pPr>
        <w:pStyle w:val="Reasons"/>
      </w:pPr>
    </w:p>
    <w:p w14:paraId="6F9FE138" w14:textId="000F1395" w:rsidR="004E4354" w:rsidRPr="002500EA" w:rsidRDefault="005C0485" w:rsidP="005C0485">
      <w:pPr>
        <w:jc w:val="center"/>
      </w:pPr>
      <w:r w:rsidRPr="002500EA">
        <w:t>______________</w:t>
      </w:r>
    </w:p>
    <w:sectPr w:rsidR="004E4354" w:rsidRPr="002500EA">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CBC56" w14:textId="77777777" w:rsidR="003C0613" w:rsidRDefault="003C0613">
      <w:r>
        <w:separator/>
      </w:r>
    </w:p>
  </w:endnote>
  <w:endnote w:type="continuationSeparator" w:id="0">
    <w:p w14:paraId="5EAB9B99"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0992"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B5FA09" w14:textId="57D41E69" w:rsidR="0077084A" w:rsidRDefault="0077084A">
    <w:pPr>
      <w:ind w:right="360"/>
      <w:rPr>
        <w:lang w:val="en-US"/>
      </w:rPr>
    </w:pPr>
    <w:r>
      <w:fldChar w:fldCharType="begin"/>
    </w:r>
    <w:r>
      <w:rPr>
        <w:lang w:val="en-US"/>
      </w:rPr>
      <w:instrText xml:space="preserve"> FILENAME \p  \* MERGEFORMAT </w:instrText>
    </w:r>
    <w:r>
      <w:fldChar w:fldCharType="separate"/>
    </w:r>
    <w:r w:rsidR="005C0485">
      <w:rPr>
        <w:noProof/>
        <w:lang w:val="en-US"/>
      </w:rPr>
      <w:t>P:\ESP\ITU-R\CONF-R\CMR19\000\016ADD13ADD03S.docx</w:t>
    </w:r>
    <w:r>
      <w:fldChar w:fldCharType="end"/>
    </w:r>
    <w:r>
      <w:rPr>
        <w:lang w:val="en-US"/>
      </w:rPr>
      <w:tab/>
    </w:r>
    <w:r>
      <w:fldChar w:fldCharType="begin"/>
    </w:r>
    <w:r>
      <w:instrText xml:space="preserve"> SAVEDATE \@ DD.MM.YY </w:instrText>
    </w:r>
    <w:r>
      <w:fldChar w:fldCharType="separate"/>
    </w:r>
    <w:r w:rsidR="00D42301">
      <w:rPr>
        <w:noProof/>
      </w:rPr>
      <w:t>24.10.19</w:t>
    </w:r>
    <w:r>
      <w:fldChar w:fldCharType="end"/>
    </w:r>
    <w:r>
      <w:rPr>
        <w:lang w:val="en-US"/>
      </w:rPr>
      <w:tab/>
    </w:r>
    <w:r>
      <w:fldChar w:fldCharType="begin"/>
    </w:r>
    <w:r>
      <w:instrText xml:space="preserve"> PRINTDATE \@ DD.MM.YY </w:instrText>
    </w:r>
    <w:r>
      <w:fldChar w:fldCharType="separate"/>
    </w:r>
    <w:r w:rsidR="005C0485">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4E11" w14:textId="224BA224" w:rsidR="0077084A" w:rsidRPr="005C0485"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5C0485">
      <w:rPr>
        <w:lang w:val="en-US"/>
      </w:rPr>
      <w:t>P:\ESP\ITU-R\CONF-R\CMR19\000\016ADD13ADD03S.docx</w:t>
    </w:r>
    <w:r>
      <w:fldChar w:fldCharType="end"/>
    </w:r>
    <w:r w:rsidR="005C0485" w:rsidRPr="005C0485">
      <w:rPr>
        <w:lang w:val="en-GB"/>
      </w:rPr>
      <w:t xml:space="preserve"> </w:t>
    </w:r>
    <w:r w:rsidR="005C0485">
      <w:rPr>
        <w:lang w:val="en-GB"/>
      </w:rPr>
      <w:t>(462006)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2BFA" w14:textId="6A3C2830" w:rsidR="0077084A" w:rsidRPr="005C0485" w:rsidRDefault="0077084A" w:rsidP="00B47331">
    <w:pPr>
      <w:pStyle w:val="Footer"/>
      <w:rPr>
        <w:lang w:val="en-GB"/>
      </w:rPr>
    </w:pPr>
    <w:r>
      <w:fldChar w:fldCharType="begin"/>
    </w:r>
    <w:r>
      <w:rPr>
        <w:lang w:val="en-US"/>
      </w:rPr>
      <w:instrText xml:space="preserve"> FILENAME \p  \* MERGEFORMAT </w:instrText>
    </w:r>
    <w:r>
      <w:fldChar w:fldCharType="separate"/>
    </w:r>
    <w:r w:rsidR="005C0485">
      <w:rPr>
        <w:lang w:val="en-US"/>
      </w:rPr>
      <w:t>P:\ESP\ITU-R\CONF-R\CMR19\000\016ADD13ADD03S.docx</w:t>
    </w:r>
    <w:r>
      <w:fldChar w:fldCharType="end"/>
    </w:r>
    <w:r w:rsidR="005C0485" w:rsidRPr="005C0485">
      <w:rPr>
        <w:lang w:val="en-GB"/>
      </w:rPr>
      <w:t xml:space="preserve"> </w:t>
    </w:r>
    <w:r w:rsidR="005C0485">
      <w:rPr>
        <w:lang w:val="en-GB"/>
      </w:rPr>
      <w:t>(462006)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92F01" w14:textId="77777777" w:rsidR="003C0613" w:rsidRDefault="003C0613">
      <w:r>
        <w:rPr>
          <w:b/>
        </w:rPr>
        <w:t>_______________</w:t>
      </w:r>
    </w:p>
  </w:footnote>
  <w:footnote w:type="continuationSeparator" w:id="0">
    <w:p w14:paraId="47329621"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FFF0"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DF994B2" w14:textId="77777777" w:rsidR="0077084A" w:rsidRDefault="008750A8" w:rsidP="00C44E9E">
    <w:pPr>
      <w:pStyle w:val="Header"/>
      <w:rPr>
        <w:lang w:val="en-US"/>
      </w:rPr>
    </w:pPr>
    <w:r>
      <w:rPr>
        <w:lang w:val="en-US"/>
      </w:rPr>
      <w:t>CMR1</w:t>
    </w:r>
    <w:r w:rsidR="00C44E9E">
      <w:rPr>
        <w:lang w:val="en-US"/>
      </w:rPr>
      <w:t>9</w:t>
    </w:r>
    <w:r>
      <w:rPr>
        <w:lang w:val="en-US"/>
      </w:rPr>
      <w:t>/</w:t>
    </w:r>
    <w:r w:rsidR="00702F3D">
      <w:t>16(Add.13)(Add.3)-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06946"/>
    <w:rsid w:val="0023659C"/>
    <w:rsid w:val="00236D2A"/>
    <w:rsid w:val="0024569E"/>
    <w:rsid w:val="002500EA"/>
    <w:rsid w:val="00255F12"/>
    <w:rsid w:val="00262C09"/>
    <w:rsid w:val="00271BE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4E4354"/>
    <w:rsid w:val="005133B5"/>
    <w:rsid w:val="00524392"/>
    <w:rsid w:val="00532097"/>
    <w:rsid w:val="0058350F"/>
    <w:rsid w:val="00583C7E"/>
    <w:rsid w:val="0059098E"/>
    <w:rsid w:val="005C0485"/>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66AE6"/>
    <w:rsid w:val="008750A8"/>
    <w:rsid w:val="008D3316"/>
    <w:rsid w:val="008E5AF2"/>
    <w:rsid w:val="0090121B"/>
    <w:rsid w:val="009144C9"/>
    <w:rsid w:val="0094091F"/>
    <w:rsid w:val="00962171"/>
    <w:rsid w:val="00973754"/>
    <w:rsid w:val="009C0BED"/>
    <w:rsid w:val="009C6FB6"/>
    <w:rsid w:val="009E11EC"/>
    <w:rsid w:val="00A021CC"/>
    <w:rsid w:val="00A118DB"/>
    <w:rsid w:val="00A4450C"/>
    <w:rsid w:val="00AA5E6C"/>
    <w:rsid w:val="00AE5677"/>
    <w:rsid w:val="00AE658F"/>
    <w:rsid w:val="00AF2F78"/>
    <w:rsid w:val="00B239FA"/>
    <w:rsid w:val="00B3090C"/>
    <w:rsid w:val="00B372AB"/>
    <w:rsid w:val="00B47331"/>
    <w:rsid w:val="00B52D55"/>
    <w:rsid w:val="00B8288C"/>
    <w:rsid w:val="00B86034"/>
    <w:rsid w:val="00BE2E80"/>
    <w:rsid w:val="00BE5EDD"/>
    <w:rsid w:val="00BE6A1F"/>
    <w:rsid w:val="00C126C4"/>
    <w:rsid w:val="00C44E9E"/>
    <w:rsid w:val="00C63EB5"/>
    <w:rsid w:val="00C87DA7"/>
    <w:rsid w:val="00CB57F7"/>
    <w:rsid w:val="00CC01E0"/>
    <w:rsid w:val="00CD5FEE"/>
    <w:rsid w:val="00CE60D2"/>
    <w:rsid w:val="00CE7431"/>
    <w:rsid w:val="00D00CA8"/>
    <w:rsid w:val="00D0288A"/>
    <w:rsid w:val="00D42301"/>
    <w:rsid w:val="00D72A5D"/>
    <w:rsid w:val="00DA71A3"/>
    <w:rsid w:val="00DC629B"/>
    <w:rsid w:val="00DE1C31"/>
    <w:rsid w:val="00E05BFF"/>
    <w:rsid w:val="00E262F1"/>
    <w:rsid w:val="00E3176A"/>
    <w:rsid w:val="00E36CE4"/>
    <w:rsid w:val="00E54754"/>
    <w:rsid w:val="00E56BD3"/>
    <w:rsid w:val="00E66065"/>
    <w:rsid w:val="00E71D14"/>
    <w:rsid w:val="00EA77F0"/>
    <w:rsid w:val="00EE51D0"/>
    <w:rsid w:val="00F14E85"/>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1DE9C1"/>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styleId="BalloonText">
    <w:name w:val="Balloon Text"/>
    <w:basedOn w:val="Normal"/>
    <w:link w:val="BalloonTextChar"/>
    <w:semiHidden/>
    <w:unhideWhenUsed/>
    <w:rsid w:val="0020694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6946"/>
    <w:rPr>
      <w:rFonts w:ascii="Segoe UI" w:hAnsi="Segoe UI" w:cs="Segoe UI"/>
      <w:sz w:val="18"/>
      <w:szCs w:val="18"/>
      <w:lang w:val="es-ES_tradnl" w:eastAsia="en-US"/>
    </w:rPr>
  </w:style>
  <w:style w:type="character" w:customStyle="1" w:styleId="TabletextChar">
    <w:name w:val="Table_text Char"/>
    <w:basedOn w:val="DefaultParagraphFont"/>
    <w:link w:val="Tabletext"/>
    <w:locked/>
    <w:rsid w:val="00206946"/>
    <w:rPr>
      <w:rFonts w:ascii="Times New Roman" w:hAnsi="Times New Roman"/>
      <w:lang w:val="es-ES_tradnl" w:eastAsia="en-US"/>
    </w:rPr>
  </w:style>
  <w:style w:type="table" w:styleId="TableGrid">
    <w:name w:val="Table Grid"/>
    <w:basedOn w:val="TableNormal"/>
    <w:rsid w:val="002069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51D0"/>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9148">
      <w:bodyDiv w:val="1"/>
      <w:marLeft w:val="0"/>
      <w:marRight w:val="0"/>
      <w:marTop w:val="0"/>
      <w:marBottom w:val="0"/>
      <w:divBdr>
        <w:top w:val="none" w:sz="0" w:space="0" w:color="auto"/>
        <w:left w:val="none" w:sz="0" w:space="0" w:color="auto"/>
        <w:bottom w:val="none" w:sz="0" w:space="0" w:color="auto"/>
        <w:right w:val="none" w:sz="0" w:space="0" w:color="auto"/>
      </w:divBdr>
    </w:div>
    <w:div w:id="1502314437">
      <w:bodyDiv w:val="1"/>
      <w:marLeft w:val="0"/>
      <w:marRight w:val="0"/>
      <w:marTop w:val="0"/>
      <w:marBottom w:val="0"/>
      <w:divBdr>
        <w:top w:val="none" w:sz="0" w:space="0" w:color="auto"/>
        <w:left w:val="none" w:sz="0" w:space="0" w:color="auto"/>
        <w:bottom w:val="none" w:sz="0" w:space="0" w:color="auto"/>
        <w:right w:val="none" w:sz="0" w:space="0" w:color="auto"/>
      </w:divBdr>
    </w:div>
    <w:div w:id="15888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D2A3-576C-47FA-894C-768E5638932B}">
  <ds:schemaRefs>
    <ds:schemaRef ds:uri="http://purl.org/dc/elements/1.1/"/>
    <ds:schemaRef ds:uri="32a1a8c5-2265-4ebc-b7a0-2071e2c5c9bb"/>
    <ds:schemaRef ds:uri="http://purl.org/dc/terms/"/>
    <ds:schemaRef ds:uri="http://purl.org/dc/dcmitype/"/>
    <ds:schemaRef ds:uri="996b2e75-67fd-4955-a3b0-5ab9934cb50b"/>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29493824-F785-4172-9189-89DD0EC9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633</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R16-WRC19-C-0016!A13-A3!MSW-S</vt:lpstr>
    </vt:vector>
  </TitlesOfParts>
  <Manager>Secretaría General - Pool</Manager>
  <Company>Unión Internacional de Telecomunicaciones (UIT)</Company>
  <LinksUpToDate>false</LinksUpToDate>
  <CharactersWithSpaces>3949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R16-WRC19-C-0016!A13-A3!MSW-S</dc:title>
  <dc:subject>Conferencia Mundial de Radiocomunicaciones - 2019</dc:subject>
  <dc:creator>Documents Proposals Manager (DPM)</dc:creator>
  <cp:keywords>DPM_v2019.10.15.2_prod</cp:keywords>
  <dc:description/>
  <cp:lastModifiedBy>Spanish</cp:lastModifiedBy>
  <cp:revision>12</cp:revision>
  <cp:lastPrinted>2003-02-19T20:20:00Z</cp:lastPrinted>
  <dcterms:created xsi:type="dcterms:W3CDTF">2019-10-23T23:04:00Z</dcterms:created>
  <dcterms:modified xsi:type="dcterms:W3CDTF">2019-10-24T00:32:00Z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