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271763CE" w14:textId="77777777" w:rsidTr="00F55E63">
        <w:trPr>
          <w:cantSplit/>
          <w:trHeight w:val="20"/>
        </w:trPr>
        <w:tc>
          <w:tcPr>
            <w:tcW w:w="6619" w:type="dxa"/>
          </w:tcPr>
          <w:p w14:paraId="269176FA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358E170F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485DBB4" wp14:editId="4E4A7A6E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7E5646F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475CA902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48CC7D07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2836617E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664AEFEE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63E37618" w14:textId="77777777" w:rsidR="00280E04" w:rsidRPr="000C0092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617025" w:rsidRPr="00F545E4" w14:paraId="11685439" w14:textId="77777777" w:rsidTr="00F55E63">
        <w:trPr>
          <w:cantSplit/>
        </w:trPr>
        <w:tc>
          <w:tcPr>
            <w:tcW w:w="6619" w:type="dxa"/>
          </w:tcPr>
          <w:p w14:paraId="4946F265" w14:textId="77777777" w:rsidR="00617025" w:rsidRPr="00F545E4" w:rsidRDefault="00617025" w:rsidP="00617025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41CDDB71" w14:textId="7D1B0722" w:rsidR="00617025" w:rsidRPr="000C0092" w:rsidRDefault="000C0092" w:rsidP="0061702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0C0092">
              <w:rPr>
                <w:rFonts w:hint="cs"/>
                <w:rtl/>
              </w:rPr>
              <w:t xml:space="preserve">الإضافة </w:t>
            </w:r>
            <w:r w:rsidR="00617025" w:rsidRPr="000C0092">
              <w:t>3</w:t>
            </w:r>
            <w:r w:rsidR="00617025" w:rsidRPr="000C0092">
              <w:br/>
            </w:r>
            <w:r w:rsidRPr="000C0092">
              <w:rPr>
                <w:rFonts w:eastAsia="SimSun" w:hint="cs"/>
                <w:rtl/>
              </w:rPr>
              <w:t xml:space="preserve">للوثيقة </w:t>
            </w:r>
            <w:r w:rsidR="00617025" w:rsidRPr="000C0092">
              <w:rPr>
                <w:rFonts w:eastAsia="SimSun"/>
              </w:rPr>
              <w:t>16(Add.13)-A</w:t>
            </w:r>
          </w:p>
        </w:tc>
      </w:tr>
      <w:tr w:rsidR="00617025" w:rsidRPr="00F545E4" w14:paraId="3131B91E" w14:textId="77777777" w:rsidTr="00F55E63">
        <w:trPr>
          <w:cantSplit/>
        </w:trPr>
        <w:tc>
          <w:tcPr>
            <w:tcW w:w="6619" w:type="dxa"/>
          </w:tcPr>
          <w:p w14:paraId="6A73BDD6" w14:textId="77777777" w:rsidR="00617025" w:rsidRPr="00F545E4" w:rsidRDefault="00617025" w:rsidP="0061702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75469E3E" w14:textId="462341B6" w:rsidR="00617025" w:rsidRPr="000C0092" w:rsidRDefault="004077D5" w:rsidP="00617025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0C0092">
              <w:rPr>
                <w:rFonts w:eastAsia="SimSun"/>
              </w:rPr>
              <w:t>4</w:t>
            </w:r>
            <w:r w:rsidR="00617025" w:rsidRPr="000C0092">
              <w:rPr>
                <w:rFonts w:eastAsia="SimSun"/>
                <w:rtl/>
              </w:rPr>
              <w:t xml:space="preserve"> أكتوبر </w:t>
            </w:r>
            <w:r w:rsidR="00617025" w:rsidRPr="000C0092">
              <w:rPr>
                <w:rFonts w:eastAsia="SimSun"/>
              </w:rPr>
              <w:t>2019</w:t>
            </w:r>
          </w:p>
        </w:tc>
      </w:tr>
      <w:tr w:rsidR="00617025" w:rsidRPr="00F545E4" w14:paraId="5F2E7FD5" w14:textId="77777777" w:rsidTr="00F55E63">
        <w:trPr>
          <w:cantSplit/>
        </w:trPr>
        <w:tc>
          <w:tcPr>
            <w:tcW w:w="6619" w:type="dxa"/>
          </w:tcPr>
          <w:p w14:paraId="5B9792D5" w14:textId="77777777" w:rsidR="00617025" w:rsidRPr="00F545E4" w:rsidRDefault="00617025" w:rsidP="00617025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60E8D489" w14:textId="136D0EE0" w:rsidR="00617025" w:rsidRPr="00F545E4" w:rsidRDefault="00617025" w:rsidP="00617025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3B4967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71EF4616" w14:textId="77777777" w:rsidTr="00F55E63">
        <w:trPr>
          <w:cantSplit/>
        </w:trPr>
        <w:tc>
          <w:tcPr>
            <w:tcW w:w="9672" w:type="dxa"/>
            <w:gridSpan w:val="2"/>
          </w:tcPr>
          <w:p w14:paraId="15EAF615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317D7A5B" w14:textId="77777777" w:rsidTr="00F55E63">
        <w:trPr>
          <w:cantSplit/>
        </w:trPr>
        <w:tc>
          <w:tcPr>
            <w:tcW w:w="9672" w:type="dxa"/>
            <w:gridSpan w:val="2"/>
          </w:tcPr>
          <w:p w14:paraId="0360BE9F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66E13E52" w14:textId="77777777" w:rsidTr="00F55E63">
        <w:trPr>
          <w:cantSplit/>
        </w:trPr>
        <w:tc>
          <w:tcPr>
            <w:tcW w:w="9672" w:type="dxa"/>
            <w:gridSpan w:val="2"/>
          </w:tcPr>
          <w:p w14:paraId="35CBCF6C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03742784" w14:textId="77777777" w:rsidTr="00F55E63">
        <w:trPr>
          <w:cantSplit/>
        </w:trPr>
        <w:tc>
          <w:tcPr>
            <w:tcW w:w="9672" w:type="dxa"/>
            <w:gridSpan w:val="2"/>
          </w:tcPr>
          <w:p w14:paraId="6A20B2B1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581B3C47" w14:textId="77777777" w:rsidTr="00F55E63">
        <w:trPr>
          <w:cantSplit/>
        </w:trPr>
        <w:tc>
          <w:tcPr>
            <w:tcW w:w="9672" w:type="dxa"/>
            <w:gridSpan w:val="2"/>
          </w:tcPr>
          <w:p w14:paraId="1A1CA60F" w14:textId="637BECB0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4077D5">
              <w:rPr>
                <w:rFonts w:hint="cs"/>
                <w:rtl/>
                <w:lang w:val="en-US"/>
              </w:rPr>
              <w:t xml:space="preserve"> </w:t>
            </w:r>
            <w:r w:rsidR="004077D5">
              <w:rPr>
                <w:lang w:val="en-US"/>
              </w:rPr>
              <w:t>13.1</w:t>
            </w:r>
          </w:p>
        </w:tc>
      </w:tr>
    </w:tbl>
    <w:p w14:paraId="27E45DCA" w14:textId="77777777" w:rsidR="001D597A" w:rsidRPr="008213CF" w:rsidRDefault="00A3102F" w:rsidP="008213CF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13.1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>النظر في </w:t>
      </w:r>
      <w:r w:rsidRPr="00723691">
        <w:rPr>
          <w:rFonts w:eastAsia="SimSun" w:hint="cs"/>
          <w:rtl/>
          <w:lang w:eastAsia="zh-CN"/>
        </w:rPr>
        <w:t>تحديد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نطاقات</w:t>
      </w:r>
      <w:r w:rsidRPr="00723691">
        <w:rPr>
          <w:rFonts w:eastAsia="SimSun"/>
          <w:rtl/>
          <w:lang w:eastAsia="zh-CN"/>
        </w:rPr>
        <w:t xml:space="preserve"> تردد</w:t>
      </w:r>
      <w:r w:rsidRPr="00723691">
        <w:rPr>
          <w:rFonts w:eastAsia="SimSun" w:hint="cs"/>
          <w:rtl/>
          <w:lang w:eastAsia="zh-CN"/>
        </w:rPr>
        <w:t xml:space="preserve"> من أجل التطوير المستقبلي للاتصالات المتنقلة الدولية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(IMT)</w:t>
      </w:r>
      <w:r w:rsidRPr="00723691">
        <w:rPr>
          <w:rFonts w:eastAsia="SimSun" w:hint="cs"/>
          <w:rtl/>
          <w:lang w:eastAsia="zh-CN"/>
        </w:rPr>
        <w:t>،</w:t>
      </w:r>
      <w:r w:rsidRPr="00723691">
        <w:rPr>
          <w:rFonts w:eastAsia="SimSun"/>
          <w:rtl/>
          <w:lang w:eastAsia="zh-CN"/>
        </w:rPr>
        <w:t xml:space="preserve"> بما في ذلك</w:t>
      </w:r>
      <w:r w:rsidRPr="00723691">
        <w:rPr>
          <w:rFonts w:eastAsia="SimSun" w:hint="cs"/>
          <w:rtl/>
          <w:lang w:eastAsia="zh-CN"/>
        </w:rPr>
        <w:t xml:space="preserve"> إمكانية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توزيع</w:t>
      </w:r>
      <w:r w:rsidRPr="00723691">
        <w:rPr>
          <w:rFonts w:eastAsia="SimSun"/>
          <w:rtl/>
          <w:lang w:eastAsia="zh-CN"/>
        </w:rPr>
        <w:t xml:space="preserve"> ترددات إضافية للخدمة المتنقلة</w:t>
      </w:r>
      <w:r w:rsidRPr="00723691">
        <w:rPr>
          <w:rFonts w:eastAsia="SimSun" w:hint="cs"/>
          <w:rtl/>
          <w:lang w:eastAsia="zh-CN"/>
        </w:rPr>
        <w:t xml:space="preserve"> على أساس أولي</w:t>
      </w:r>
      <w:r w:rsidRPr="00723691">
        <w:rPr>
          <w:rFonts w:eastAsia="SimSun"/>
          <w:rtl/>
          <w:lang w:eastAsia="zh-CN"/>
        </w:rPr>
        <w:t xml:space="preserve">، وفقاً </w:t>
      </w:r>
      <w:r w:rsidRPr="002E6F3B">
        <w:rPr>
          <w:rFonts w:eastAsia="SimSun"/>
          <w:rtl/>
          <w:lang w:eastAsia="zh-CN"/>
        </w:rPr>
        <w:t>للقرار</w:t>
      </w:r>
      <w:r w:rsidRPr="002E6F3B">
        <w:rPr>
          <w:rFonts w:eastAsia="SimSun" w:hint="cs"/>
          <w:rtl/>
          <w:lang w:eastAsia="zh-CN"/>
        </w:rPr>
        <w:t> </w:t>
      </w:r>
      <w:r w:rsidRPr="002E6F3B">
        <w:rPr>
          <w:rFonts w:eastAsia="SimSun"/>
          <w:b/>
          <w:bCs/>
          <w:lang w:eastAsia="zh-CN" w:bidi="ar-SY"/>
        </w:rPr>
        <w:t>238 (WRC</w:t>
      </w:r>
      <w:r w:rsidRPr="002E6F3B">
        <w:rPr>
          <w:rFonts w:eastAsia="SimSun"/>
          <w:b/>
          <w:bCs/>
          <w:lang w:eastAsia="zh-CN" w:bidi="ar-SY"/>
        </w:rPr>
        <w:noBreakHyphen/>
        <w:t>15)</w:t>
      </w:r>
      <w:r w:rsidRPr="00723691">
        <w:rPr>
          <w:rFonts w:eastAsia="SimSun" w:hint="cs"/>
          <w:rtl/>
          <w:lang w:eastAsia="zh-CN"/>
        </w:rPr>
        <w:t>؛</w:t>
      </w:r>
    </w:p>
    <w:p w14:paraId="7EEEDABB" w14:textId="0DBB24B3" w:rsidR="002F3E46" w:rsidRDefault="008D238D" w:rsidP="003764B6">
      <w:pPr>
        <w:pStyle w:val="Title4"/>
        <w:rPr>
          <w:rtl/>
        </w:rPr>
      </w:pPr>
      <w:r>
        <w:rPr>
          <w:rFonts w:hint="cs"/>
          <w:rtl/>
        </w:rPr>
        <w:t xml:space="preserve">الجزء </w:t>
      </w:r>
      <w:r>
        <w:t>3</w:t>
      </w:r>
      <w:r>
        <w:rPr>
          <w:rFonts w:hint="cs"/>
          <w:rtl/>
        </w:rPr>
        <w:t xml:space="preserve"> </w:t>
      </w:r>
      <w:r w:rsidR="004077D5">
        <w:rPr>
          <w:rFonts w:hint="cs"/>
          <w:rtl/>
        </w:rPr>
        <w:t xml:space="preserve">- نطاق التردد </w:t>
      </w:r>
      <w:r w:rsidR="004077D5">
        <w:t>GHz 40,5-37</w:t>
      </w:r>
    </w:p>
    <w:p w14:paraId="11EA9DE1" w14:textId="1E2AECB9" w:rsidR="004077D5" w:rsidRPr="009F352C" w:rsidRDefault="00AD748C" w:rsidP="004077D5">
      <w:pPr>
        <w:pStyle w:val="Headingb"/>
        <w:jc w:val="left"/>
        <w:rPr>
          <w:lang w:bidi="ar-SY"/>
        </w:rPr>
      </w:pPr>
      <w:r>
        <w:rPr>
          <w:rFonts w:hint="cs"/>
          <w:rtl/>
          <w:lang w:bidi="ar-SY"/>
        </w:rPr>
        <w:t>الرأي</w:t>
      </w:r>
      <w:bookmarkStart w:id="1" w:name="_GoBack"/>
      <w:bookmarkEnd w:id="1"/>
    </w:p>
    <w:p w14:paraId="6D25B75E" w14:textId="110F4ACD" w:rsidR="004077D5" w:rsidRPr="00D0408A" w:rsidRDefault="003D4A8D" w:rsidP="00457A80">
      <w:pPr>
        <w:rPr>
          <w:rFonts w:hint="cs"/>
          <w:rtl/>
          <w:lang w:bidi="ar-EG"/>
        </w:rPr>
      </w:pPr>
      <w:r>
        <w:rPr>
          <w:rFonts w:hint="cs"/>
          <w:rtl/>
        </w:rPr>
        <w:t xml:space="preserve">تؤيد </w:t>
      </w:r>
      <w:r w:rsidRPr="003D4A8D">
        <w:rPr>
          <w:rFonts w:hint="cs"/>
          <w:rtl/>
          <w:lang w:bidi="ar-SY"/>
        </w:rPr>
        <w:t>بلدان المؤتمر الأوروبي لإدارات البريد والاتصالات</w:t>
      </w:r>
      <w:r>
        <w:rPr>
          <w:rFonts w:hint="cs"/>
          <w:rtl/>
          <w:lang w:bidi="ar-SY"/>
        </w:rPr>
        <w:t xml:space="preserve"> تحديد </w:t>
      </w:r>
      <w:r w:rsidR="00AD748C">
        <w:rPr>
          <w:rFonts w:hint="cs"/>
          <w:rtl/>
          <w:lang w:bidi="ar-SY"/>
        </w:rPr>
        <w:t>نطاق التردد</w:t>
      </w:r>
      <w:r>
        <w:rPr>
          <w:rFonts w:hint="cs"/>
          <w:rtl/>
          <w:lang w:bidi="ar-SY"/>
        </w:rPr>
        <w:t xml:space="preserve"> </w:t>
      </w:r>
      <w:r>
        <w:rPr>
          <w:lang w:val="fr-CH" w:bidi="ar-SY"/>
        </w:rPr>
        <w:t>43,5-40,5</w:t>
      </w:r>
      <w:r>
        <w:rPr>
          <w:rFonts w:hint="cs"/>
          <w:rtl/>
          <w:lang w:bidi="ar-SY"/>
        </w:rPr>
        <w:t xml:space="preserve"> </w:t>
      </w:r>
      <w:r>
        <w:rPr>
          <w:lang w:val="fr-CH" w:bidi="ar-SY"/>
        </w:rPr>
        <w:t>GHz</w:t>
      </w:r>
      <w:r>
        <w:rPr>
          <w:rFonts w:hint="cs"/>
          <w:rtl/>
          <w:lang w:bidi="ar-SY"/>
        </w:rPr>
        <w:t xml:space="preserve"> للاتصالات المتنقلة الدولية على الصعيد العالمي. ولا تعتزم </w:t>
      </w:r>
      <w:r w:rsidRPr="003D4A8D">
        <w:rPr>
          <w:rFonts w:hint="cs"/>
          <w:rtl/>
          <w:lang w:bidi="ar-SY"/>
        </w:rPr>
        <w:t>بلدان المؤتمر الأوروبي لإدارات البريد والاتصالات</w:t>
      </w:r>
      <w:r>
        <w:rPr>
          <w:rFonts w:hint="cs"/>
          <w:rtl/>
          <w:lang w:bidi="ar-SY"/>
        </w:rPr>
        <w:t xml:space="preserve"> استعمال نطاق التردد </w:t>
      </w:r>
      <w:r>
        <w:rPr>
          <w:lang w:val="fr-CH" w:bidi="ar-SY"/>
        </w:rPr>
        <w:t>40</w:t>
      </w:r>
      <w:r w:rsidRPr="003D4A8D">
        <w:rPr>
          <w:lang w:val="fr-CH" w:bidi="ar-SY"/>
        </w:rPr>
        <w:t>,5-</w:t>
      </w:r>
      <w:r>
        <w:rPr>
          <w:lang w:val="fr-CH" w:bidi="ar-SY"/>
        </w:rPr>
        <w:t>37</w:t>
      </w:r>
      <w:r w:rsidRPr="003D4A8D">
        <w:rPr>
          <w:rFonts w:hint="cs"/>
          <w:rtl/>
          <w:lang w:bidi="ar-SY"/>
        </w:rPr>
        <w:t xml:space="preserve"> </w:t>
      </w:r>
      <w:r w:rsidRPr="003D4A8D">
        <w:rPr>
          <w:lang w:val="fr-CH" w:bidi="ar-SY"/>
        </w:rPr>
        <w:t>GHz</w:t>
      </w:r>
      <w:r>
        <w:rPr>
          <w:rFonts w:hint="cs"/>
          <w:rtl/>
          <w:lang w:val="fr-CH" w:bidi="ar-SY"/>
        </w:rPr>
        <w:t xml:space="preserve"> ل</w:t>
      </w:r>
      <w:r>
        <w:rPr>
          <w:rFonts w:hint="cs"/>
          <w:rtl/>
          <w:lang w:bidi="ar-SY"/>
        </w:rPr>
        <w:t xml:space="preserve">لاتصالات المتنقلة الدولية. </w:t>
      </w:r>
      <w:r w:rsidR="00FC4964">
        <w:rPr>
          <w:rFonts w:hint="cs"/>
          <w:rtl/>
          <w:lang w:bidi="ar-SY"/>
        </w:rPr>
        <w:t xml:space="preserve">وتحيط </w:t>
      </w:r>
      <w:r w:rsidR="00FC4964" w:rsidRPr="00FC4964">
        <w:rPr>
          <w:rFonts w:hint="cs"/>
          <w:rtl/>
          <w:lang w:bidi="ar-SY"/>
        </w:rPr>
        <w:t>بلدان المؤتمر الأوروبي لإدارات البريد والاتصالات</w:t>
      </w:r>
      <w:r w:rsidR="00FC4964">
        <w:rPr>
          <w:rFonts w:hint="cs"/>
          <w:rtl/>
          <w:lang w:bidi="ar-SY"/>
        </w:rPr>
        <w:t xml:space="preserve"> علماً بالمقترحات الممكنة المقدمة إلى المؤتمر العالمي للاتصالات الراديوية لعام </w:t>
      </w:r>
      <w:r w:rsidR="00FC4964">
        <w:rPr>
          <w:lang w:val="fr-CH" w:bidi="ar-SY"/>
        </w:rPr>
        <w:t>2019</w:t>
      </w:r>
      <w:r w:rsidR="00FC4964">
        <w:rPr>
          <w:rFonts w:hint="cs"/>
          <w:rtl/>
          <w:lang w:bidi="ar-SY"/>
        </w:rPr>
        <w:t xml:space="preserve"> بشأن تحديد </w:t>
      </w:r>
      <w:r w:rsidR="00457A80">
        <w:rPr>
          <w:rFonts w:hint="cs"/>
          <w:rtl/>
          <w:lang w:bidi="ar-SY"/>
        </w:rPr>
        <w:t>ل</w:t>
      </w:r>
      <w:r w:rsidR="00FC4964">
        <w:rPr>
          <w:rFonts w:hint="cs"/>
          <w:rtl/>
          <w:lang w:bidi="ar-SY"/>
        </w:rPr>
        <w:t xml:space="preserve">لاتصالات المتنقلة الدولية </w:t>
      </w:r>
      <w:r w:rsidR="00457A80">
        <w:rPr>
          <w:rFonts w:hint="cs"/>
          <w:rtl/>
          <w:lang w:bidi="ar-SY"/>
        </w:rPr>
        <w:t>ي</w:t>
      </w:r>
      <w:r w:rsidR="00FC4964">
        <w:rPr>
          <w:rFonts w:hint="cs"/>
          <w:rtl/>
          <w:lang w:bidi="ar-SY"/>
        </w:rPr>
        <w:t xml:space="preserve">تعلق بهذا النطاق، وتؤيد </w:t>
      </w:r>
      <w:r w:rsidR="00457A80">
        <w:rPr>
          <w:rFonts w:hint="cs"/>
          <w:rtl/>
          <w:lang w:bidi="ar-SY"/>
        </w:rPr>
        <w:t>هذه ال</w:t>
      </w:r>
      <w:r w:rsidR="00FC4964" w:rsidRPr="00FC4964">
        <w:rPr>
          <w:rFonts w:hint="cs"/>
          <w:rtl/>
          <w:lang w:bidi="ar-SY"/>
        </w:rPr>
        <w:t xml:space="preserve">بلدان </w:t>
      </w:r>
      <w:r w:rsidR="00FC4964">
        <w:rPr>
          <w:rFonts w:hint="cs"/>
          <w:rtl/>
          <w:lang w:bidi="ar-SY"/>
        </w:rPr>
        <w:t>بشكل عام فكرة التنسيق العالمي.</w:t>
      </w:r>
      <w:r w:rsidR="009C09D2">
        <w:rPr>
          <w:rFonts w:hint="cs"/>
          <w:rtl/>
          <w:lang w:bidi="ar-SY"/>
        </w:rPr>
        <w:t xml:space="preserve"> ولكن ذلك سيتطلب شروطاً معينة </w:t>
      </w:r>
      <w:r w:rsidR="00457A80">
        <w:rPr>
          <w:rFonts w:hint="cs"/>
          <w:rtl/>
          <w:lang w:bidi="ar-SY"/>
        </w:rPr>
        <w:t>ل</w:t>
      </w:r>
      <w:r w:rsidR="009C09D2">
        <w:rPr>
          <w:rFonts w:hint="cs"/>
          <w:rtl/>
          <w:lang w:bidi="ar-SY"/>
        </w:rPr>
        <w:t xml:space="preserve">ضمان حماية الخدمات القائمة في نطاق التردد </w:t>
      </w:r>
      <w:r w:rsidR="009C09D2">
        <w:rPr>
          <w:lang w:val="fr-CH" w:bidi="ar-SY"/>
        </w:rPr>
        <w:t>40,5-37</w:t>
      </w:r>
      <w:r w:rsidR="009C09D2">
        <w:rPr>
          <w:rFonts w:hint="cs"/>
          <w:rtl/>
          <w:lang w:bidi="ar-SY"/>
        </w:rPr>
        <w:t xml:space="preserve"> </w:t>
      </w:r>
      <w:r w:rsidR="009C09D2">
        <w:rPr>
          <w:lang w:val="fr-CH" w:bidi="ar-SY"/>
        </w:rPr>
        <w:t>GHz</w:t>
      </w:r>
      <w:r w:rsidR="009C09D2">
        <w:rPr>
          <w:rFonts w:hint="cs"/>
          <w:rtl/>
          <w:lang w:bidi="ar-SY"/>
        </w:rPr>
        <w:t xml:space="preserve"> وخدمة استكشاف الأرض الساتلية (المنفعلة) في نطاق التردد </w:t>
      </w:r>
      <w:r w:rsidR="009C09D2">
        <w:rPr>
          <w:lang w:val="fr-CH" w:bidi="ar-SY"/>
        </w:rPr>
        <w:t>37-36</w:t>
      </w:r>
      <w:r w:rsidR="009C09D2">
        <w:rPr>
          <w:rFonts w:hint="cs"/>
          <w:rtl/>
          <w:lang w:bidi="ar-SY"/>
        </w:rPr>
        <w:t xml:space="preserve"> </w:t>
      </w:r>
      <w:r w:rsidR="009C09D2">
        <w:rPr>
          <w:lang w:val="fr-CH" w:bidi="ar-SY"/>
        </w:rPr>
        <w:t>GHz</w:t>
      </w:r>
      <w:r w:rsidR="00457A80">
        <w:rPr>
          <w:rFonts w:hint="cs"/>
          <w:rtl/>
          <w:lang w:bidi="ar-SY"/>
        </w:rPr>
        <w:t xml:space="preserve"> بغية </w:t>
      </w:r>
      <w:r w:rsidR="009C09D2">
        <w:rPr>
          <w:rFonts w:hint="cs"/>
          <w:rtl/>
          <w:lang w:bidi="ar-SY"/>
        </w:rPr>
        <w:t>تناول</w:t>
      </w:r>
      <w:r w:rsidR="00457A80">
        <w:rPr>
          <w:rFonts w:hint="cs"/>
          <w:rtl/>
          <w:lang w:bidi="ar-SY"/>
        </w:rPr>
        <w:t>ها</w:t>
      </w:r>
      <w:r w:rsidR="009C09D2">
        <w:rPr>
          <w:rFonts w:hint="cs"/>
          <w:rtl/>
          <w:lang w:bidi="ar-SY"/>
        </w:rPr>
        <w:t xml:space="preserve"> </w:t>
      </w:r>
      <w:r w:rsidR="00457A80" w:rsidRPr="00457A80">
        <w:rPr>
          <w:rFonts w:hint="cs"/>
          <w:rtl/>
          <w:lang w:bidi="ar-SY"/>
        </w:rPr>
        <w:t xml:space="preserve">على نحو جيد </w:t>
      </w:r>
      <w:r w:rsidR="00457A80">
        <w:rPr>
          <w:rFonts w:hint="cs"/>
          <w:rtl/>
          <w:lang w:bidi="ar-SY"/>
        </w:rPr>
        <w:t xml:space="preserve">في </w:t>
      </w:r>
      <w:r w:rsidR="009C09D2">
        <w:rPr>
          <w:rFonts w:hint="cs"/>
          <w:rtl/>
          <w:lang w:bidi="ar-SY"/>
        </w:rPr>
        <w:t xml:space="preserve">لوائح الراديو. </w:t>
      </w:r>
      <w:r w:rsidR="00D0408A">
        <w:rPr>
          <w:rFonts w:hint="cs"/>
          <w:rtl/>
          <w:lang w:bidi="ar-SY"/>
        </w:rPr>
        <w:t xml:space="preserve">ويتعين تطبيق الشروط نفسها التي تقترحها </w:t>
      </w:r>
      <w:r w:rsidR="00D0408A" w:rsidRPr="00D0408A">
        <w:rPr>
          <w:rFonts w:hint="cs"/>
          <w:rtl/>
          <w:lang w:bidi="ar-SY"/>
        </w:rPr>
        <w:t>بلدان المؤتمر الأوروبي لإدارات البريد والاتصالات</w:t>
      </w:r>
      <w:r w:rsidR="00D0408A">
        <w:rPr>
          <w:rFonts w:hint="cs"/>
          <w:rtl/>
          <w:lang w:bidi="ar-SY"/>
        </w:rPr>
        <w:t xml:space="preserve"> في المقترح الأوروبي المشترك بشأن نطاق التردد </w:t>
      </w:r>
      <w:r w:rsidR="00D0408A">
        <w:rPr>
          <w:lang w:val="fr-CH" w:bidi="ar-SY"/>
        </w:rPr>
        <w:t>43,5-40,5</w:t>
      </w:r>
      <w:r w:rsidR="00D0408A">
        <w:rPr>
          <w:rFonts w:hint="cs"/>
          <w:rtl/>
          <w:lang w:bidi="ar-SY"/>
        </w:rPr>
        <w:t xml:space="preserve"> </w:t>
      </w:r>
      <w:r w:rsidR="00D0408A">
        <w:rPr>
          <w:lang w:val="fr-CH" w:bidi="ar-SY"/>
        </w:rPr>
        <w:t>GHz</w:t>
      </w:r>
      <w:r w:rsidR="00D0408A">
        <w:rPr>
          <w:rFonts w:hint="cs"/>
          <w:rtl/>
          <w:lang w:bidi="ar-SY"/>
        </w:rPr>
        <w:t xml:space="preserve"> من أجل ضمان حماية الخدمات القائمة في نطاق التردد </w:t>
      </w:r>
      <w:r w:rsidR="00D0408A">
        <w:rPr>
          <w:lang w:val="fr-CH" w:bidi="ar-SY"/>
        </w:rPr>
        <w:t>40,5-37</w:t>
      </w:r>
      <w:r w:rsidR="00D0408A">
        <w:rPr>
          <w:rFonts w:hint="cs"/>
          <w:rtl/>
          <w:lang w:bidi="ar-SY"/>
        </w:rPr>
        <w:t xml:space="preserve"> </w:t>
      </w:r>
      <w:r w:rsidR="00D0408A">
        <w:rPr>
          <w:lang w:val="fr-CH" w:bidi="ar-SY"/>
        </w:rPr>
        <w:t>GHz</w:t>
      </w:r>
      <w:r w:rsidR="00D0408A">
        <w:rPr>
          <w:rFonts w:hint="cs"/>
          <w:rtl/>
          <w:lang w:bidi="ar-SY"/>
        </w:rPr>
        <w:t>.</w:t>
      </w:r>
    </w:p>
    <w:p w14:paraId="25E34BF6" w14:textId="381EE4A6" w:rsidR="004077D5" w:rsidRPr="004077D5" w:rsidRDefault="00964360" w:rsidP="000373E4">
      <w:r>
        <w:rPr>
          <w:rFonts w:hint="cs"/>
          <w:rtl/>
        </w:rPr>
        <w:t xml:space="preserve">ويمكن لوضع تحديد للاتصالات المتنقلة الدولية على الصعيد العالمي بمدى كامل </w:t>
      </w:r>
      <w:r w:rsidR="000C0092">
        <w:t>(</w:t>
      </w:r>
      <w:r w:rsidR="000C0092">
        <w:rPr>
          <w:lang w:val="fr-CH"/>
        </w:rPr>
        <w:t>GHz </w:t>
      </w:r>
      <w:r>
        <w:rPr>
          <w:lang w:val="fr-CH"/>
        </w:rPr>
        <w:t>43,5-37</w:t>
      </w:r>
      <w:r w:rsidR="000C0092">
        <w:rPr>
          <w:lang w:val="fr-CH"/>
        </w:rPr>
        <w:t>)</w:t>
      </w:r>
      <w:r>
        <w:rPr>
          <w:rFonts w:hint="cs"/>
          <w:rtl/>
        </w:rPr>
        <w:t xml:space="preserve"> أن يصعب استعمال هذ</w:t>
      </w:r>
      <w:r w:rsidR="001D7476">
        <w:rPr>
          <w:rFonts w:hint="cs"/>
          <w:rtl/>
        </w:rPr>
        <w:t>ا</w:t>
      </w:r>
      <w:r>
        <w:rPr>
          <w:rFonts w:hint="cs"/>
          <w:rtl/>
        </w:rPr>
        <w:t xml:space="preserve"> النطاق في الخدمة الثابتة الساتلية بسبب الاستعمال الإقليمي</w:t>
      </w:r>
      <w:r w:rsidR="00547A3E">
        <w:rPr>
          <w:rFonts w:hint="cs"/>
          <w:rtl/>
        </w:rPr>
        <w:t xml:space="preserve"> الممكن</w:t>
      </w:r>
      <w:r>
        <w:rPr>
          <w:rFonts w:hint="cs"/>
          <w:rtl/>
        </w:rPr>
        <w:t xml:space="preserve"> </w:t>
      </w:r>
      <w:r w:rsidR="001D7476">
        <w:rPr>
          <w:rFonts w:hint="cs"/>
          <w:rtl/>
        </w:rPr>
        <w:t>المجزئ</w:t>
      </w:r>
      <w:r w:rsidR="00547A3E">
        <w:rPr>
          <w:rFonts w:hint="cs"/>
          <w:rtl/>
        </w:rPr>
        <w:t xml:space="preserve"> </w:t>
      </w:r>
      <w:r>
        <w:rPr>
          <w:rFonts w:hint="cs"/>
          <w:rtl/>
        </w:rPr>
        <w:t>لنطاق التردد هذا من أجل الاتصالات المتنقلة الدولية.</w:t>
      </w:r>
      <w:r w:rsidR="00737A17">
        <w:rPr>
          <w:rFonts w:hint="cs"/>
          <w:rtl/>
        </w:rPr>
        <w:t xml:space="preserve"> </w:t>
      </w:r>
      <w:r w:rsidR="000373E4">
        <w:rPr>
          <w:rFonts w:hint="cs"/>
          <w:rtl/>
        </w:rPr>
        <w:t>وقد</w:t>
      </w:r>
      <w:r w:rsidR="00D832CD">
        <w:rPr>
          <w:rFonts w:hint="eastAsia"/>
          <w:rtl/>
        </w:rPr>
        <w:t> </w:t>
      </w:r>
      <w:r w:rsidR="000373E4">
        <w:rPr>
          <w:rFonts w:hint="cs"/>
          <w:rtl/>
        </w:rPr>
        <w:t xml:space="preserve">يضطر المؤتمر العالمي للاتصالات الراديوية لعام </w:t>
      </w:r>
      <w:r w:rsidR="000373E4">
        <w:rPr>
          <w:lang w:val="fr-CH"/>
        </w:rPr>
        <w:t>2019</w:t>
      </w:r>
      <w:r w:rsidR="000373E4">
        <w:rPr>
          <w:rFonts w:hint="cs"/>
          <w:rtl/>
          <w:lang w:bidi="ar-SY"/>
        </w:rPr>
        <w:t xml:space="preserve"> أن ينظر في هذه المسألة.</w:t>
      </w:r>
    </w:p>
    <w:p w14:paraId="2C4A3BA9" w14:textId="77777777" w:rsidR="0012545F" w:rsidRPr="000C0092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lang w:val="en-GB"/>
        </w:rPr>
      </w:pPr>
      <w:r>
        <w:rPr>
          <w:rtl/>
        </w:rPr>
        <w:br w:type="page"/>
      </w:r>
    </w:p>
    <w:p w14:paraId="0479C0BD" w14:textId="77777777" w:rsidR="007434E5" w:rsidRDefault="00A3102F">
      <w:pPr>
        <w:pStyle w:val="Proposal"/>
      </w:pPr>
      <w:r>
        <w:lastRenderedPageBreak/>
        <w:tab/>
        <w:t>EUR/16A13A3/1</w:t>
      </w:r>
    </w:p>
    <w:p w14:paraId="40174EEA" w14:textId="2F5408BC" w:rsidR="004077D5" w:rsidRPr="005162D9" w:rsidRDefault="005C576C" w:rsidP="005162D9">
      <w:pPr>
        <w:rPr>
          <w:rtl/>
          <w:lang w:bidi="ar-SY"/>
        </w:rPr>
      </w:pPr>
      <w:r>
        <w:rPr>
          <w:rFonts w:hint="cs"/>
          <w:rtl/>
        </w:rPr>
        <w:t xml:space="preserve">تدعو الحاجة إلى تناول حماية خدمة استكشاف الأرض الساتلية </w:t>
      </w:r>
      <w:r w:rsidR="0006711B">
        <w:rPr>
          <w:rFonts w:hint="cs"/>
          <w:rtl/>
        </w:rPr>
        <w:t>(</w:t>
      </w:r>
      <w:r w:rsidR="009B7EDF">
        <w:rPr>
          <w:rFonts w:hint="cs"/>
          <w:rtl/>
        </w:rPr>
        <w:t>المنفعلة</w:t>
      </w:r>
      <w:r w:rsidR="0006711B">
        <w:rPr>
          <w:rFonts w:hint="cs"/>
          <w:rtl/>
        </w:rPr>
        <w:t xml:space="preserve">) </w:t>
      </w:r>
      <w:r>
        <w:rPr>
          <w:rFonts w:hint="cs"/>
          <w:rtl/>
        </w:rPr>
        <w:t xml:space="preserve">في نطاق التردد </w:t>
      </w:r>
      <w:r>
        <w:rPr>
          <w:lang w:val="fr-CH"/>
        </w:rPr>
        <w:t>37-36</w:t>
      </w:r>
      <w:r>
        <w:rPr>
          <w:rFonts w:hint="cs"/>
          <w:rtl/>
          <w:lang w:bidi="ar-SY"/>
        </w:rPr>
        <w:t xml:space="preserve"> </w:t>
      </w:r>
      <w:r>
        <w:rPr>
          <w:lang w:bidi="ar-SY"/>
        </w:rPr>
        <w:t>GHz</w:t>
      </w:r>
      <w:r>
        <w:rPr>
          <w:rFonts w:hint="cs"/>
          <w:rtl/>
          <w:lang w:bidi="ar-SY"/>
        </w:rPr>
        <w:t xml:space="preserve"> على نحو جيد في لوائح الراديو</w:t>
      </w:r>
      <w:r w:rsidR="00D832CD">
        <w:rPr>
          <w:rFonts w:hint="eastAsia"/>
          <w:rtl/>
          <w:lang w:bidi="ar-SY"/>
        </w:rPr>
        <w:t> </w:t>
      </w:r>
      <w:r>
        <w:rPr>
          <w:lang w:bidi="ar-SY"/>
        </w:rPr>
        <w:t>(RR)</w:t>
      </w:r>
      <w:r w:rsidR="001D3A54">
        <w:rPr>
          <w:rFonts w:hint="cs"/>
          <w:rtl/>
          <w:lang w:bidi="ar-SY"/>
        </w:rPr>
        <w:t xml:space="preserve">، عن طريق إدراج </w:t>
      </w:r>
      <w:r w:rsidR="000F32F9">
        <w:rPr>
          <w:rFonts w:hint="cs"/>
          <w:rtl/>
          <w:lang w:bidi="ar-SY"/>
        </w:rPr>
        <w:t xml:space="preserve">الحدود الإلزامية للبث غير المطلوب للاتصالات المتنقلة الدولية. </w:t>
      </w:r>
      <w:r w:rsidR="005162D9">
        <w:rPr>
          <w:rFonts w:hint="cs"/>
          <w:rtl/>
          <w:lang w:bidi="ar-SY"/>
        </w:rPr>
        <w:t xml:space="preserve">وبما أن الرقم </w:t>
      </w:r>
      <w:r w:rsidR="005162D9" w:rsidRPr="005162D9">
        <w:rPr>
          <w:b/>
          <w:bCs/>
          <w:lang w:val="fr-CH" w:bidi="ar-SY"/>
        </w:rPr>
        <w:t>340.5</w:t>
      </w:r>
      <w:r w:rsidR="005162D9">
        <w:rPr>
          <w:rFonts w:hint="cs"/>
          <w:rtl/>
          <w:lang w:bidi="ar-SY"/>
        </w:rPr>
        <w:t xml:space="preserve"> من لوائح الراديو لا يشمل نطاق التردد </w:t>
      </w:r>
      <w:r w:rsidR="005162D9">
        <w:rPr>
          <w:lang w:val="fr-CH" w:bidi="ar-SY"/>
        </w:rPr>
        <w:t>37-36</w:t>
      </w:r>
      <w:r w:rsidR="005162D9">
        <w:rPr>
          <w:rFonts w:hint="cs"/>
          <w:rtl/>
          <w:lang w:bidi="ar-SY"/>
        </w:rPr>
        <w:t xml:space="preserve"> </w:t>
      </w:r>
      <w:r w:rsidR="005162D9">
        <w:rPr>
          <w:lang w:val="fr-CH" w:bidi="ar-SY"/>
        </w:rPr>
        <w:t>GHz</w:t>
      </w:r>
      <w:r w:rsidR="005162D9">
        <w:rPr>
          <w:rFonts w:hint="cs"/>
          <w:rtl/>
          <w:lang w:bidi="ar-SY"/>
        </w:rPr>
        <w:t xml:space="preserve">، لأنه نطاق تتقاسمه الخدمات النشيطة، ينبغي ألا تُدرج حدود البث غير المطلوب للاتصالات المتنقلة الدولية لحماية نطاق التردد </w:t>
      </w:r>
      <w:r w:rsidR="005162D9">
        <w:rPr>
          <w:lang w:val="fr-CH" w:bidi="ar-SY"/>
        </w:rPr>
        <w:t>37-36</w:t>
      </w:r>
      <w:r w:rsidR="005162D9">
        <w:rPr>
          <w:rFonts w:hint="cs"/>
          <w:rtl/>
          <w:lang w:bidi="ar-SY"/>
        </w:rPr>
        <w:t xml:space="preserve"> </w:t>
      </w:r>
      <w:r w:rsidR="005162D9">
        <w:rPr>
          <w:lang w:val="fr-CH" w:bidi="ar-SY"/>
        </w:rPr>
        <w:t>GHz</w:t>
      </w:r>
      <w:r w:rsidR="005162D9">
        <w:rPr>
          <w:rFonts w:hint="cs"/>
          <w:rtl/>
          <w:lang w:bidi="ar-SY"/>
        </w:rPr>
        <w:t xml:space="preserve"> في مراجعة القرار </w:t>
      </w:r>
      <w:r w:rsidR="005162D9" w:rsidRPr="005162D9">
        <w:rPr>
          <w:b/>
          <w:lang w:val="en-GB" w:bidi="ar-SY"/>
        </w:rPr>
        <w:t>750</w:t>
      </w:r>
      <w:r w:rsidR="005162D9" w:rsidRPr="005162D9">
        <w:rPr>
          <w:lang w:val="en-GB" w:bidi="ar-SY"/>
        </w:rPr>
        <w:t xml:space="preserve"> </w:t>
      </w:r>
      <w:r w:rsidR="005162D9" w:rsidRPr="005162D9">
        <w:rPr>
          <w:b/>
          <w:lang w:val="en-GB" w:bidi="ar-SY"/>
        </w:rPr>
        <w:t>(Rev. WRC-15)</w:t>
      </w:r>
      <w:r w:rsidR="005162D9">
        <w:rPr>
          <w:rFonts w:hint="cs"/>
          <w:rtl/>
          <w:lang w:bidi="ar-SY"/>
        </w:rPr>
        <w:t xml:space="preserve">، ولكن ينبغي أن </w:t>
      </w:r>
      <w:r w:rsidR="009B7EDF">
        <w:rPr>
          <w:rFonts w:hint="cs"/>
          <w:rtl/>
          <w:lang w:bidi="ar-SY"/>
        </w:rPr>
        <w:t>تُ</w:t>
      </w:r>
      <w:r w:rsidR="005162D9">
        <w:rPr>
          <w:rFonts w:hint="cs"/>
          <w:rtl/>
          <w:lang w:bidi="ar-SY"/>
        </w:rPr>
        <w:t xml:space="preserve">درج </w:t>
      </w:r>
      <w:r w:rsidR="009B7EDF">
        <w:rPr>
          <w:rFonts w:hint="cs"/>
          <w:rtl/>
          <w:lang w:bidi="ar-SY"/>
        </w:rPr>
        <w:t xml:space="preserve">في </w:t>
      </w:r>
      <w:r w:rsidR="005162D9">
        <w:rPr>
          <w:rFonts w:hint="cs"/>
          <w:rtl/>
          <w:lang w:bidi="ar-SY"/>
        </w:rPr>
        <w:t xml:space="preserve">مشروع القرار الجديد المتعلق بالاتصالات المتنقلة الدولية في المدى </w:t>
      </w:r>
      <w:r w:rsidR="005162D9">
        <w:rPr>
          <w:lang w:val="fr-CH" w:bidi="ar-SY"/>
        </w:rPr>
        <w:t>40</w:t>
      </w:r>
      <w:r w:rsidR="005162D9">
        <w:rPr>
          <w:rFonts w:hint="cs"/>
          <w:rtl/>
          <w:lang w:bidi="ar-SY"/>
        </w:rPr>
        <w:t xml:space="preserve"> </w:t>
      </w:r>
      <w:r w:rsidR="005162D9">
        <w:rPr>
          <w:lang w:val="fr-CH" w:bidi="ar-SY"/>
        </w:rPr>
        <w:t>GHz</w:t>
      </w:r>
      <w:r w:rsidR="005162D9">
        <w:rPr>
          <w:rFonts w:hint="cs"/>
          <w:rtl/>
          <w:lang w:bidi="ar-SY"/>
        </w:rPr>
        <w:t>.</w:t>
      </w:r>
    </w:p>
    <w:p w14:paraId="2E5689B4" w14:textId="18EE0CEC" w:rsidR="000373E4" w:rsidRPr="000C0092" w:rsidRDefault="009E76D5" w:rsidP="00421A2D">
      <w:pPr>
        <w:rPr>
          <w:rtl/>
          <w:lang w:bidi="ar-SY"/>
        </w:rPr>
      </w:pPr>
      <w:r w:rsidRPr="000C0092">
        <w:rPr>
          <w:rFonts w:hint="cs"/>
          <w:spacing w:val="-2"/>
          <w:rtl/>
        </w:rPr>
        <w:t xml:space="preserve">ومن أجل ضمان حماية خدمة الأبحاث الفضائية (أرض-فضاء) وخدمة الأبحاث الفضائية (فضاء-أرض) وخدمة استكشاف الأرض الساتلية (أرض-فضاء) في نطاق التردد </w:t>
      </w:r>
      <w:r w:rsidR="00417FE9" w:rsidRPr="000C0092">
        <w:rPr>
          <w:spacing w:val="-2"/>
        </w:rPr>
        <w:t>40,5-</w:t>
      </w:r>
      <w:r w:rsidRPr="000C0092">
        <w:rPr>
          <w:spacing w:val="-2"/>
          <w:lang w:val="fr-CH"/>
        </w:rPr>
        <w:t>37</w:t>
      </w:r>
      <w:r w:rsidRPr="000C0092">
        <w:rPr>
          <w:rFonts w:hint="cs"/>
          <w:spacing w:val="-2"/>
          <w:rtl/>
          <w:lang w:bidi="ar-SY"/>
        </w:rPr>
        <w:t xml:space="preserve"> </w:t>
      </w:r>
      <w:r w:rsidRPr="000C0092">
        <w:rPr>
          <w:spacing w:val="-2"/>
          <w:lang w:val="fr-CH" w:bidi="ar-SY"/>
        </w:rPr>
        <w:t>GHz</w:t>
      </w:r>
      <w:r w:rsidR="00417FE9" w:rsidRPr="000C0092">
        <w:rPr>
          <w:rFonts w:hint="cs"/>
          <w:spacing w:val="-2"/>
          <w:rtl/>
          <w:lang w:val="fr-CH" w:bidi="ar-SY"/>
        </w:rPr>
        <w:t xml:space="preserve"> وخدمة </w:t>
      </w:r>
      <w:r w:rsidR="00421A2D" w:rsidRPr="000C0092">
        <w:rPr>
          <w:rFonts w:hint="cs"/>
          <w:spacing w:val="-2"/>
          <w:rtl/>
          <w:lang w:val="fr-CH"/>
        </w:rPr>
        <w:t>استكشاف الأرض الساتلية (المنفعلة) في نطاق التردد</w:t>
      </w:r>
      <w:r w:rsidR="000C0092" w:rsidRPr="000C0092">
        <w:rPr>
          <w:rFonts w:hint="eastAsia"/>
          <w:spacing w:val="-2"/>
          <w:rtl/>
          <w:lang w:val="fr-CH"/>
        </w:rPr>
        <w:t> </w:t>
      </w:r>
      <w:r w:rsidR="000C0092" w:rsidRPr="000C0092">
        <w:rPr>
          <w:spacing w:val="-2"/>
          <w:lang w:val="fr-CH"/>
        </w:rPr>
        <w:t>GHz </w:t>
      </w:r>
      <w:r w:rsidR="00421A2D" w:rsidRPr="000C0092">
        <w:rPr>
          <w:spacing w:val="-2"/>
          <w:lang w:val="fr-CH"/>
        </w:rPr>
        <w:t>37</w:t>
      </w:r>
      <w:r w:rsidR="000C0092" w:rsidRPr="000C0092">
        <w:rPr>
          <w:spacing w:val="-2"/>
          <w:lang w:val="fr-CH"/>
        </w:rPr>
        <w:noBreakHyphen/>
      </w:r>
      <w:r w:rsidR="00421A2D" w:rsidRPr="000C0092">
        <w:rPr>
          <w:spacing w:val="-2"/>
          <w:lang w:val="fr-CH"/>
        </w:rPr>
        <w:t>36</w:t>
      </w:r>
      <w:r w:rsidRPr="000C0092">
        <w:rPr>
          <w:rFonts w:hint="cs"/>
          <w:spacing w:val="-2"/>
          <w:rtl/>
          <w:lang w:bidi="ar-SY"/>
        </w:rPr>
        <w:t xml:space="preserve">، </w:t>
      </w:r>
      <w:r w:rsidRPr="000C0092">
        <w:rPr>
          <w:rFonts w:hint="cs"/>
          <w:rtl/>
        </w:rPr>
        <w:t xml:space="preserve">سيلزم إدراج النص التالي في القرار الجديد بشأن نطاق التردد </w:t>
      </w:r>
      <w:r w:rsidRPr="000C0092">
        <w:t>43,5-37</w:t>
      </w:r>
      <w:r w:rsidRPr="000C0092">
        <w:rPr>
          <w:rFonts w:hint="cs"/>
          <w:rtl/>
        </w:rPr>
        <w:t xml:space="preserve"> </w:t>
      </w:r>
      <w:r w:rsidRPr="000C0092">
        <w:t>GHz</w:t>
      </w:r>
      <w:r w:rsidRPr="000C0092">
        <w:rPr>
          <w:rFonts w:hint="cs"/>
          <w:rtl/>
        </w:rPr>
        <w:t>:</w:t>
      </w:r>
    </w:p>
    <w:p w14:paraId="1AAD0BD5" w14:textId="01360B31" w:rsidR="004077D5" w:rsidRPr="006F1D66" w:rsidRDefault="004077D5" w:rsidP="004077D5">
      <w:pPr>
        <w:pStyle w:val="enumlev1"/>
        <w:rPr>
          <w:rtl/>
          <w:lang w:bidi="ar-SY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6F1D66" w:rsidRPr="006F1D66">
        <w:rPr>
          <w:rFonts w:hint="cs"/>
          <w:i/>
          <w:iCs/>
          <w:rtl/>
          <w:lang w:bidi="ar-EG"/>
        </w:rPr>
        <w:t>يقرر</w:t>
      </w:r>
      <w:r w:rsidR="006F1D66">
        <w:rPr>
          <w:rFonts w:hint="cs"/>
          <w:rtl/>
          <w:lang w:bidi="ar-EG"/>
        </w:rPr>
        <w:t xml:space="preserve"> أنه بغية حماية خدمة استكشاف الأرض الساتلية (المنفعلة) في نطاق التردد </w:t>
      </w:r>
      <w:r w:rsidR="006F1D66">
        <w:rPr>
          <w:lang w:val="fr-CH" w:bidi="ar-EG"/>
        </w:rPr>
        <w:t>37-36</w:t>
      </w:r>
      <w:r w:rsidR="006F1D66">
        <w:rPr>
          <w:rFonts w:hint="cs"/>
          <w:rtl/>
          <w:lang w:bidi="ar-SY"/>
        </w:rPr>
        <w:t xml:space="preserve"> </w:t>
      </w:r>
      <w:r w:rsidR="006F1D66">
        <w:rPr>
          <w:lang w:val="fr-CH" w:bidi="ar-SY"/>
        </w:rPr>
        <w:t>GHz</w:t>
      </w:r>
      <w:r w:rsidR="006F1D66">
        <w:rPr>
          <w:rFonts w:hint="cs"/>
          <w:rtl/>
          <w:lang w:bidi="ar-EG"/>
        </w:rPr>
        <w:t xml:space="preserve">، يجب ألا يتجاوز البث غير المطلوب لمحطات الاتصالات المتنقلة الدولية الموضوعة في الخدمة في نطاق التردد </w:t>
      </w:r>
      <w:r w:rsidR="006F1D66">
        <w:rPr>
          <w:lang w:val="fr-CH" w:bidi="ar-EG"/>
        </w:rPr>
        <w:t>40,5-37</w:t>
      </w:r>
      <w:r w:rsidR="006F1D66">
        <w:rPr>
          <w:rFonts w:hint="cs"/>
          <w:rtl/>
          <w:lang w:bidi="ar-SY"/>
        </w:rPr>
        <w:t xml:space="preserve"> </w:t>
      </w:r>
      <w:r w:rsidR="006F1D66">
        <w:rPr>
          <w:lang w:val="fr-CH" w:bidi="ar-SY"/>
        </w:rPr>
        <w:t>GHz</w:t>
      </w:r>
      <w:r w:rsidR="006F1D66">
        <w:rPr>
          <w:rFonts w:hint="cs"/>
          <w:rtl/>
          <w:lang w:bidi="ar-SY"/>
        </w:rPr>
        <w:t xml:space="preserve"> الحدود </w:t>
      </w:r>
      <w:r w:rsidR="00DA185F">
        <w:rPr>
          <w:rFonts w:hint="cs"/>
          <w:rtl/>
          <w:lang w:bidi="ar-SY"/>
        </w:rPr>
        <w:t>المبينة</w:t>
      </w:r>
      <w:r w:rsidR="006F1D66">
        <w:rPr>
          <w:rFonts w:hint="cs"/>
          <w:rtl/>
          <w:lang w:bidi="ar-SY"/>
        </w:rPr>
        <w:t xml:space="preserve"> </w:t>
      </w:r>
      <w:r w:rsidR="00A74F65">
        <w:rPr>
          <w:rFonts w:hint="cs"/>
          <w:rtl/>
          <w:lang w:bidi="ar-SY"/>
        </w:rPr>
        <w:t xml:space="preserve">في </w:t>
      </w:r>
      <w:r w:rsidR="006F1D66">
        <w:rPr>
          <w:rFonts w:hint="cs"/>
          <w:rtl/>
          <w:lang w:bidi="ar-SY"/>
        </w:rPr>
        <w:t xml:space="preserve">الجدول </w:t>
      </w:r>
      <w:r w:rsidR="00A74F65">
        <w:rPr>
          <w:lang w:val="fr-CH" w:bidi="ar-SY"/>
        </w:rPr>
        <w:t>1</w:t>
      </w:r>
      <w:r w:rsidR="00A74F65">
        <w:rPr>
          <w:rFonts w:hint="cs"/>
          <w:rtl/>
          <w:lang w:bidi="ar-SY"/>
        </w:rPr>
        <w:t xml:space="preserve"> </w:t>
      </w:r>
      <w:r w:rsidR="006F1D66">
        <w:rPr>
          <w:rFonts w:hint="cs"/>
          <w:rtl/>
          <w:lang w:bidi="ar-SY"/>
        </w:rPr>
        <w:t>أدناه:</w:t>
      </w:r>
    </w:p>
    <w:p w14:paraId="30A7C5A0" w14:textId="17AF3F59" w:rsidR="00252B6F" w:rsidRPr="0002281C" w:rsidRDefault="00252B6F" w:rsidP="000C0092">
      <w:pPr>
        <w:pStyle w:val="TableNo"/>
        <w:rPr>
          <w:lang w:eastAsia="ja-JP"/>
        </w:rPr>
      </w:pPr>
      <w:r>
        <w:rPr>
          <w:rFonts w:hint="cs"/>
          <w:rtl/>
        </w:rPr>
        <w:t xml:space="preserve">الجدول </w:t>
      </w:r>
      <w:r>
        <w:t>1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222"/>
        <w:gridCol w:w="1873"/>
        <w:gridCol w:w="4814"/>
      </w:tblGrid>
      <w:tr w:rsidR="00252B6F" w14:paraId="45AA2622" w14:textId="77777777" w:rsidTr="000C0092">
        <w:tc>
          <w:tcPr>
            <w:tcW w:w="2222" w:type="dxa"/>
            <w:vAlign w:val="center"/>
          </w:tcPr>
          <w:p w14:paraId="2F556231" w14:textId="68AA993E" w:rsidR="00252B6F" w:rsidRPr="00C75358" w:rsidRDefault="000C142E" w:rsidP="000C0092">
            <w:pPr>
              <w:pStyle w:val="Tablehead"/>
              <w:spacing w:line="280" w:lineRule="exact"/>
            </w:pPr>
            <w:r w:rsidRPr="004763BC">
              <w:rPr>
                <w:rFonts w:hint="cs"/>
                <w:rtl/>
              </w:rPr>
              <w:t xml:space="preserve">النطاق الموزع لخدمة استكشاف الأرض الساتلية </w:t>
            </w:r>
            <w:r w:rsidRPr="004763BC">
              <w:t>(EESS)</w:t>
            </w:r>
            <w:r w:rsidRPr="004763BC">
              <w:rPr>
                <w:rFonts w:hint="cs"/>
                <w:rtl/>
              </w:rPr>
              <w:t xml:space="preserve"> (المنفعلة)</w:t>
            </w:r>
          </w:p>
        </w:tc>
        <w:tc>
          <w:tcPr>
            <w:tcW w:w="1873" w:type="dxa"/>
            <w:vAlign w:val="center"/>
          </w:tcPr>
          <w:p w14:paraId="79A4CE2F" w14:textId="69411A7B" w:rsidR="00252B6F" w:rsidRPr="00BC0B9E" w:rsidRDefault="00BC0B9E" w:rsidP="000C0092">
            <w:pPr>
              <w:pStyle w:val="Tablehead"/>
              <w:spacing w:line="280" w:lineRule="exact"/>
            </w:pPr>
            <w:r w:rsidRPr="00BC0B9E">
              <w:rPr>
                <w:rFonts w:hint="cs"/>
                <w:rtl/>
              </w:rPr>
              <w:t>نطاق الاتصالات المتنقلة الدولية</w:t>
            </w:r>
          </w:p>
        </w:tc>
        <w:tc>
          <w:tcPr>
            <w:tcW w:w="4814" w:type="dxa"/>
          </w:tcPr>
          <w:p w14:paraId="6DCBFCB2" w14:textId="1B794BF2" w:rsidR="00252B6F" w:rsidRPr="00BC0B9E" w:rsidRDefault="000C142E" w:rsidP="000C0092">
            <w:pPr>
              <w:pStyle w:val="Tablehead"/>
              <w:spacing w:line="280" w:lineRule="exact"/>
              <w:rPr>
                <w:spacing w:val="-6"/>
              </w:rPr>
            </w:pPr>
            <w:r w:rsidRPr="00BC0B9E">
              <w:rPr>
                <w:rFonts w:hint="cs"/>
                <w:spacing w:val="-6"/>
                <w:rtl/>
              </w:rPr>
              <w:t xml:space="preserve">حدود </w:t>
            </w:r>
            <w:r w:rsidR="00C444A9">
              <w:rPr>
                <w:rFonts w:hint="cs"/>
                <w:spacing w:val="-6"/>
                <w:rtl/>
              </w:rPr>
              <w:t xml:space="preserve">القدرة المشعة الإجمالية </w:t>
            </w:r>
            <w:r w:rsidR="00C444A9">
              <w:rPr>
                <w:spacing w:val="-6"/>
              </w:rPr>
              <w:t>(TRP)</w:t>
            </w:r>
            <w:r w:rsidR="00C444A9">
              <w:rPr>
                <w:rFonts w:hint="cs"/>
                <w:spacing w:val="-6"/>
                <w:rtl/>
                <w:lang w:bidi="ar-SY"/>
              </w:rPr>
              <w:t xml:space="preserve"> </w:t>
            </w:r>
            <w:r w:rsidR="00307BD9" w:rsidRPr="00307BD9">
              <w:rPr>
                <w:rFonts w:hint="cs"/>
                <w:spacing w:val="-6"/>
                <w:rtl/>
                <w:lang w:bidi="ar-SA"/>
              </w:rPr>
              <w:t xml:space="preserve">للبث غير المطلوب </w:t>
            </w:r>
            <w:r w:rsidR="00C444A9">
              <w:rPr>
                <w:rFonts w:hint="cs"/>
                <w:spacing w:val="-6"/>
                <w:rtl/>
                <w:lang w:bidi="ar-SY"/>
              </w:rPr>
              <w:t>الصادر عن محطات الاتصالات المتنقلة الدولية</w:t>
            </w:r>
            <w:r w:rsidR="00C444A9">
              <w:rPr>
                <w:spacing w:val="-6"/>
                <w:lang w:val="fr-CH" w:bidi="ar-SY"/>
              </w:rPr>
              <w:t>2020-</w:t>
            </w:r>
            <w:r w:rsidR="00C444A9">
              <w:rPr>
                <w:rFonts w:hint="cs"/>
                <w:spacing w:val="-6"/>
                <w:rtl/>
                <w:lang w:bidi="ar-SY"/>
              </w:rPr>
              <w:t xml:space="preserve"> </w:t>
            </w:r>
            <w:r w:rsidRPr="00BC0B9E">
              <w:rPr>
                <w:spacing w:val="-6"/>
                <w:rtl/>
              </w:rPr>
              <w:br/>
            </w:r>
            <w:r w:rsidRPr="00BC0B9E">
              <w:rPr>
                <w:rFonts w:hint="cs"/>
                <w:spacing w:val="-6"/>
                <w:rtl/>
              </w:rPr>
              <w:t>في عرض نطاق محدد لخدمة استكشاف الأرض الساتلية (المنفعلة)</w:t>
            </w:r>
            <w:r w:rsidRPr="00BC0B9E">
              <w:rPr>
                <w:spacing w:val="-6"/>
                <w:sz w:val="22"/>
                <w:szCs w:val="22"/>
                <w:vertAlign w:val="superscript"/>
              </w:rPr>
              <w:t xml:space="preserve"> 1</w:t>
            </w:r>
          </w:p>
        </w:tc>
      </w:tr>
      <w:tr w:rsidR="00252B6F" w14:paraId="62280BE4" w14:textId="77777777" w:rsidTr="000C0092">
        <w:tc>
          <w:tcPr>
            <w:tcW w:w="2222" w:type="dxa"/>
            <w:tcBorders>
              <w:bottom w:val="single" w:sz="4" w:space="0" w:color="auto"/>
            </w:tcBorders>
            <w:vAlign w:val="center"/>
          </w:tcPr>
          <w:p w14:paraId="2B85CEBA" w14:textId="0BA98FB9" w:rsidR="00252B6F" w:rsidRPr="00C75358" w:rsidRDefault="00252B6F" w:rsidP="000C0092">
            <w:pPr>
              <w:pStyle w:val="Tabletext"/>
              <w:spacing w:line="280" w:lineRule="exact"/>
              <w:jc w:val="center"/>
            </w:pPr>
            <w:r>
              <w:t>GHz 37-36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14:paraId="47589062" w14:textId="046AFB64" w:rsidR="00252B6F" w:rsidRPr="00C75358" w:rsidRDefault="00252B6F" w:rsidP="000C0092">
            <w:pPr>
              <w:pStyle w:val="Tabletext"/>
              <w:spacing w:line="280" w:lineRule="exact"/>
              <w:jc w:val="center"/>
            </w:pPr>
            <w:r>
              <w:t>GHz 40,5-37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63039508" w14:textId="77777777" w:rsidR="000C0092" w:rsidRDefault="000C0092" w:rsidP="000C0092">
            <w:pPr>
              <w:pStyle w:val="Tabletext"/>
              <w:spacing w:line="280" w:lineRule="exact"/>
              <w:jc w:val="left"/>
              <w:rPr>
                <w:rtl/>
                <w:lang w:bidi="ar-SY"/>
              </w:rPr>
            </w:pPr>
            <w:r w:rsidRPr="000C0092">
              <w:t>dB(W/100 MHz)</w:t>
            </w:r>
            <w:r w:rsidR="000C142E" w:rsidRPr="004763BC">
              <w:t> </w:t>
            </w:r>
            <w:r w:rsidR="000C142E">
              <w:t>33</w:t>
            </w:r>
            <w:r w:rsidR="000C142E" w:rsidRPr="004763BC">
              <w:sym w:font="Symbol" w:char="F02D"/>
            </w:r>
            <w:r w:rsidR="001D7809">
              <w:rPr>
                <w:rFonts w:hint="cs"/>
                <w:rtl/>
                <w:lang w:bidi="ar-SY"/>
              </w:rPr>
              <w:t xml:space="preserve"> للمحطات القاعدة</w:t>
            </w:r>
          </w:p>
          <w:p w14:paraId="2BA7DF23" w14:textId="64D79A0B" w:rsidR="00252B6F" w:rsidRDefault="001D7809" w:rsidP="000C0092">
            <w:pPr>
              <w:pStyle w:val="Tabletext"/>
              <w:spacing w:line="280" w:lineRule="exact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و</w:t>
            </w:r>
            <w:r w:rsidR="000C0092" w:rsidRPr="000C0092">
              <w:t>dB(W/100 MHz)</w:t>
            </w:r>
            <w:r w:rsidR="000C0092">
              <w:t xml:space="preserve"> </w:t>
            </w:r>
            <w:r w:rsidRPr="001D7809">
              <w:t>3</w:t>
            </w:r>
            <w:r w:rsidR="000C0092">
              <w:t>2</w:t>
            </w:r>
            <w:r w:rsidRPr="001D7809">
              <w:sym w:font="Symbol" w:char="F02D"/>
            </w:r>
            <w:r w:rsidRPr="001D7809">
              <w:rPr>
                <w:rFonts w:hint="cs"/>
                <w:rtl/>
                <w:lang w:bidi="ar-SY"/>
              </w:rPr>
              <w:t xml:space="preserve"> </w:t>
            </w:r>
            <w:r>
              <w:rPr>
                <w:rFonts w:hint="cs"/>
                <w:rtl/>
                <w:lang w:bidi="ar-SY"/>
              </w:rPr>
              <w:t>لمعدات المستعمل</w:t>
            </w:r>
          </w:p>
        </w:tc>
      </w:tr>
      <w:tr w:rsidR="000C0092" w14:paraId="100078A8" w14:textId="77777777" w:rsidTr="000C0092">
        <w:trPr>
          <w:trHeight w:val="472"/>
        </w:trPr>
        <w:tc>
          <w:tcPr>
            <w:tcW w:w="890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BEAF687" w14:textId="6A371F99" w:rsidR="000C0092" w:rsidRPr="000C0092" w:rsidRDefault="000C0092" w:rsidP="000C0092">
            <w:pPr>
              <w:pStyle w:val="Tabletext"/>
              <w:spacing w:line="280" w:lineRule="exact"/>
              <w:jc w:val="left"/>
            </w:pPr>
            <w:r w:rsidRPr="004763BC">
              <w:rPr>
                <w:position w:val="6"/>
                <w:vertAlign w:val="superscript"/>
              </w:rPr>
              <w:t>1</w:t>
            </w:r>
            <w:r w:rsidRPr="004763BC">
              <w:tab/>
            </w:r>
            <w:r w:rsidRPr="005C5836">
              <w:rPr>
                <w:rFonts w:hint="cs"/>
                <w:rtl/>
              </w:rPr>
              <w:t>القدرة المشعة الإجمالية هي مجموع القدرة المشعة من جميع عناصر الهوائي.</w:t>
            </w:r>
          </w:p>
        </w:tc>
      </w:tr>
    </w:tbl>
    <w:p w14:paraId="28CE5043" w14:textId="5FC40E77" w:rsidR="004077D5" w:rsidRPr="000C0092" w:rsidRDefault="006642E9" w:rsidP="000C0092">
      <w:pPr>
        <w:pStyle w:val="enumlev1"/>
        <w:spacing w:before="240"/>
        <w:rPr>
          <w:spacing w:val="2"/>
          <w:rtl/>
          <w:lang w:bidi="ar-EG"/>
        </w:rPr>
      </w:pPr>
      <w:r w:rsidRPr="009832B2">
        <w:rPr>
          <w:rFonts w:hint="cs"/>
          <w:rtl/>
          <w:lang w:bidi="ar-EG"/>
        </w:rPr>
        <w:t>-</w:t>
      </w:r>
      <w:r w:rsidRPr="009832B2">
        <w:rPr>
          <w:rtl/>
          <w:lang w:bidi="ar-EG"/>
        </w:rPr>
        <w:tab/>
      </w:r>
      <w:r w:rsidRPr="009832B2">
        <w:rPr>
          <w:rFonts w:hint="cs"/>
          <w:i/>
          <w:iCs/>
          <w:rtl/>
          <w:lang w:bidi="ar-EG"/>
        </w:rPr>
        <w:t>يدعو الإدارات</w:t>
      </w:r>
      <w:r w:rsidRPr="009832B2">
        <w:rPr>
          <w:rFonts w:hint="cs"/>
          <w:rtl/>
          <w:lang w:bidi="ar-EG"/>
        </w:rPr>
        <w:t xml:space="preserve"> إلى اعتماد أحكام لتمكين نشر محطات أرضية في</w:t>
      </w:r>
      <w:r w:rsidRPr="009832B2">
        <w:rPr>
          <w:rFonts w:hint="eastAsia"/>
          <w:rtl/>
          <w:lang w:bidi="ar-EG"/>
        </w:rPr>
        <w:t> </w:t>
      </w:r>
      <w:r w:rsidRPr="009832B2">
        <w:rPr>
          <w:rFonts w:hint="cs"/>
          <w:rtl/>
          <w:lang w:bidi="ar-EG"/>
        </w:rPr>
        <w:t xml:space="preserve">المستقبل لخدمة الأبحاث الفضائية (فضاء-أرض) </w:t>
      </w:r>
      <w:r w:rsidRPr="000C0092">
        <w:rPr>
          <w:rFonts w:hint="cs"/>
          <w:spacing w:val="2"/>
          <w:rtl/>
          <w:lang w:bidi="ar-EG"/>
        </w:rPr>
        <w:t>في نطاق التردد </w:t>
      </w:r>
      <w:r w:rsidRPr="000C0092">
        <w:rPr>
          <w:spacing w:val="2"/>
          <w:lang w:bidi="ar-EG"/>
        </w:rPr>
        <w:t>GHz 38-37</w:t>
      </w:r>
      <w:r w:rsidRPr="000C0092">
        <w:rPr>
          <w:rFonts w:hint="cs"/>
          <w:spacing w:val="2"/>
          <w:rtl/>
          <w:lang w:bidi="ar-EG"/>
        </w:rPr>
        <w:t xml:space="preserve"> ولخدمة الأبحاث الفضائية (أرض-فضاء) وخدمة استكشاف الأرض الساتلية (أرض-فضاء) في نطاق التردد </w:t>
      </w:r>
      <w:r w:rsidRPr="000C0092">
        <w:rPr>
          <w:spacing w:val="2"/>
          <w:lang w:bidi="ar-EG"/>
        </w:rPr>
        <w:t>GHz 40,5-40</w:t>
      </w:r>
      <w:r w:rsidRPr="000C0092">
        <w:rPr>
          <w:rFonts w:hint="cs"/>
          <w:spacing w:val="2"/>
          <w:rtl/>
          <w:lang w:bidi="ar-EG"/>
        </w:rPr>
        <w:t>؛</w:t>
      </w:r>
    </w:p>
    <w:p w14:paraId="0FBD8BBB" w14:textId="0756D898" w:rsidR="00A3102F" w:rsidRPr="002F4EE4" w:rsidRDefault="006642E9" w:rsidP="002F4EE4">
      <w:pPr>
        <w:pStyle w:val="enumlev1"/>
        <w:rPr>
          <w:rtl/>
          <w:lang w:bidi="ar-EG"/>
        </w:rPr>
      </w:pPr>
      <w:r w:rsidRPr="009832B2">
        <w:rPr>
          <w:rFonts w:hint="cs"/>
          <w:rtl/>
          <w:lang w:bidi="ar-EG"/>
        </w:rPr>
        <w:t>-</w:t>
      </w:r>
      <w:r w:rsidRPr="009832B2">
        <w:rPr>
          <w:rtl/>
          <w:lang w:bidi="ar-EG"/>
        </w:rPr>
        <w:tab/>
      </w:r>
      <w:r w:rsidRPr="009832B2">
        <w:rPr>
          <w:rFonts w:hint="cs"/>
          <w:i/>
          <w:iCs/>
          <w:rtl/>
          <w:lang w:bidi="ar-EG"/>
        </w:rPr>
        <w:t>يدعو قطاع الاتصالات الراديوية</w:t>
      </w:r>
      <w:r w:rsidRPr="009832B2">
        <w:rPr>
          <w:rFonts w:hint="cs"/>
          <w:rtl/>
          <w:lang w:bidi="ar-EG"/>
        </w:rPr>
        <w:t xml:space="preserve"> </w:t>
      </w:r>
      <w:r w:rsidR="00252B6F" w:rsidRPr="009832B2">
        <w:rPr>
          <w:rFonts w:hint="cs"/>
          <w:rtl/>
          <w:lang w:bidi="ar-EG"/>
        </w:rPr>
        <w:t xml:space="preserve">إلى وضع توصية </w:t>
      </w:r>
      <w:r w:rsidR="00252B6F" w:rsidRPr="009832B2">
        <w:rPr>
          <w:lang w:bidi="ar-EG"/>
        </w:rPr>
        <w:t>ITU</w:t>
      </w:r>
      <w:r w:rsidR="00252B6F" w:rsidRPr="009832B2">
        <w:rPr>
          <w:lang w:bidi="ar-EG"/>
        </w:rPr>
        <w:noBreakHyphen/>
        <w:t>R</w:t>
      </w:r>
      <w:r w:rsidR="00252B6F" w:rsidRPr="009832B2">
        <w:rPr>
          <w:rFonts w:hint="cs"/>
          <w:rtl/>
          <w:lang w:bidi="ar-EG"/>
        </w:rPr>
        <w:t xml:space="preserve"> لمساعدة الإدارات على توفير الحماية للمحطات الأرضية الحالية والمستقبلية لخدمة الأبحاث الفضائية العاملة في نطاق التردد </w:t>
      </w:r>
      <w:r w:rsidR="00252B6F" w:rsidRPr="009832B2">
        <w:rPr>
          <w:lang w:bidi="ar-EG"/>
        </w:rPr>
        <w:t>GHz 38-37</w:t>
      </w:r>
      <w:r w:rsidR="00252B6F" w:rsidRPr="009832B2">
        <w:rPr>
          <w:rFonts w:hint="cs"/>
          <w:rtl/>
          <w:lang w:bidi="ar-EG"/>
        </w:rPr>
        <w:t xml:space="preserve"> مع مراعاة معايير الحماية اللازمة؛</w:t>
      </w:r>
    </w:p>
    <w:p w14:paraId="7BABA5DE" w14:textId="25C25413" w:rsidR="004077D5" w:rsidRPr="00D011DD" w:rsidRDefault="00D011DD" w:rsidP="004077D5">
      <w:pPr>
        <w:pStyle w:val="Reasons"/>
        <w:spacing w:before="600"/>
        <w:jc w:val="center"/>
        <w:rPr>
          <w:b w:val="0"/>
          <w:bCs w:val="0"/>
          <w:lang w:bidi="ar-EG"/>
        </w:rPr>
      </w:pPr>
      <w:r w:rsidRPr="00D011DD">
        <w:rPr>
          <w:rFonts w:hint="cs"/>
          <w:b w:val="0"/>
          <w:bCs w:val="0"/>
          <w:rtl/>
          <w:lang w:bidi="ar-EG"/>
        </w:rPr>
        <w:t>___________</w:t>
      </w:r>
    </w:p>
    <w:sectPr w:rsidR="004077D5" w:rsidRPr="00D011DD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2EF71" w14:textId="77777777" w:rsidR="005B5F43" w:rsidRDefault="005B5F43" w:rsidP="002919E1">
      <w:r>
        <w:separator/>
      </w:r>
    </w:p>
    <w:p w14:paraId="6BB8A687" w14:textId="77777777" w:rsidR="005B5F43" w:rsidRDefault="005B5F43" w:rsidP="002919E1"/>
    <w:p w14:paraId="25D97923" w14:textId="77777777" w:rsidR="005B5F43" w:rsidRDefault="005B5F43" w:rsidP="002919E1"/>
    <w:p w14:paraId="2309035E" w14:textId="77777777" w:rsidR="005B5F43" w:rsidRDefault="005B5F43"/>
  </w:endnote>
  <w:endnote w:type="continuationSeparator" w:id="0">
    <w:p w14:paraId="547BC63C" w14:textId="77777777" w:rsidR="005B5F43" w:rsidRDefault="005B5F43" w:rsidP="002919E1">
      <w:r>
        <w:continuationSeparator/>
      </w:r>
    </w:p>
    <w:p w14:paraId="2B70D3CD" w14:textId="77777777" w:rsidR="005B5F43" w:rsidRDefault="005B5F43" w:rsidP="002919E1"/>
    <w:p w14:paraId="227A1772" w14:textId="77777777" w:rsidR="005B5F43" w:rsidRDefault="005B5F43" w:rsidP="002919E1"/>
    <w:p w14:paraId="40E23E31" w14:textId="77777777" w:rsidR="005B5F43" w:rsidRDefault="005B5F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BB30D" w14:textId="2F5AD891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AD748C">
      <w:rPr>
        <w:noProof/>
      </w:rPr>
      <w:t>P:\ARA\ITU-R\CONF-R\CMR19\000\016ADD13ADD03A.docx</w:t>
    </w:r>
    <w:r>
      <w:fldChar w:fldCharType="end"/>
    </w:r>
    <w:r w:rsidRPr="00A809E8">
      <w:t xml:space="preserve">   (</w:t>
    </w:r>
    <w:r w:rsidR="00617025">
      <w:t>462006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913CF" w14:textId="7F7FA09D" w:rsidR="00281F5F" w:rsidRPr="00617025" w:rsidRDefault="00617025" w:rsidP="0061702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AD748C">
      <w:rPr>
        <w:noProof/>
      </w:rPr>
      <w:t>P:\ARA\ITU-R\CONF-R\CMR19\000\016ADD13ADD03A.docx</w:t>
    </w:r>
    <w:r>
      <w:fldChar w:fldCharType="end"/>
    </w:r>
    <w:r w:rsidRPr="00A809E8">
      <w:t xml:space="preserve">   (</w:t>
    </w:r>
    <w:r>
      <w:t>462006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39DF2" w14:textId="77777777" w:rsidR="005B5F43" w:rsidRDefault="005B5F43" w:rsidP="002919E1">
      <w:r>
        <w:t>___________________</w:t>
      </w:r>
    </w:p>
  </w:footnote>
  <w:footnote w:type="continuationSeparator" w:id="0">
    <w:p w14:paraId="7FDC0D55" w14:textId="77777777" w:rsidR="005B5F43" w:rsidRDefault="005B5F43" w:rsidP="002919E1">
      <w:r>
        <w:continuationSeparator/>
      </w:r>
    </w:p>
    <w:p w14:paraId="37F880B9" w14:textId="77777777" w:rsidR="005B5F43" w:rsidRDefault="005B5F43" w:rsidP="002919E1"/>
    <w:p w14:paraId="536F0303" w14:textId="77777777" w:rsidR="005B5F43" w:rsidRDefault="005B5F43" w:rsidP="002919E1"/>
    <w:p w14:paraId="64D360B4" w14:textId="77777777" w:rsidR="005B5F43" w:rsidRDefault="005B5F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62C0F" w14:textId="77777777" w:rsidR="00281F5F" w:rsidRDefault="00281F5F" w:rsidP="002919E1"/>
  <w:p w14:paraId="1B752F4A" w14:textId="77777777" w:rsidR="00281F5F" w:rsidRDefault="00281F5F" w:rsidP="002919E1"/>
  <w:p w14:paraId="79A3FCAD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72C68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16(Add.13)(Add.3)-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CC2E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D24B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04D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70D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E72AD3"/>
    <w:multiLevelType w:val="hybridMultilevel"/>
    <w:tmpl w:val="F6305990"/>
    <w:lvl w:ilvl="0" w:tplc="DA740EE6">
      <w:start w:val="549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373E4"/>
    <w:rsid w:val="00040C94"/>
    <w:rsid w:val="000425FC"/>
    <w:rsid w:val="00044D43"/>
    <w:rsid w:val="00046844"/>
    <w:rsid w:val="00051907"/>
    <w:rsid w:val="0006711B"/>
    <w:rsid w:val="00075A3F"/>
    <w:rsid w:val="000A1B16"/>
    <w:rsid w:val="000B3896"/>
    <w:rsid w:val="000B5404"/>
    <w:rsid w:val="000C0092"/>
    <w:rsid w:val="000C142E"/>
    <w:rsid w:val="000D06EB"/>
    <w:rsid w:val="000D1708"/>
    <w:rsid w:val="000E2AFC"/>
    <w:rsid w:val="000E6D30"/>
    <w:rsid w:val="000F05F5"/>
    <w:rsid w:val="000F32F9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978C2"/>
    <w:rsid w:val="001B0F78"/>
    <w:rsid w:val="001B5953"/>
    <w:rsid w:val="001D3A54"/>
    <w:rsid w:val="001D746E"/>
    <w:rsid w:val="001D7476"/>
    <w:rsid w:val="001D7809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2B6F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2F4EE4"/>
    <w:rsid w:val="00307BD9"/>
    <w:rsid w:val="00311E3F"/>
    <w:rsid w:val="00314B1E"/>
    <w:rsid w:val="0033737F"/>
    <w:rsid w:val="00353652"/>
    <w:rsid w:val="003569E1"/>
    <w:rsid w:val="003764B6"/>
    <w:rsid w:val="003815E2"/>
    <w:rsid w:val="00381FAD"/>
    <w:rsid w:val="00382A66"/>
    <w:rsid w:val="003923B1"/>
    <w:rsid w:val="003965FE"/>
    <w:rsid w:val="0039698A"/>
    <w:rsid w:val="003B27AD"/>
    <w:rsid w:val="003B4F23"/>
    <w:rsid w:val="003C12F6"/>
    <w:rsid w:val="003C3A13"/>
    <w:rsid w:val="003D4A8D"/>
    <w:rsid w:val="003E02EF"/>
    <w:rsid w:val="003E1D90"/>
    <w:rsid w:val="00400CD4"/>
    <w:rsid w:val="004077D5"/>
    <w:rsid w:val="004147B9"/>
    <w:rsid w:val="00417FE9"/>
    <w:rsid w:val="00421A2D"/>
    <w:rsid w:val="00422C04"/>
    <w:rsid w:val="00423A40"/>
    <w:rsid w:val="00426144"/>
    <w:rsid w:val="00457A80"/>
    <w:rsid w:val="004636E2"/>
    <w:rsid w:val="00470CBD"/>
    <w:rsid w:val="0047407D"/>
    <w:rsid w:val="00474C87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F45CA"/>
    <w:rsid w:val="00505FCA"/>
    <w:rsid w:val="00510C2D"/>
    <w:rsid w:val="005162D9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47A3E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B5F43"/>
    <w:rsid w:val="005C29C8"/>
    <w:rsid w:val="005C576C"/>
    <w:rsid w:val="005C5D25"/>
    <w:rsid w:val="005D2606"/>
    <w:rsid w:val="005D6D48"/>
    <w:rsid w:val="005D72A4"/>
    <w:rsid w:val="005F05CC"/>
    <w:rsid w:val="005F65DE"/>
    <w:rsid w:val="00613492"/>
    <w:rsid w:val="00617025"/>
    <w:rsid w:val="00630905"/>
    <w:rsid w:val="006315B5"/>
    <w:rsid w:val="0065562F"/>
    <w:rsid w:val="006569F9"/>
    <w:rsid w:val="006642E9"/>
    <w:rsid w:val="00666697"/>
    <w:rsid w:val="006779A4"/>
    <w:rsid w:val="00680A66"/>
    <w:rsid w:val="00681391"/>
    <w:rsid w:val="00682272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1D66"/>
    <w:rsid w:val="006F70BF"/>
    <w:rsid w:val="00715285"/>
    <w:rsid w:val="00716B1D"/>
    <w:rsid w:val="007248EC"/>
    <w:rsid w:val="00726744"/>
    <w:rsid w:val="00731150"/>
    <w:rsid w:val="0073195C"/>
    <w:rsid w:val="00734E41"/>
    <w:rsid w:val="00736DCC"/>
    <w:rsid w:val="00737A17"/>
    <w:rsid w:val="00741855"/>
    <w:rsid w:val="00742B73"/>
    <w:rsid w:val="007434E5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238D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64360"/>
    <w:rsid w:val="00972CE0"/>
    <w:rsid w:val="009832B2"/>
    <w:rsid w:val="009A3D30"/>
    <w:rsid w:val="009B494B"/>
    <w:rsid w:val="009B7EDF"/>
    <w:rsid w:val="009C09D2"/>
    <w:rsid w:val="009D6348"/>
    <w:rsid w:val="009E5007"/>
    <w:rsid w:val="009E613F"/>
    <w:rsid w:val="009E76D5"/>
    <w:rsid w:val="009F042B"/>
    <w:rsid w:val="009F352C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102F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74F65"/>
    <w:rsid w:val="00A809E8"/>
    <w:rsid w:val="00A870AD"/>
    <w:rsid w:val="00A90843"/>
    <w:rsid w:val="00A9645C"/>
    <w:rsid w:val="00AA428F"/>
    <w:rsid w:val="00AB2A33"/>
    <w:rsid w:val="00AC1275"/>
    <w:rsid w:val="00AC7395"/>
    <w:rsid w:val="00AD162B"/>
    <w:rsid w:val="00AD690F"/>
    <w:rsid w:val="00AD69DD"/>
    <w:rsid w:val="00AD748C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C0B9E"/>
    <w:rsid w:val="00BD6291"/>
    <w:rsid w:val="00BD6EF3"/>
    <w:rsid w:val="00BE69C3"/>
    <w:rsid w:val="00C1165E"/>
    <w:rsid w:val="00C22074"/>
    <w:rsid w:val="00C2377B"/>
    <w:rsid w:val="00C3693C"/>
    <w:rsid w:val="00C444A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011DD"/>
    <w:rsid w:val="00D0408A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32CD"/>
    <w:rsid w:val="00D84214"/>
    <w:rsid w:val="00D943E5"/>
    <w:rsid w:val="00DA185F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C4964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A19CCBF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qFormat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link w:val="TabletextChar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TabletextChar">
    <w:name w:val="Table_text Char"/>
    <w:basedOn w:val="DefaultParagraphFont"/>
    <w:link w:val="Tabletext"/>
    <w:rsid w:val="00252B6F"/>
    <w:rPr>
      <w:rFonts w:ascii="Times New Roman" w:hAnsi="Times New Roman" w:cs="Traditional Arabic"/>
      <w:szCs w:val="26"/>
    </w:rPr>
  </w:style>
  <w:style w:type="table" w:customStyle="1" w:styleId="TableGrid1">
    <w:name w:val="Table Grid1"/>
    <w:basedOn w:val="TableNormal"/>
    <w:next w:val="TableGrid"/>
    <w:rsid w:val="00252B6F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egend0">
    <w:name w:val="Table legend"/>
    <w:basedOn w:val="Normal"/>
    <w:qFormat/>
    <w:rsid w:val="000C142E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</w:pPr>
    <w:rPr>
      <w:rFonts w:eastAsiaTheme="minorEastAsia"/>
      <w:lang w:eastAsia="zh-CN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R16-WRC19-C-0016!A13-A3!MSW-A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98880-EF1E-46B7-98DC-1E9048933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49D5E-D9EB-48C5-8348-F10A7A9D5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61BE4-C232-4054-B91A-28ACC12A4D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196A2A-8F38-40F0-A003-7D080EA8A2D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7F3B445A-8774-44FC-8DB9-CBC0AE9E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558</Words>
  <Characters>3091</Characters>
  <Application>Microsoft Office Word</Application>
  <DocSecurity>0</DocSecurity>
  <Lines>147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R16-WRC19-C-0016!A13-A3!MSW-A</vt:lpstr>
    </vt:vector>
  </TitlesOfParts>
  <Manager>General Secretariat - Pool</Manager>
  <Company>International Telecommunication Union (ITU)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R16-WRC19-C-0016!A13-A3!MSW-A</dc:title>
  <dc:creator>Documents Proposals Manager (DPM)</dc:creator>
  <cp:keywords>DPM_v2019.10.8.1_prod</cp:keywords>
  <cp:lastModifiedBy>Arabic</cp:lastModifiedBy>
  <cp:revision>6</cp:revision>
  <cp:lastPrinted>2019-10-24T16:20:00Z</cp:lastPrinted>
  <dcterms:created xsi:type="dcterms:W3CDTF">2019-10-24T14:22:00Z</dcterms:created>
  <dcterms:modified xsi:type="dcterms:W3CDTF">2019-10-24T16:23:00Z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