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745F75" w14:paraId="77070D19" w14:textId="77777777" w:rsidTr="0050008E">
        <w:trPr>
          <w:cantSplit/>
        </w:trPr>
        <w:tc>
          <w:tcPr>
            <w:tcW w:w="6911" w:type="dxa"/>
          </w:tcPr>
          <w:p w14:paraId="6694BCB2" w14:textId="77777777" w:rsidR="0090121B" w:rsidRPr="00745F75" w:rsidRDefault="005D46FB" w:rsidP="00C44E9E">
            <w:pPr>
              <w:spacing w:before="400" w:after="48" w:line="240" w:lineRule="atLeast"/>
              <w:rPr>
                <w:rFonts w:ascii="Verdana" w:hAnsi="Verdana"/>
                <w:position w:val="6"/>
              </w:rPr>
            </w:pPr>
            <w:r w:rsidRPr="00745F75">
              <w:rPr>
                <w:rFonts w:ascii="Verdana" w:hAnsi="Verdana" w:cs="Times"/>
                <w:b/>
                <w:position w:val="6"/>
                <w:sz w:val="20"/>
              </w:rPr>
              <w:t>Conferencia Mundial de Radiocomunicaciones (CMR-1</w:t>
            </w:r>
            <w:r w:rsidR="00C44E9E" w:rsidRPr="00745F75">
              <w:rPr>
                <w:rFonts w:ascii="Verdana" w:hAnsi="Verdana" w:cs="Times"/>
                <w:b/>
                <w:position w:val="6"/>
                <w:sz w:val="20"/>
              </w:rPr>
              <w:t>9</w:t>
            </w:r>
            <w:r w:rsidRPr="00745F75">
              <w:rPr>
                <w:rFonts w:ascii="Verdana" w:hAnsi="Verdana" w:cs="Times"/>
                <w:b/>
                <w:position w:val="6"/>
                <w:sz w:val="20"/>
              </w:rPr>
              <w:t>)</w:t>
            </w:r>
            <w:r w:rsidRPr="00745F75">
              <w:rPr>
                <w:rFonts w:ascii="Verdana" w:hAnsi="Verdana" w:cs="Times"/>
                <w:b/>
                <w:position w:val="6"/>
                <w:sz w:val="20"/>
              </w:rPr>
              <w:br/>
            </w:r>
            <w:r w:rsidR="006124AD" w:rsidRPr="00745F75">
              <w:rPr>
                <w:rFonts w:ascii="Verdana" w:hAnsi="Verdana"/>
                <w:b/>
                <w:bCs/>
                <w:position w:val="6"/>
                <w:sz w:val="17"/>
                <w:szCs w:val="17"/>
              </w:rPr>
              <w:t>Sharm el-Sheikh (Egipto)</w:t>
            </w:r>
            <w:r w:rsidRPr="00745F75">
              <w:rPr>
                <w:rFonts w:ascii="Verdana" w:hAnsi="Verdana"/>
                <w:b/>
                <w:bCs/>
                <w:position w:val="6"/>
                <w:sz w:val="17"/>
                <w:szCs w:val="17"/>
              </w:rPr>
              <w:t>, 2</w:t>
            </w:r>
            <w:r w:rsidR="00C44E9E" w:rsidRPr="00745F75">
              <w:rPr>
                <w:rFonts w:ascii="Verdana" w:hAnsi="Verdana"/>
                <w:b/>
                <w:bCs/>
                <w:position w:val="6"/>
                <w:sz w:val="17"/>
                <w:szCs w:val="17"/>
              </w:rPr>
              <w:t xml:space="preserve">8 de octubre </w:t>
            </w:r>
            <w:r w:rsidR="00DE1C31" w:rsidRPr="00745F75">
              <w:rPr>
                <w:rFonts w:ascii="Verdana" w:hAnsi="Verdana"/>
                <w:b/>
                <w:bCs/>
                <w:position w:val="6"/>
                <w:sz w:val="17"/>
                <w:szCs w:val="17"/>
              </w:rPr>
              <w:t>–</w:t>
            </w:r>
            <w:r w:rsidR="00C44E9E" w:rsidRPr="00745F75">
              <w:rPr>
                <w:rFonts w:ascii="Verdana" w:hAnsi="Verdana"/>
                <w:b/>
                <w:bCs/>
                <w:position w:val="6"/>
                <w:sz w:val="17"/>
                <w:szCs w:val="17"/>
              </w:rPr>
              <w:t xml:space="preserve"> </w:t>
            </w:r>
            <w:r w:rsidRPr="00745F75">
              <w:rPr>
                <w:rFonts w:ascii="Verdana" w:hAnsi="Verdana"/>
                <w:b/>
                <w:bCs/>
                <w:position w:val="6"/>
                <w:sz w:val="17"/>
                <w:szCs w:val="17"/>
              </w:rPr>
              <w:t>2</w:t>
            </w:r>
            <w:r w:rsidR="00C44E9E" w:rsidRPr="00745F75">
              <w:rPr>
                <w:rFonts w:ascii="Verdana" w:hAnsi="Verdana"/>
                <w:b/>
                <w:bCs/>
                <w:position w:val="6"/>
                <w:sz w:val="17"/>
                <w:szCs w:val="17"/>
              </w:rPr>
              <w:t>2</w:t>
            </w:r>
            <w:r w:rsidRPr="00745F75">
              <w:rPr>
                <w:rFonts w:ascii="Verdana" w:hAnsi="Verdana"/>
                <w:b/>
                <w:bCs/>
                <w:position w:val="6"/>
                <w:sz w:val="17"/>
                <w:szCs w:val="17"/>
              </w:rPr>
              <w:t xml:space="preserve"> de noviembre de 201</w:t>
            </w:r>
            <w:r w:rsidR="00C44E9E" w:rsidRPr="00745F75">
              <w:rPr>
                <w:rFonts w:ascii="Verdana" w:hAnsi="Verdana"/>
                <w:b/>
                <w:bCs/>
                <w:position w:val="6"/>
                <w:sz w:val="17"/>
                <w:szCs w:val="17"/>
              </w:rPr>
              <w:t>9</w:t>
            </w:r>
          </w:p>
        </w:tc>
        <w:tc>
          <w:tcPr>
            <w:tcW w:w="3120" w:type="dxa"/>
          </w:tcPr>
          <w:p w14:paraId="7317E708" w14:textId="77777777" w:rsidR="0090121B" w:rsidRPr="00745F75" w:rsidRDefault="00DA71A3" w:rsidP="00CE7431">
            <w:pPr>
              <w:spacing w:before="0" w:line="240" w:lineRule="atLeast"/>
              <w:jc w:val="right"/>
            </w:pPr>
            <w:r w:rsidRPr="00745F75">
              <w:rPr>
                <w:rFonts w:ascii="Verdana" w:hAnsi="Verdana"/>
                <w:b/>
                <w:bCs/>
                <w:noProof/>
                <w:szCs w:val="24"/>
                <w:lang w:eastAsia="zh-CN"/>
              </w:rPr>
              <w:drawing>
                <wp:inline distT="0" distB="0" distL="0" distR="0" wp14:anchorId="59905BE5" wp14:editId="1222368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745F75" w14:paraId="6D4273FD" w14:textId="77777777" w:rsidTr="0050008E">
        <w:trPr>
          <w:cantSplit/>
        </w:trPr>
        <w:tc>
          <w:tcPr>
            <w:tcW w:w="6911" w:type="dxa"/>
            <w:tcBorders>
              <w:bottom w:val="single" w:sz="12" w:space="0" w:color="auto"/>
            </w:tcBorders>
          </w:tcPr>
          <w:p w14:paraId="648E6733" w14:textId="77777777" w:rsidR="0090121B" w:rsidRPr="00745F75"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4619F7C1" w14:textId="77777777" w:rsidR="0090121B" w:rsidRPr="00745F75" w:rsidRDefault="0090121B" w:rsidP="0090121B">
            <w:pPr>
              <w:spacing w:before="0" w:line="240" w:lineRule="atLeast"/>
              <w:rPr>
                <w:rFonts w:ascii="Verdana" w:hAnsi="Verdana"/>
                <w:szCs w:val="24"/>
              </w:rPr>
            </w:pPr>
          </w:p>
        </w:tc>
      </w:tr>
      <w:tr w:rsidR="0090121B" w:rsidRPr="00745F75" w14:paraId="6BC50D28" w14:textId="77777777" w:rsidTr="0090121B">
        <w:trPr>
          <w:cantSplit/>
        </w:trPr>
        <w:tc>
          <w:tcPr>
            <w:tcW w:w="6911" w:type="dxa"/>
            <w:tcBorders>
              <w:top w:val="single" w:sz="12" w:space="0" w:color="auto"/>
            </w:tcBorders>
          </w:tcPr>
          <w:p w14:paraId="296898B0" w14:textId="77777777" w:rsidR="0090121B" w:rsidRPr="00745F75"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2CB66172" w14:textId="77777777" w:rsidR="0090121B" w:rsidRPr="00745F75" w:rsidRDefault="0090121B" w:rsidP="0090121B">
            <w:pPr>
              <w:spacing w:before="0" w:line="240" w:lineRule="atLeast"/>
              <w:rPr>
                <w:rFonts w:ascii="Verdana" w:hAnsi="Verdana"/>
                <w:sz w:val="20"/>
              </w:rPr>
            </w:pPr>
          </w:p>
        </w:tc>
      </w:tr>
      <w:tr w:rsidR="0090121B" w:rsidRPr="00745F75" w14:paraId="2879BC98" w14:textId="77777777" w:rsidTr="0090121B">
        <w:trPr>
          <w:cantSplit/>
        </w:trPr>
        <w:tc>
          <w:tcPr>
            <w:tcW w:w="6911" w:type="dxa"/>
          </w:tcPr>
          <w:p w14:paraId="0196A0F6" w14:textId="77777777" w:rsidR="0090121B" w:rsidRPr="00745F75" w:rsidRDefault="001E7D42" w:rsidP="00EA77F0">
            <w:pPr>
              <w:pStyle w:val="Committee"/>
              <w:framePr w:hSpace="0" w:wrap="auto" w:hAnchor="text" w:yAlign="inline"/>
              <w:rPr>
                <w:sz w:val="18"/>
                <w:szCs w:val="18"/>
                <w:lang w:val="es-ES_tradnl"/>
              </w:rPr>
            </w:pPr>
            <w:r w:rsidRPr="00745F75">
              <w:rPr>
                <w:sz w:val="18"/>
                <w:szCs w:val="18"/>
                <w:lang w:val="es-ES_tradnl"/>
              </w:rPr>
              <w:t>SESIÓN PLENARIA</w:t>
            </w:r>
          </w:p>
        </w:tc>
        <w:tc>
          <w:tcPr>
            <w:tcW w:w="3120" w:type="dxa"/>
          </w:tcPr>
          <w:p w14:paraId="0AA9A05D" w14:textId="77777777" w:rsidR="0090121B" w:rsidRPr="00745F75" w:rsidRDefault="00AE658F" w:rsidP="0045384C">
            <w:pPr>
              <w:spacing w:before="0"/>
              <w:rPr>
                <w:rFonts w:ascii="Verdana" w:hAnsi="Verdana"/>
                <w:sz w:val="18"/>
                <w:szCs w:val="18"/>
              </w:rPr>
            </w:pPr>
            <w:r w:rsidRPr="00745F75">
              <w:rPr>
                <w:rFonts w:ascii="Verdana" w:hAnsi="Verdana"/>
                <w:b/>
                <w:sz w:val="18"/>
                <w:szCs w:val="18"/>
              </w:rPr>
              <w:t>Addéndum 2 al</w:t>
            </w:r>
            <w:r w:rsidRPr="00745F75">
              <w:rPr>
                <w:rFonts w:ascii="Verdana" w:hAnsi="Verdana"/>
                <w:b/>
                <w:sz w:val="18"/>
                <w:szCs w:val="18"/>
              </w:rPr>
              <w:br/>
              <w:t>Documento 16(Add.13)</w:t>
            </w:r>
            <w:r w:rsidR="0090121B" w:rsidRPr="00745F75">
              <w:rPr>
                <w:rFonts w:ascii="Verdana" w:hAnsi="Verdana"/>
                <w:b/>
                <w:sz w:val="18"/>
                <w:szCs w:val="18"/>
              </w:rPr>
              <w:t>-</w:t>
            </w:r>
            <w:r w:rsidRPr="00745F75">
              <w:rPr>
                <w:rFonts w:ascii="Verdana" w:hAnsi="Verdana"/>
                <w:b/>
                <w:sz w:val="18"/>
                <w:szCs w:val="18"/>
              </w:rPr>
              <w:t>S</w:t>
            </w:r>
          </w:p>
        </w:tc>
      </w:tr>
      <w:bookmarkEnd w:id="0"/>
      <w:tr w:rsidR="000A5B9A" w:rsidRPr="00745F75" w14:paraId="4F04000B" w14:textId="77777777" w:rsidTr="0090121B">
        <w:trPr>
          <w:cantSplit/>
        </w:trPr>
        <w:tc>
          <w:tcPr>
            <w:tcW w:w="6911" w:type="dxa"/>
          </w:tcPr>
          <w:p w14:paraId="6144EA05" w14:textId="77777777" w:rsidR="000A5B9A" w:rsidRPr="00745F75" w:rsidRDefault="000A5B9A" w:rsidP="0045384C">
            <w:pPr>
              <w:spacing w:before="0" w:after="48"/>
              <w:rPr>
                <w:rFonts w:ascii="Verdana" w:hAnsi="Verdana"/>
                <w:b/>
                <w:smallCaps/>
                <w:sz w:val="18"/>
                <w:szCs w:val="18"/>
              </w:rPr>
            </w:pPr>
          </w:p>
        </w:tc>
        <w:tc>
          <w:tcPr>
            <w:tcW w:w="3120" w:type="dxa"/>
          </w:tcPr>
          <w:p w14:paraId="2BD2BF5C" w14:textId="64D545B9" w:rsidR="000A5B9A" w:rsidRPr="00745F75" w:rsidRDefault="00785722" w:rsidP="0045384C">
            <w:pPr>
              <w:spacing w:before="0"/>
              <w:rPr>
                <w:rFonts w:ascii="Verdana" w:hAnsi="Verdana"/>
                <w:b/>
                <w:sz w:val="18"/>
                <w:szCs w:val="18"/>
              </w:rPr>
            </w:pPr>
            <w:r w:rsidRPr="00745F75">
              <w:rPr>
                <w:rFonts w:ascii="Verdana" w:hAnsi="Verdana"/>
                <w:b/>
                <w:sz w:val="18"/>
                <w:szCs w:val="18"/>
              </w:rPr>
              <w:t>4</w:t>
            </w:r>
            <w:r w:rsidR="000A5B9A" w:rsidRPr="00745F75">
              <w:rPr>
                <w:rFonts w:ascii="Verdana" w:hAnsi="Verdana"/>
                <w:b/>
                <w:sz w:val="18"/>
                <w:szCs w:val="18"/>
              </w:rPr>
              <w:t xml:space="preserve"> de octubre de 2019</w:t>
            </w:r>
          </w:p>
        </w:tc>
      </w:tr>
      <w:tr w:rsidR="000A5B9A" w:rsidRPr="00745F75" w14:paraId="41A0B214" w14:textId="77777777" w:rsidTr="0090121B">
        <w:trPr>
          <w:cantSplit/>
        </w:trPr>
        <w:tc>
          <w:tcPr>
            <w:tcW w:w="6911" w:type="dxa"/>
          </w:tcPr>
          <w:p w14:paraId="678274BE" w14:textId="77777777" w:rsidR="000A5B9A" w:rsidRPr="00745F75" w:rsidRDefault="000A5B9A" w:rsidP="0045384C">
            <w:pPr>
              <w:spacing w:before="0" w:after="48"/>
              <w:rPr>
                <w:rFonts w:ascii="Verdana" w:hAnsi="Verdana"/>
                <w:b/>
                <w:smallCaps/>
                <w:sz w:val="18"/>
                <w:szCs w:val="18"/>
              </w:rPr>
            </w:pPr>
          </w:p>
        </w:tc>
        <w:tc>
          <w:tcPr>
            <w:tcW w:w="3120" w:type="dxa"/>
          </w:tcPr>
          <w:p w14:paraId="12C5998F" w14:textId="77777777" w:rsidR="000A5B9A" w:rsidRPr="00745F75" w:rsidRDefault="000A5B9A" w:rsidP="0045384C">
            <w:pPr>
              <w:spacing w:before="0"/>
              <w:rPr>
                <w:rFonts w:ascii="Verdana" w:hAnsi="Verdana"/>
                <w:b/>
                <w:sz w:val="18"/>
                <w:szCs w:val="18"/>
              </w:rPr>
            </w:pPr>
            <w:r w:rsidRPr="00745F75">
              <w:rPr>
                <w:rFonts w:ascii="Verdana" w:hAnsi="Verdana"/>
                <w:b/>
                <w:sz w:val="18"/>
                <w:szCs w:val="18"/>
              </w:rPr>
              <w:t>Original: inglés</w:t>
            </w:r>
          </w:p>
        </w:tc>
      </w:tr>
      <w:tr w:rsidR="000A5B9A" w:rsidRPr="00745F75" w14:paraId="441143CC" w14:textId="77777777" w:rsidTr="006744FC">
        <w:trPr>
          <w:cantSplit/>
        </w:trPr>
        <w:tc>
          <w:tcPr>
            <w:tcW w:w="10031" w:type="dxa"/>
            <w:gridSpan w:val="2"/>
          </w:tcPr>
          <w:p w14:paraId="4CDC8CC5" w14:textId="77777777" w:rsidR="000A5B9A" w:rsidRPr="00745F75" w:rsidRDefault="000A5B9A" w:rsidP="0045384C">
            <w:pPr>
              <w:spacing w:before="0"/>
              <w:rPr>
                <w:rFonts w:ascii="Verdana" w:hAnsi="Verdana"/>
                <w:b/>
                <w:sz w:val="18"/>
                <w:szCs w:val="22"/>
              </w:rPr>
            </w:pPr>
          </w:p>
        </w:tc>
      </w:tr>
      <w:tr w:rsidR="000A5B9A" w:rsidRPr="00745F75" w14:paraId="199E4D49" w14:textId="77777777" w:rsidTr="0050008E">
        <w:trPr>
          <w:cantSplit/>
        </w:trPr>
        <w:tc>
          <w:tcPr>
            <w:tcW w:w="10031" w:type="dxa"/>
            <w:gridSpan w:val="2"/>
          </w:tcPr>
          <w:p w14:paraId="6562C7F7" w14:textId="77777777" w:rsidR="000A5B9A" w:rsidRPr="00745F75" w:rsidRDefault="000A5B9A" w:rsidP="000A5B9A">
            <w:pPr>
              <w:pStyle w:val="Source"/>
            </w:pPr>
            <w:bookmarkStart w:id="1" w:name="dsource" w:colFirst="0" w:colLast="0"/>
            <w:r w:rsidRPr="00745F75">
              <w:t>Propuestas Comunes Europeas</w:t>
            </w:r>
          </w:p>
        </w:tc>
      </w:tr>
      <w:tr w:rsidR="000A5B9A" w:rsidRPr="00745F75" w14:paraId="68AADFEE" w14:textId="77777777" w:rsidTr="0050008E">
        <w:trPr>
          <w:cantSplit/>
        </w:trPr>
        <w:tc>
          <w:tcPr>
            <w:tcW w:w="10031" w:type="dxa"/>
            <w:gridSpan w:val="2"/>
          </w:tcPr>
          <w:p w14:paraId="6907BB57" w14:textId="77777777" w:rsidR="000A5B9A" w:rsidRPr="00745F75" w:rsidRDefault="000A5B9A" w:rsidP="000A5B9A">
            <w:pPr>
              <w:pStyle w:val="Title1"/>
            </w:pPr>
            <w:bookmarkStart w:id="2" w:name="dtitle1" w:colFirst="0" w:colLast="0"/>
            <w:bookmarkEnd w:id="1"/>
            <w:r w:rsidRPr="00745F75">
              <w:t>Propuestas para los trabajos de la Conferencia</w:t>
            </w:r>
          </w:p>
        </w:tc>
      </w:tr>
      <w:tr w:rsidR="000A5B9A" w:rsidRPr="00745F75" w14:paraId="67E266B3" w14:textId="77777777" w:rsidTr="0050008E">
        <w:trPr>
          <w:cantSplit/>
        </w:trPr>
        <w:tc>
          <w:tcPr>
            <w:tcW w:w="10031" w:type="dxa"/>
            <w:gridSpan w:val="2"/>
          </w:tcPr>
          <w:p w14:paraId="7E5D99CE" w14:textId="77777777" w:rsidR="000A5B9A" w:rsidRPr="00745F75" w:rsidRDefault="000A5B9A" w:rsidP="000A5B9A">
            <w:pPr>
              <w:pStyle w:val="Title2"/>
            </w:pPr>
            <w:bookmarkStart w:id="3" w:name="dtitle2" w:colFirst="0" w:colLast="0"/>
            <w:bookmarkEnd w:id="2"/>
          </w:p>
        </w:tc>
      </w:tr>
      <w:tr w:rsidR="000A5B9A" w:rsidRPr="00745F75" w14:paraId="2ED04A0F" w14:textId="77777777" w:rsidTr="0050008E">
        <w:trPr>
          <w:cantSplit/>
        </w:trPr>
        <w:tc>
          <w:tcPr>
            <w:tcW w:w="10031" w:type="dxa"/>
            <w:gridSpan w:val="2"/>
          </w:tcPr>
          <w:p w14:paraId="738ACC66" w14:textId="77777777" w:rsidR="000A5B9A" w:rsidRPr="00745F75" w:rsidRDefault="000A5B9A" w:rsidP="000A5B9A">
            <w:pPr>
              <w:pStyle w:val="Agendaitem"/>
            </w:pPr>
            <w:bookmarkStart w:id="4" w:name="dtitle3" w:colFirst="0" w:colLast="0"/>
            <w:bookmarkEnd w:id="3"/>
            <w:r w:rsidRPr="00745F75">
              <w:t>Punto 1.13 del orden del día</w:t>
            </w:r>
          </w:p>
        </w:tc>
      </w:tr>
    </w:tbl>
    <w:bookmarkEnd w:id="4"/>
    <w:p w14:paraId="07B5F599" w14:textId="77777777" w:rsidR="001C0E40" w:rsidRPr="00745F75" w:rsidRDefault="00283062" w:rsidP="003A37B0">
      <w:r w:rsidRPr="00745F75">
        <w:t>1.13</w:t>
      </w:r>
      <w:r w:rsidRPr="00745F75">
        <w:tab/>
        <w:t xml:space="preserve">considerar la identificación de bandas de frecuencias para el futuro despliegue de las Telecomunicaciones Móviles Internacionales </w:t>
      </w:r>
      <w:r w:rsidRPr="00745F75">
        <w:rPr>
          <w:lang w:eastAsia="ja-JP"/>
        </w:rPr>
        <w:t>(</w:t>
      </w:r>
      <w:r w:rsidRPr="00745F75">
        <w:t>IMT</w:t>
      </w:r>
      <w:r w:rsidRPr="00745F75">
        <w:rPr>
          <w:lang w:eastAsia="ko-KR"/>
        </w:rPr>
        <w:t>)</w:t>
      </w:r>
      <w:r w:rsidRPr="00745F75">
        <w:t>, incluidas posibles atribuciones adicionales al servicio móvil a título primario, de conformidad con la Resolución </w:t>
      </w:r>
      <w:r w:rsidRPr="00745F75">
        <w:rPr>
          <w:rFonts w:eastAsia="SimSun"/>
          <w:b/>
          <w:szCs w:val="24"/>
          <w:lang w:eastAsia="zh-CN"/>
        </w:rPr>
        <w:t>238 (CMR-15)</w:t>
      </w:r>
      <w:r w:rsidRPr="00745F75">
        <w:rPr>
          <w:rFonts w:eastAsia="SimSun"/>
          <w:szCs w:val="24"/>
          <w:lang w:eastAsia="zh-CN"/>
        </w:rPr>
        <w:t>;</w:t>
      </w:r>
    </w:p>
    <w:p w14:paraId="67E32D31" w14:textId="77777777" w:rsidR="00785722" w:rsidRPr="00745F75" w:rsidRDefault="00785722" w:rsidP="00283062">
      <w:pPr>
        <w:pStyle w:val="Title4"/>
      </w:pPr>
      <w:r w:rsidRPr="00745F75">
        <w:t>Parte 2 – Banda de frecuencias 31,8-33,4 GHz</w:t>
      </w:r>
    </w:p>
    <w:p w14:paraId="11499210" w14:textId="233358C1" w:rsidR="00785722" w:rsidRPr="00745F75" w:rsidRDefault="00785722" w:rsidP="00283062">
      <w:pPr>
        <w:pStyle w:val="Headingb"/>
      </w:pPr>
      <w:r w:rsidRPr="00745F75">
        <w:t>Introducción</w:t>
      </w:r>
    </w:p>
    <w:p w14:paraId="4E751A72" w14:textId="77777777" w:rsidR="00785722" w:rsidRPr="00745F75" w:rsidRDefault="00785722" w:rsidP="00785722">
      <w:r w:rsidRPr="00745F75">
        <w:t>En el presente documento se presenta la Propuesta Común Europea para la banda 31,8-33,4 GHz en el marco del punto 1.13 del orden del día de la CMR 19.</w:t>
      </w:r>
    </w:p>
    <w:p w14:paraId="7D846ED0" w14:textId="0C9AE162" w:rsidR="00785722" w:rsidRPr="00745F75" w:rsidRDefault="00785722" w:rsidP="00785722">
      <w:r w:rsidRPr="00745F75">
        <w:t>Esta banda de frecuencias está atribuida a nivel mundial al servicio de radionavegación y se utiliza en varios países para los radares de los equipos de detección en la superficie de los aeropuertos (ASDE), principalmente para detectar el tráfico en los aeropuertos, y por los radares en aeronaves para la cartografía, detección de tormentas y calibración de los sistemas de navegación a bordo de aeronaves con miras a asegurar un funcionamiento preciso en vuelo en condiciones meteorológicas adversas, así como para los sistemas de visión en vuelo mejorada (EFVS).</w:t>
      </w:r>
    </w:p>
    <w:p w14:paraId="5C9C14E0" w14:textId="2CC53116" w:rsidR="00785722" w:rsidRPr="00745F75" w:rsidRDefault="00785722" w:rsidP="00785722">
      <w:r w:rsidRPr="00745F75">
        <w:t>El sistema EFVS genera información de navegación y una imagen sintética del panorama exterior en la cabina del piloto con objeto, principalmente, de posibilitar, en condiciones de visibilidad reducida, las maniobras de aterrizaje (incluida la eventual asistencia para el rodaje), en los casos en que el aterrizaje no pueda efectuarse de forma segura de otra manera (en particular en aeropuertos no equipados con sistemas de asistencia al aterrizaje instalados en tierra como el ILS).</w:t>
      </w:r>
    </w:p>
    <w:p w14:paraId="6AD9C431" w14:textId="77777777" w:rsidR="00785722" w:rsidRPr="00745F75" w:rsidRDefault="00785722" w:rsidP="00785722">
      <w:r w:rsidRPr="00745F75">
        <w:t>Esta banda de frecuencias ofrece un buen compromiso entre resolución y penetración atmosférica en condiciones meteorológicas adversas.</w:t>
      </w:r>
    </w:p>
    <w:p w14:paraId="3F487E71" w14:textId="20A565C2" w:rsidR="00785722" w:rsidRPr="00745F75" w:rsidRDefault="00785722" w:rsidP="00785722">
      <w:r w:rsidRPr="00745F75">
        <w:t>Todos los estudios técnicos presentados en el GTE 5/1 del UIT-R han puesto de manifiesto la incompatibilidad entre las IMT y el servicio de radionavegación en la banda de frecuencias de 31,8</w:t>
      </w:r>
      <w:r w:rsidR="00283062" w:rsidRPr="00745F75">
        <w:noBreakHyphen/>
      </w:r>
      <w:r w:rsidRPr="00745F75">
        <w:t>33,4 GHz, en particular en el caso de los radares de aeronaves para los que no pueden preverse zonas de coordinación/exclusión de un radio aproximado de 100 km alrededor de aeropuertos pequeños.</w:t>
      </w:r>
    </w:p>
    <w:p w14:paraId="6F8B0C48" w14:textId="77777777" w:rsidR="008750A8" w:rsidRPr="00745F75" w:rsidRDefault="008750A8" w:rsidP="008750A8">
      <w:pPr>
        <w:tabs>
          <w:tab w:val="clear" w:pos="1134"/>
          <w:tab w:val="clear" w:pos="1871"/>
          <w:tab w:val="clear" w:pos="2268"/>
        </w:tabs>
        <w:overflowPunct/>
        <w:autoSpaceDE/>
        <w:autoSpaceDN/>
        <w:adjustRightInd/>
        <w:spacing w:before="0"/>
        <w:textAlignment w:val="auto"/>
      </w:pPr>
      <w:r w:rsidRPr="00745F75">
        <w:br w:type="page"/>
      </w:r>
    </w:p>
    <w:p w14:paraId="4D3455E0" w14:textId="77777777" w:rsidR="00507005" w:rsidRPr="00745F75" w:rsidRDefault="00507005" w:rsidP="00507005">
      <w:pPr>
        <w:pStyle w:val="Headingb"/>
      </w:pPr>
      <w:r w:rsidRPr="00745F75">
        <w:lastRenderedPageBreak/>
        <w:t>Pr</w:t>
      </w:r>
      <w:bookmarkStart w:id="5" w:name="_GoBack"/>
      <w:bookmarkEnd w:id="5"/>
      <w:r w:rsidRPr="00745F75">
        <w:t>opuesta</w:t>
      </w:r>
    </w:p>
    <w:p w14:paraId="446324A3" w14:textId="77777777" w:rsidR="006537F1" w:rsidRPr="00745F75" w:rsidRDefault="00283062" w:rsidP="00745F75">
      <w:pPr>
        <w:pStyle w:val="ArtNo"/>
      </w:pPr>
      <w:r w:rsidRPr="00745F75">
        <w:t xml:space="preserve">ARTÍCULO </w:t>
      </w:r>
      <w:r w:rsidRPr="00745F75">
        <w:rPr>
          <w:rStyle w:val="href"/>
        </w:rPr>
        <w:t>5</w:t>
      </w:r>
    </w:p>
    <w:p w14:paraId="2A814C12" w14:textId="77777777" w:rsidR="006537F1" w:rsidRPr="00745F75" w:rsidRDefault="00283062" w:rsidP="006537F1">
      <w:pPr>
        <w:pStyle w:val="Arttitle"/>
      </w:pPr>
      <w:r w:rsidRPr="00745F75">
        <w:t>Atribuciones de frecuencia</w:t>
      </w:r>
    </w:p>
    <w:p w14:paraId="3D5013A0" w14:textId="77777777" w:rsidR="006537F1" w:rsidRPr="00745F75" w:rsidRDefault="00283062" w:rsidP="006537F1">
      <w:pPr>
        <w:pStyle w:val="Section1"/>
      </w:pPr>
      <w:r w:rsidRPr="00745F75">
        <w:t>Sección IV – Cuadro de atribución de bandas de frecuencias</w:t>
      </w:r>
      <w:r w:rsidRPr="00745F75">
        <w:br/>
      </w:r>
      <w:r w:rsidRPr="00745F75">
        <w:rPr>
          <w:b w:val="0"/>
          <w:bCs/>
        </w:rPr>
        <w:t>(Véase el número</w:t>
      </w:r>
      <w:r w:rsidRPr="00745F75">
        <w:t xml:space="preserve"> </w:t>
      </w:r>
      <w:r w:rsidRPr="00745F75">
        <w:rPr>
          <w:rStyle w:val="Artref"/>
        </w:rPr>
        <w:t>2.1</w:t>
      </w:r>
      <w:r w:rsidRPr="00745F75">
        <w:rPr>
          <w:b w:val="0"/>
          <w:bCs/>
        </w:rPr>
        <w:t>)</w:t>
      </w:r>
      <w:r w:rsidRPr="00745F75">
        <w:br/>
      </w:r>
    </w:p>
    <w:p w14:paraId="440DA6BC" w14:textId="77777777" w:rsidR="00440739" w:rsidRPr="00745F75" w:rsidRDefault="00283062">
      <w:pPr>
        <w:pStyle w:val="Proposal"/>
      </w:pPr>
      <w:r w:rsidRPr="00745F75">
        <w:rPr>
          <w:u w:val="single"/>
        </w:rPr>
        <w:t>NOC</w:t>
      </w:r>
      <w:r w:rsidRPr="00745F75">
        <w:tab/>
        <w:t>EUR/16A13A2/1</w:t>
      </w:r>
    </w:p>
    <w:p w14:paraId="5AC24A52" w14:textId="77777777" w:rsidR="006537F1" w:rsidRPr="00745F75" w:rsidRDefault="00283062" w:rsidP="006537F1">
      <w:pPr>
        <w:pStyle w:val="Tabletitle"/>
        <w:spacing w:before="120"/>
      </w:pPr>
      <w:r w:rsidRPr="00745F75">
        <w:t>29,9-34,2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6537F1" w:rsidRPr="00745F75" w14:paraId="179B43AE" w14:textId="77777777" w:rsidTr="00785722">
        <w:trPr>
          <w:cantSplit/>
        </w:trPr>
        <w:tc>
          <w:tcPr>
            <w:tcW w:w="9303" w:type="dxa"/>
            <w:gridSpan w:val="3"/>
          </w:tcPr>
          <w:p w14:paraId="6AAA0553" w14:textId="77777777" w:rsidR="006537F1" w:rsidRPr="00745F75" w:rsidRDefault="00283062" w:rsidP="006537F1">
            <w:pPr>
              <w:pStyle w:val="Tablehead"/>
              <w:rPr>
                <w:color w:val="000000"/>
              </w:rPr>
            </w:pPr>
            <w:r w:rsidRPr="00745F75">
              <w:rPr>
                <w:color w:val="000000"/>
              </w:rPr>
              <w:t>Atribución a los servicios</w:t>
            </w:r>
          </w:p>
        </w:tc>
      </w:tr>
      <w:tr w:rsidR="006537F1" w:rsidRPr="00745F75" w14:paraId="0BBA5B6F" w14:textId="77777777" w:rsidTr="00FB472E">
        <w:trPr>
          <w:cantSplit/>
        </w:trPr>
        <w:tc>
          <w:tcPr>
            <w:tcW w:w="3101" w:type="dxa"/>
          </w:tcPr>
          <w:p w14:paraId="3A802DB9" w14:textId="77777777" w:rsidR="006537F1" w:rsidRPr="00745F75" w:rsidRDefault="00283062" w:rsidP="006537F1">
            <w:pPr>
              <w:pStyle w:val="Tablehead"/>
              <w:rPr>
                <w:color w:val="000000"/>
              </w:rPr>
            </w:pPr>
            <w:r w:rsidRPr="00745F75">
              <w:rPr>
                <w:color w:val="000000"/>
              </w:rPr>
              <w:t>Región 1</w:t>
            </w:r>
          </w:p>
        </w:tc>
        <w:tc>
          <w:tcPr>
            <w:tcW w:w="3101" w:type="dxa"/>
          </w:tcPr>
          <w:p w14:paraId="6266DEEF" w14:textId="77777777" w:rsidR="006537F1" w:rsidRPr="00745F75" w:rsidRDefault="00283062" w:rsidP="006537F1">
            <w:pPr>
              <w:pStyle w:val="Tablehead"/>
              <w:rPr>
                <w:color w:val="000000"/>
              </w:rPr>
            </w:pPr>
            <w:r w:rsidRPr="00745F75">
              <w:rPr>
                <w:color w:val="000000"/>
              </w:rPr>
              <w:t>Región 2</w:t>
            </w:r>
          </w:p>
        </w:tc>
        <w:tc>
          <w:tcPr>
            <w:tcW w:w="3101" w:type="dxa"/>
          </w:tcPr>
          <w:p w14:paraId="1F8350AA" w14:textId="77777777" w:rsidR="006537F1" w:rsidRPr="00745F75" w:rsidRDefault="00283062" w:rsidP="006537F1">
            <w:pPr>
              <w:pStyle w:val="Tablehead"/>
              <w:rPr>
                <w:color w:val="000000"/>
              </w:rPr>
            </w:pPr>
            <w:r w:rsidRPr="00745F75">
              <w:rPr>
                <w:color w:val="000000"/>
              </w:rPr>
              <w:t>Región 3</w:t>
            </w:r>
          </w:p>
        </w:tc>
      </w:tr>
      <w:tr w:rsidR="006537F1" w:rsidRPr="00745F75" w14:paraId="0FAC4267" w14:textId="77777777" w:rsidTr="00785722">
        <w:trPr>
          <w:cantSplit/>
        </w:trPr>
        <w:tc>
          <w:tcPr>
            <w:tcW w:w="9303" w:type="dxa"/>
            <w:gridSpan w:val="3"/>
          </w:tcPr>
          <w:p w14:paraId="67FD40C1" w14:textId="77777777" w:rsidR="006537F1" w:rsidRPr="00745F75" w:rsidRDefault="00283062" w:rsidP="006537F1">
            <w:pPr>
              <w:pStyle w:val="TableTextS5"/>
              <w:spacing w:before="30" w:after="30"/>
              <w:rPr>
                <w:color w:val="000000"/>
              </w:rPr>
            </w:pPr>
            <w:r w:rsidRPr="00745F75">
              <w:rPr>
                <w:rStyle w:val="Tablefreq"/>
                <w:color w:val="000000"/>
              </w:rPr>
              <w:t>31,8-32</w:t>
            </w:r>
            <w:r w:rsidRPr="00745F75">
              <w:rPr>
                <w:b/>
                <w:color w:val="000000"/>
              </w:rPr>
              <w:tab/>
            </w:r>
            <w:r w:rsidRPr="00745F75">
              <w:rPr>
                <w:b/>
                <w:color w:val="000000"/>
              </w:rPr>
              <w:tab/>
            </w:r>
            <w:r w:rsidRPr="00745F75">
              <w:rPr>
                <w:color w:val="000000"/>
              </w:rPr>
              <w:t xml:space="preserve">FIJO  </w:t>
            </w:r>
            <w:r w:rsidRPr="00745F75">
              <w:rPr>
                <w:rStyle w:val="Artref10pt"/>
              </w:rPr>
              <w:t>5.547A</w:t>
            </w:r>
          </w:p>
          <w:p w14:paraId="79AA2CC3" w14:textId="77777777" w:rsidR="006537F1" w:rsidRPr="00745F75" w:rsidRDefault="00283062" w:rsidP="006537F1">
            <w:pPr>
              <w:pStyle w:val="TableTextS5"/>
              <w:spacing w:before="30" w:after="30"/>
              <w:rPr>
                <w:color w:val="000000"/>
              </w:rPr>
            </w:pPr>
            <w:r w:rsidRPr="00745F75">
              <w:rPr>
                <w:b/>
                <w:color w:val="000000"/>
              </w:rPr>
              <w:tab/>
            </w:r>
            <w:r w:rsidRPr="00745F75">
              <w:rPr>
                <w:b/>
                <w:color w:val="000000"/>
              </w:rPr>
              <w:tab/>
            </w:r>
            <w:r w:rsidRPr="00745F75">
              <w:rPr>
                <w:b/>
                <w:color w:val="000000"/>
              </w:rPr>
              <w:tab/>
            </w:r>
            <w:r w:rsidRPr="00745F75">
              <w:rPr>
                <w:b/>
                <w:color w:val="000000"/>
              </w:rPr>
              <w:tab/>
            </w:r>
            <w:r w:rsidRPr="00745F75">
              <w:rPr>
                <w:color w:val="000000"/>
              </w:rPr>
              <w:t>RADIONAVEGACIÓN</w:t>
            </w:r>
          </w:p>
          <w:p w14:paraId="10843053"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t>INVESTIGACIÓN ESPACIAL (espacio lejano) (espacio-Tierra)</w:t>
            </w:r>
          </w:p>
          <w:p w14:paraId="3A3EA0D1"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r>
            <w:r w:rsidRPr="00745F75">
              <w:rPr>
                <w:rStyle w:val="Artref"/>
                <w:color w:val="000000"/>
              </w:rPr>
              <w:t>5.547</w:t>
            </w:r>
            <w:r w:rsidRPr="00745F75">
              <w:rPr>
                <w:color w:val="000000"/>
              </w:rPr>
              <w:t xml:space="preserve">  </w:t>
            </w:r>
            <w:r w:rsidRPr="00745F75">
              <w:rPr>
                <w:rStyle w:val="Artref"/>
                <w:color w:val="000000"/>
              </w:rPr>
              <w:t>5.547B</w:t>
            </w:r>
            <w:r w:rsidRPr="00745F75">
              <w:rPr>
                <w:color w:val="000000"/>
              </w:rPr>
              <w:t xml:space="preserve">  </w:t>
            </w:r>
            <w:r w:rsidRPr="00745F75">
              <w:rPr>
                <w:rStyle w:val="Artref"/>
                <w:color w:val="000000"/>
              </w:rPr>
              <w:t>5.548</w:t>
            </w:r>
          </w:p>
        </w:tc>
      </w:tr>
      <w:tr w:rsidR="006537F1" w:rsidRPr="00745F75" w14:paraId="50CB5E27" w14:textId="77777777" w:rsidTr="00785722">
        <w:trPr>
          <w:cantSplit/>
        </w:trPr>
        <w:tc>
          <w:tcPr>
            <w:tcW w:w="9303" w:type="dxa"/>
            <w:gridSpan w:val="3"/>
          </w:tcPr>
          <w:p w14:paraId="5E7C200A" w14:textId="77777777" w:rsidR="006537F1" w:rsidRPr="00745F75" w:rsidRDefault="00283062" w:rsidP="006537F1">
            <w:pPr>
              <w:pStyle w:val="TableTextS5"/>
              <w:spacing w:before="30" w:after="30"/>
              <w:rPr>
                <w:color w:val="000000"/>
              </w:rPr>
            </w:pPr>
            <w:r w:rsidRPr="00745F75">
              <w:rPr>
                <w:rStyle w:val="Tablefreq"/>
                <w:color w:val="000000"/>
              </w:rPr>
              <w:t>32-32,3</w:t>
            </w:r>
            <w:r w:rsidRPr="00745F75">
              <w:rPr>
                <w:b/>
                <w:color w:val="000000"/>
              </w:rPr>
              <w:tab/>
            </w:r>
            <w:r w:rsidRPr="00745F75">
              <w:rPr>
                <w:b/>
                <w:color w:val="000000"/>
              </w:rPr>
              <w:tab/>
            </w:r>
            <w:r w:rsidRPr="00745F75">
              <w:rPr>
                <w:color w:val="000000"/>
              </w:rPr>
              <w:t xml:space="preserve">FIJO  </w:t>
            </w:r>
            <w:r w:rsidRPr="00745F75">
              <w:rPr>
                <w:rStyle w:val="Artref10pt"/>
              </w:rPr>
              <w:t>5.547A</w:t>
            </w:r>
          </w:p>
          <w:p w14:paraId="5AE6096E"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t>RADIONAVEGACIÓN</w:t>
            </w:r>
          </w:p>
          <w:p w14:paraId="4604AD15"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t>INVESTIGACIÓN ESPACIAL (espacio lejano) (espacio-Tierra)</w:t>
            </w:r>
          </w:p>
          <w:p w14:paraId="3C70DC97"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r>
            <w:r w:rsidRPr="00745F75">
              <w:rPr>
                <w:rStyle w:val="Artref"/>
                <w:color w:val="000000"/>
              </w:rPr>
              <w:t>5.547</w:t>
            </w:r>
            <w:r w:rsidRPr="00745F75">
              <w:rPr>
                <w:color w:val="000000"/>
              </w:rPr>
              <w:t xml:space="preserve">  </w:t>
            </w:r>
            <w:r w:rsidRPr="00745F75">
              <w:rPr>
                <w:rStyle w:val="Artref"/>
                <w:color w:val="000000"/>
              </w:rPr>
              <w:t>5.547C</w:t>
            </w:r>
            <w:r w:rsidRPr="00745F75">
              <w:rPr>
                <w:color w:val="000000"/>
              </w:rPr>
              <w:t xml:space="preserve">  </w:t>
            </w:r>
            <w:r w:rsidRPr="00745F75">
              <w:rPr>
                <w:rStyle w:val="Artref"/>
                <w:color w:val="000000"/>
              </w:rPr>
              <w:t>5.548</w:t>
            </w:r>
          </w:p>
        </w:tc>
      </w:tr>
      <w:tr w:rsidR="006537F1" w:rsidRPr="00745F75" w14:paraId="4A8CB433" w14:textId="77777777" w:rsidTr="00785722">
        <w:trPr>
          <w:cantSplit/>
        </w:trPr>
        <w:tc>
          <w:tcPr>
            <w:tcW w:w="9303" w:type="dxa"/>
            <w:gridSpan w:val="3"/>
          </w:tcPr>
          <w:p w14:paraId="24E7DB15" w14:textId="77777777" w:rsidR="006537F1" w:rsidRPr="00745F75" w:rsidRDefault="00283062" w:rsidP="006537F1">
            <w:pPr>
              <w:pStyle w:val="TableTextS5"/>
              <w:spacing w:before="30" w:after="30"/>
              <w:rPr>
                <w:color w:val="000000"/>
              </w:rPr>
            </w:pPr>
            <w:r w:rsidRPr="00745F75">
              <w:rPr>
                <w:rStyle w:val="Tablefreq"/>
                <w:color w:val="000000"/>
              </w:rPr>
              <w:t>32,3-33</w:t>
            </w:r>
            <w:r w:rsidRPr="00745F75">
              <w:rPr>
                <w:color w:val="000000"/>
              </w:rPr>
              <w:tab/>
            </w:r>
            <w:r w:rsidRPr="00745F75">
              <w:rPr>
                <w:color w:val="000000"/>
              </w:rPr>
              <w:tab/>
              <w:t xml:space="preserve">FIJO  </w:t>
            </w:r>
            <w:r w:rsidRPr="00745F75">
              <w:rPr>
                <w:rStyle w:val="Artref10pt"/>
              </w:rPr>
              <w:t>5.547A</w:t>
            </w:r>
          </w:p>
          <w:p w14:paraId="6DCC7118"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t>ENTRE SATÉLITES</w:t>
            </w:r>
          </w:p>
          <w:p w14:paraId="571B95F6"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t>RADIONAVEGACIÓN</w:t>
            </w:r>
          </w:p>
          <w:p w14:paraId="5854DC1A"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r>
            <w:r w:rsidRPr="00745F75">
              <w:rPr>
                <w:rStyle w:val="Artref"/>
                <w:color w:val="000000"/>
              </w:rPr>
              <w:t>5.547</w:t>
            </w:r>
            <w:r w:rsidRPr="00745F75">
              <w:rPr>
                <w:color w:val="000000"/>
              </w:rPr>
              <w:t xml:space="preserve">  </w:t>
            </w:r>
            <w:r w:rsidRPr="00745F75">
              <w:rPr>
                <w:rStyle w:val="Artref"/>
                <w:color w:val="000000"/>
              </w:rPr>
              <w:t>5.547D</w:t>
            </w:r>
            <w:r w:rsidRPr="00745F75">
              <w:rPr>
                <w:color w:val="000000"/>
              </w:rPr>
              <w:t xml:space="preserve">  </w:t>
            </w:r>
            <w:r w:rsidRPr="00745F75">
              <w:rPr>
                <w:rStyle w:val="Artref"/>
                <w:color w:val="000000"/>
              </w:rPr>
              <w:t>5.548</w:t>
            </w:r>
          </w:p>
        </w:tc>
      </w:tr>
      <w:tr w:rsidR="006537F1" w:rsidRPr="00745F75" w14:paraId="107AA136" w14:textId="77777777" w:rsidTr="00785722">
        <w:trPr>
          <w:cantSplit/>
        </w:trPr>
        <w:tc>
          <w:tcPr>
            <w:tcW w:w="9303" w:type="dxa"/>
            <w:gridSpan w:val="3"/>
          </w:tcPr>
          <w:p w14:paraId="12E9F1CE" w14:textId="77777777" w:rsidR="006537F1" w:rsidRPr="00745F75" w:rsidRDefault="00283062" w:rsidP="006537F1">
            <w:pPr>
              <w:pStyle w:val="TableTextS5"/>
              <w:spacing w:before="30" w:after="30"/>
              <w:rPr>
                <w:color w:val="000000"/>
              </w:rPr>
            </w:pPr>
            <w:r w:rsidRPr="00745F75">
              <w:rPr>
                <w:rStyle w:val="Tablefreq"/>
                <w:color w:val="000000"/>
              </w:rPr>
              <w:t>33-33,4</w:t>
            </w:r>
            <w:r w:rsidRPr="00745F75">
              <w:rPr>
                <w:color w:val="000000"/>
              </w:rPr>
              <w:tab/>
            </w:r>
            <w:r w:rsidRPr="00745F75">
              <w:rPr>
                <w:color w:val="000000"/>
              </w:rPr>
              <w:tab/>
              <w:t xml:space="preserve">FIJO  </w:t>
            </w:r>
            <w:r w:rsidRPr="00745F75">
              <w:rPr>
                <w:rStyle w:val="Artref10pt"/>
              </w:rPr>
              <w:t>5.547A</w:t>
            </w:r>
          </w:p>
          <w:p w14:paraId="33EE272E" w14:textId="77777777" w:rsidR="006537F1" w:rsidRPr="00745F75" w:rsidRDefault="00283062" w:rsidP="006537F1">
            <w:pPr>
              <w:pStyle w:val="TableTextS5"/>
              <w:spacing w:before="30" w:after="30"/>
              <w:rPr>
                <w:color w:val="000000"/>
              </w:rPr>
            </w:pPr>
            <w:r w:rsidRPr="00745F75">
              <w:rPr>
                <w:color w:val="000000"/>
              </w:rPr>
              <w:tab/>
            </w:r>
            <w:r w:rsidRPr="00745F75">
              <w:rPr>
                <w:color w:val="000000"/>
              </w:rPr>
              <w:tab/>
            </w:r>
            <w:r w:rsidRPr="00745F75">
              <w:rPr>
                <w:color w:val="000000"/>
              </w:rPr>
              <w:tab/>
            </w:r>
            <w:r w:rsidRPr="00745F75">
              <w:rPr>
                <w:color w:val="000000"/>
              </w:rPr>
              <w:tab/>
              <w:t>RADIONAVEGACIÓN</w:t>
            </w:r>
          </w:p>
          <w:p w14:paraId="5261E428" w14:textId="77777777" w:rsidR="006537F1" w:rsidRPr="00745F75" w:rsidRDefault="00283062" w:rsidP="006537F1">
            <w:pPr>
              <w:pStyle w:val="TableTextS5"/>
              <w:spacing w:before="30" w:after="30"/>
              <w:rPr>
                <w:b/>
                <w:color w:val="000000"/>
              </w:rPr>
            </w:pPr>
            <w:r w:rsidRPr="00745F75">
              <w:rPr>
                <w:color w:val="000000"/>
              </w:rPr>
              <w:tab/>
            </w:r>
            <w:r w:rsidRPr="00745F75">
              <w:rPr>
                <w:color w:val="000000"/>
              </w:rPr>
              <w:tab/>
            </w:r>
            <w:r w:rsidRPr="00745F75">
              <w:rPr>
                <w:color w:val="000000"/>
              </w:rPr>
              <w:tab/>
            </w:r>
            <w:r w:rsidRPr="00745F75">
              <w:rPr>
                <w:color w:val="000000"/>
              </w:rPr>
              <w:tab/>
            </w:r>
            <w:r w:rsidRPr="00745F75">
              <w:rPr>
                <w:rStyle w:val="Artref10pt"/>
              </w:rPr>
              <w:t>5.547</w:t>
            </w:r>
            <w:r w:rsidRPr="00745F75">
              <w:rPr>
                <w:color w:val="000000"/>
              </w:rPr>
              <w:t xml:space="preserve">  </w:t>
            </w:r>
            <w:r w:rsidRPr="00745F75">
              <w:rPr>
                <w:rStyle w:val="Artref10pt"/>
              </w:rPr>
              <w:t>5.547E</w:t>
            </w:r>
          </w:p>
        </w:tc>
      </w:tr>
    </w:tbl>
    <w:p w14:paraId="3797E747" w14:textId="22ED3471" w:rsidR="00440739" w:rsidRPr="00745F75" w:rsidRDefault="00283062">
      <w:pPr>
        <w:pStyle w:val="Reasons"/>
      </w:pPr>
      <w:r w:rsidRPr="00745F75">
        <w:rPr>
          <w:b/>
        </w:rPr>
        <w:t>Motivos:</w:t>
      </w:r>
      <w:r w:rsidRPr="00745F75">
        <w:tab/>
      </w:r>
      <w:r w:rsidR="00785722" w:rsidRPr="00745F75">
        <w:t xml:space="preserve">La CEPT hace notar que hay estudios que han puesto de manifiesto las dificultades para lograr la coexistencia entre las IMT y otros servicios establecidos, en particular los sistemas de radionavegación, lo que demuestra su incompatibilidad. Todos los estudios técnicos del UIT-R han demostrado la incompatibilidad entre las IMT y los servicios de radionavegación en la banda de frecuencias 31,8-33,4 GHz, en particular en el caso de los radares de aeronaves para los que no pueden preverse zonas de coordinación/exclusión de un radio aproximado de 100 km alrededor de aeropuertos pequeños. Además, la única opción en el Informe de la RPC para esta banda de frecuencias es </w:t>
      </w:r>
      <w:r w:rsidRPr="00745F75">
        <w:t>«</w:t>
      </w:r>
      <w:r w:rsidR="00785722" w:rsidRPr="00745F75">
        <w:t>sin modificaciones</w:t>
      </w:r>
      <w:r w:rsidRPr="00745F75">
        <w:t>»</w:t>
      </w:r>
      <w:r w:rsidR="00785722" w:rsidRPr="00745F75">
        <w:t xml:space="preserve"> al Reglamento de Radiocomunicaciones. Por consiguiente, la CEPT no apoya ninguna modificación al Reglamento de Radiocomunicaciones en esta banda de frecuencias.</w:t>
      </w:r>
    </w:p>
    <w:p w14:paraId="6464703E" w14:textId="77777777" w:rsidR="00283062" w:rsidRPr="00745F75" w:rsidRDefault="00283062" w:rsidP="00283062"/>
    <w:p w14:paraId="5E93BA71" w14:textId="483A20BA" w:rsidR="00283062" w:rsidRPr="00745F75" w:rsidRDefault="00283062" w:rsidP="00283062">
      <w:pPr>
        <w:jc w:val="center"/>
      </w:pPr>
      <w:r w:rsidRPr="00745F75">
        <w:t>______________</w:t>
      </w:r>
    </w:p>
    <w:sectPr w:rsidR="00283062" w:rsidRPr="00745F75">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345CE" w14:textId="77777777" w:rsidR="003C0613" w:rsidRDefault="003C0613">
      <w:r>
        <w:separator/>
      </w:r>
    </w:p>
  </w:endnote>
  <w:endnote w:type="continuationSeparator" w:id="0">
    <w:p w14:paraId="6AC6B437"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B06B"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3BA23" w14:textId="7F6AB7BA" w:rsidR="0077084A" w:rsidRDefault="0077084A">
    <w:pPr>
      <w:ind w:right="360"/>
      <w:rPr>
        <w:lang w:val="en-US"/>
      </w:rPr>
    </w:pPr>
    <w:r>
      <w:fldChar w:fldCharType="begin"/>
    </w:r>
    <w:r>
      <w:rPr>
        <w:lang w:val="en-US"/>
      </w:rPr>
      <w:instrText xml:space="preserve"> FILENAME \p  \* MERGEFORMAT </w:instrText>
    </w:r>
    <w:r>
      <w:fldChar w:fldCharType="separate"/>
    </w:r>
    <w:r w:rsidR="00507005">
      <w:rPr>
        <w:noProof/>
        <w:lang w:val="en-US"/>
      </w:rPr>
      <w:t>P:\ESP\ITU-R\CONF-R\CMR19\000\016ADD13ADD02S.docx</w:t>
    </w:r>
    <w:r>
      <w:fldChar w:fldCharType="end"/>
    </w:r>
    <w:r>
      <w:rPr>
        <w:lang w:val="en-US"/>
      </w:rPr>
      <w:tab/>
    </w:r>
    <w:r>
      <w:fldChar w:fldCharType="begin"/>
    </w:r>
    <w:r>
      <w:instrText xml:space="preserve"> SAVEDATE \@ DD.MM.YY </w:instrText>
    </w:r>
    <w:r>
      <w:fldChar w:fldCharType="separate"/>
    </w:r>
    <w:r w:rsidR="00507005">
      <w:rPr>
        <w:noProof/>
      </w:rPr>
      <w:t>24.10.19</w:t>
    </w:r>
    <w:r>
      <w:fldChar w:fldCharType="end"/>
    </w:r>
    <w:r>
      <w:rPr>
        <w:lang w:val="en-US"/>
      </w:rPr>
      <w:tab/>
    </w:r>
    <w:r>
      <w:fldChar w:fldCharType="begin"/>
    </w:r>
    <w:r>
      <w:instrText xml:space="preserve"> PRINTDATE \@ DD.MM.YY </w:instrText>
    </w:r>
    <w:r>
      <w:fldChar w:fldCharType="separate"/>
    </w:r>
    <w:r w:rsidR="00507005">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AFA3" w14:textId="65B4BEAD" w:rsidR="0077084A" w:rsidRPr="00283062"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507005">
      <w:rPr>
        <w:lang w:val="en-US"/>
      </w:rPr>
      <w:t>P:\ESP\ITU-R\CONF-R\CMR19\000\016ADD13ADD02S.docx</w:t>
    </w:r>
    <w:r>
      <w:fldChar w:fldCharType="end"/>
    </w:r>
    <w:r w:rsidR="00283062" w:rsidRPr="00283062">
      <w:rPr>
        <w:lang w:val="en-GB"/>
      </w:rPr>
      <w:t xml:space="preserve"> </w:t>
    </w:r>
    <w:r w:rsidR="00283062">
      <w:rPr>
        <w:lang w:val="en-GB"/>
      </w:rPr>
      <w:t>(462007)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7E21" w14:textId="4A70C3D6" w:rsidR="0077084A" w:rsidRPr="00283062" w:rsidRDefault="0077084A" w:rsidP="00B47331">
    <w:pPr>
      <w:pStyle w:val="Footer"/>
      <w:rPr>
        <w:lang w:val="en-GB"/>
      </w:rPr>
    </w:pPr>
    <w:r>
      <w:fldChar w:fldCharType="begin"/>
    </w:r>
    <w:r>
      <w:rPr>
        <w:lang w:val="en-US"/>
      </w:rPr>
      <w:instrText xml:space="preserve"> FILENAME \p  \* MERGEFORMAT </w:instrText>
    </w:r>
    <w:r>
      <w:fldChar w:fldCharType="separate"/>
    </w:r>
    <w:r w:rsidR="00507005">
      <w:rPr>
        <w:lang w:val="en-US"/>
      </w:rPr>
      <w:t>P:\ESP\ITU-R\CONF-R\CMR19\000\016ADD13ADD02S.docx</w:t>
    </w:r>
    <w:r>
      <w:fldChar w:fldCharType="end"/>
    </w:r>
    <w:r w:rsidR="00283062" w:rsidRPr="00283062">
      <w:rPr>
        <w:lang w:val="en-GB"/>
      </w:rPr>
      <w:t xml:space="preserve"> </w:t>
    </w:r>
    <w:r w:rsidR="00283062">
      <w:rPr>
        <w:lang w:val="en-GB"/>
      </w:rPr>
      <w:t>(462007)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1FCA8" w14:textId="77777777" w:rsidR="003C0613" w:rsidRDefault="003C0613">
      <w:r>
        <w:rPr>
          <w:b/>
        </w:rPr>
        <w:t>_______________</w:t>
      </w:r>
    </w:p>
  </w:footnote>
  <w:footnote w:type="continuationSeparator" w:id="0">
    <w:p w14:paraId="07C3E43B"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938C"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400357CC" w14:textId="77777777" w:rsidR="0077084A" w:rsidRDefault="008750A8" w:rsidP="00C44E9E">
    <w:pPr>
      <w:pStyle w:val="Header"/>
      <w:rPr>
        <w:lang w:val="en-US"/>
      </w:rPr>
    </w:pPr>
    <w:r>
      <w:rPr>
        <w:lang w:val="en-US"/>
      </w:rPr>
      <w:t>CMR1</w:t>
    </w:r>
    <w:r w:rsidR="00C44E9E">
      <w:rPr>
        <w:lang w:val="en-US"/>
      </w:rPr>
      <w:t>9</w:t>
    </w:r>
    <w:r>
      <w:rPr>
        <w:lang w:val="en-US"/>
      </w:rPr>
      <w:t>/</w:t>
    </w:r>
    <w:r w:rsidR="00702F3D">
      <w:t>16(Add.13)(Add.2)-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569E"/>
    <w:rsid w:val="00255F12"/>
    <w:rsid w:val="00262C09"/>
    <w:rsid w:val="00283062"/>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739"/>
    <w:rsid w:val="00440B3A"/>
    <w:rsid w:val="0044375A"/>
    <w:rsid w:val="0045384C"/>
    <w:rsid w:val="00454553"/>
    <w:rsid w:val="00472A86"/>
    <w:rsid w:val="004B124A"/>
    <w:rsid w:val="004B3095"/>
    <w:rsid w:val="004D2C7C"/>
    <w:rsid w:val="00507005"/>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24E8"/>
    <w:rsid w:val="0074579D"/>
    <w:rsid w:val="00745F75"/>
    <w:rsid w:val="00765578"/>
    <w:rsid w:val="00766333"/>
    <w:rsid w:val="0077084A"/>
    <w:rsid w:val="00785722"/>
    <w:rsid w:val="007952C7"/>
    <w:rsid w:val="007C0B95"/>
    <w:rsid w:val="007C2317"/>
    <w:rsid w:val="007D330A"/>
    <w:rsid w:val="00866AE6"/>
    <w:rsid w:val="008750A8"/>
    <w:rsid w:val="00887739"/>
    <w:rsid w:val="008D3316"/>
    <w:rsid w:val="008E5AF2"/>
    <w:rsid w:val="0090121B"/>
    <w:rsid w:val="009144C9"/>
    <w:rsid w:val="0094091F"/>
    <w:rsid w:val="00962171"/>
    <w:rsid w:val="00973754"/>
    <w:rsid w:val="009C0BED"/>
    <w:rsid w:val="009E11EC"/>
    <w:rsid w:val="00A021CC"/>
    <w:rsid w:val="00A118DB"/>
    <w:rsid w:val="00A4450C"/>
    <w:rsid w:val="00AA5E6C"/>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87DA7"/>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B4B89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styleId="BalloonText">
    <w:name w:val="Balloon Text"/>
    <w:basedOn w:val="Normal"/>
    <w:link w:val="BalloonTextChar"/>
    <w:semiHidden/>
    <w:unhideWhenUsed/>
    <w:rsid w:val="0050700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0700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51CDC0B6-7C81-4A81-AEC1-C76517837A90}">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32a1a8c5-2265-4ebc-b7a0-2071e2c5c9bb"/>
    <ds:schemaRef ds:uri="http://purl.org/dc/terms/"/>
    <ds:schemaRef ds:uri="http://purl.org/dc/elements/1.1/"/>
    <ds:schemaRef ds:uri="http://schemas.openxmlformats.org/package/2006/metadata/core-properties"/>
    <ds:schemaRef ds:uri="996b2e75-67fd-4955-a3b0-5ab9934cb50b"/>
    <ds:schemaRef ds:uri="http://purl.org/dc/dcmitype/"/>
  </ds:schemaRefs>
</ds:datastoreItem>
</file>

<file path=customXml/itemProps5.xml><?xml version="1.0" encoding="utf-8"?>
<ds:datastoreItem xmlns:ds="http://schemas.openxmlformats.org/officeDocument/2006/customXml" ds:itemID="{7C14BAE8-1DC2-490E-81FE-634CDCEF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565</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R16-WRC19-C-0016!A13-A2!MSW-S</vt:lpstr>
    </vt:vector>
  </TitlesOfParts>
  <Manager>Secretaría General - Pool</Manager>
  <Company>Unión Internacional de Telecomunicaciones (UIT)</Company>
  <LinksUpToDate>false</LinksUpToDate>
  <CharactersWithSpaces>3883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R16-WRC19-C-0016!A13-A2!MSW-S</dc:title>
  <dc:subject>Conferencia Mundial de Radiocomunicaciones - 2019</dc:subject>
  <dc:creator>Documents Proposals Manager (DPM)</dc:creator>
  <cp:keywords>DPM_v2019.10.15.2_prod</cp:keywords>
  <dc:description/>
  <cp:lastModifiedBy>Spanish</cp:lastModifiedBy>
  <cp:revision>5</cp:revision>
  <cp:lastPrinted>2019-10-23T23:13:00Z</cp:lastPrinted>
  <dcterms:created xsi:type="dcterms:W3CDTF">2019-10-23T22:13:00Z</dcterms:created>
  <dcterms:modified xsi:type="dcterms:W3CDTF">2019-10-23T23:14:00Z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