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67505" w14:paraId="26C8DD95" w14:textId="77777777" w:rsidTr="001226EC">
        <w:trPr>
          <w:cantSplit/>
        </w:trPr>
        <w:tc>
          <w:tcPr>
            <w:tcW w:w="6771" w:type="dxa"/>
          </w:tcPr>
          <w:p w14:paraId="30520B8A" w14:textId="77777777" w:rsidR="005651C9" w:rsidRPr="00D67505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D6750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D67505">
              <w:rPr>
                <w:rFonts w:ascii="Verdana" w:hAnsi="Verdana"/>
                <w:b/>
                <w:bCs/>
                <w:szCs w:val="22"/>
              </w:rPr>
              <w:t>9</w:t>
            </w:r>
            <w:r w:rsidRPr="00D67505">
              <w:rPr>
                <w:rFonts w:ascii="Verdana" w:hAnsi="Verdana"/>
                <w:b/>
                <w:bCs/>
                <w:szCs w:val="22"/>
              </w:rPr>
              <w:t>)</w:t>
            </w:r>
            <w:r w:rsidRPr="00D67505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D6750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D6750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D6750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6750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56917F2E" w14:textId="77777777" w:rsidR="005651C9" w:rsidRPr="00D67505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D67505">
              <w:rPr>
                <w:szCs w:val="22"/>
                <w:lang w:eastAsia="en-GB"/>
              </w:rPr>
              <w:drawing>
                <wp:inline distT="0" distB="0" distL="0" distR="0" wp14:anchorId="5402277C" wp14:editId="71B1955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67505" w14:paraId="5CBA309C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2E956C1" w14:textId="77777777" w:rsidR="005651C9" w:rsidRPr="00D6750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CB1D160" w14:textId="77777777" w:rsidR="005651C9" w:rsidRPr="00D6750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67505" w14:paraId="7A19D342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DE7AE41" w14:textId="77777777" w:rsidR="005651C9" w:rsidRPr="00D6750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C14EECB" w14:textId="77777777" w:rsidR="005651C9" w:rsidRPr="00D6750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D67505" w14:paraId="78595F5D" w14:textId="77777777" w:rsidTr="001226EC">
        <w:trPr>
          <w:cantSplit/>
        </w:trPr>
        <w:tc>
          <w:tcPr>
            <w:tcW w:w="6771" w:type="dxa"/>
          </w:tcPr>
          <w:p w14:paraId="4BCA925F" w14:textId="77777777" w:rsidR="005651C9" w:rsidRPr="00D675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6750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355E290B" w14:textId="77777777" w:rsidR="005651C9" w:rsidRPr="00D6750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6750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D6750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16(Add.13)</w:t>
            </w:r>
            <w:r w:rsidR="005651C9" w:rsidRPr="00D6750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6750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67505" w14:paraId="3A5564D9" w14:textId="77777777" w:rsidTr="001226EC">
        <w:trPr>
          <w:cantSplit/>
        </w:trPr>
        <w:tc>
          <w:tcPr>
            <w:tcW w:w="6771" w:type="dxa"/>
          </w:tcPr>
          <w:p w14:paraId="17AC60DC" w14:textId="77777777" w:rsidR="000F33D8" w:rsidRPr="00D6750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B0C84F4" w14:textId="7357E83F" w:rsidR="000F33D8" w:rsidRPr="00D67505" w:rsidRDefault="00C44FFB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67505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="000F33D8" w:rsidRPr="00D67505">
              <w:rPr>
                <w:rFonts w:ascii="Verdana" w:hAnsi="Verdana"/>
                <w:b/>
                <w:bCs/>
                <w:sz w:val="18"/>
                <w:szCs w:val="18"/>
              </w:rPr>
              <w:t xml:space="preserve"> октября 2019 года</w:t>
            </w:r>
          </w:p>
        </w:tc>
      </w:tr>
      <w:tr w:rsidR="000F33D8" w:rsidRPr="00D67505" w14:paraId="675FCD63" w14:textId="77777777" w:rsidTr="001226EC">
        <w:trPr>
          <w:cantSplit/>
        </w:trPr>
        <w:tc>
          <w:tcPr>
            <w:tcW w:w="6771" w:type="dxa"/>
          </w:tcPr>
          <w:p w14:paraId="790ABB5C" w14:textId="77777777" w:rsidR="000F33D8" w:rsidRPr="00D6750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BC2B328" w14:textId="77777777" w:rsidR="000F33D8" w:rsidRPr="00D6750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6750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67505" w14:paraId="68E1CBB4" w14:textId="77777777" w:rsidTr="009546EA">
        <w:trPr>
          <w:cantSplit/>
        </w:trPr>
        <w:tc>
          <w:tcPr>
            <w:tcW w:w="10031" w:type="dxa"/>
            <w:gridSpan w:val="2"/>
          </w:tcPr>
          <w:p w14:paraId="61573038" w14:textId="77777777" w:rsidR="000F33D8" w:rsidRPr="00D6750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67505" w14:paraId="650EFBB2" w14:textId="77777777">
        <w:trPr>
          <w:cantSplit/>
        </w:trPr>
        <w:tc>
          <w:tcPr>
            <w:tcW w:w="10031" w:type="dxa"/>
            <w:gridSpan w:val="2"/>
          </w:tcPr>
          <w:p w14:paraId="39509FCB" w14:textId="77777777" w:rsidR="000F33D8" w:rsidRPr="00D6750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D67505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D67505" w14:paraId="0693E375" w14:textId="77777777">
        <w:trPr>
          <w:cantSplit/>
        </w:trPr>
        <w:tc>
          <w:tcPr>
            <w:tcW w:w="10031" w:type="dxa"/>
            <w:gridSpan w:val="2"/>
          </w:tcPr>
          <w:p w14:paraId="0ADACA69" w14:textId="77777777" w:rsidR="000F33D8" w:rsidRPr="00D67505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D6750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D67505" w14:paraId="27BDF7B1" w14:textId="77777777">
        <w:trPr>
          <w:cantSplit/>
        </w:trPr>
        <w:tc>
          <w:tcPr>
            <w:tcW w:w="10031" w:type="dxa"/>
            <w:gridSpan w:val="2"/>
          </w:tcPr>
          <w:p w14:paraId="7289B3A7" w14:textId="77777777" w:rsidR="000F33D8" w:rsidRPr="00D67505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D67505" w14:paraId="0D448434" w14:textId="77777777">
        <w:trPr>
          <w:cantSplit/>
        </w:trPr>
        <w:tc>
          <w:tcPr>
            <w:tcW w:w="10031" w:type="dxa"/>
            <w:gridSpan w:val="2"/>
          </w:tcPr>
          <w:p w14:paraId="3DD41C0A" w14:textId="77777777" w:rsidR="000F33D8" w:rsidRPr="00D67505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D67505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189066D5" w14:textId="77777777" w:rsidR="00D51940" w:rsidRPr="00D67505" w:rsidRDefault="00E4136E" w:rsidP="000878E6">
      <w:pPr>
        <w:rPr>
          <w:szCs w:val="22"/>
        </w:rPr>
      </w:pPr>
      <w:r w:rsidRPr="00D67505">
        <w:t>1.13</w:t>
      </w:r>
      <w:r w:rsidRPr="00D67505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D67505">
        <w:rPr>
          <w:b/>
          <w:bCs/>
        </w:rPr>
        <w:t>238 (ВКР-15)</w:t>
      </w:r>
      <w:r w:rsidRPr="00D67505">
        <w:t>;</w:t>
      </w:r>
    </w:p>
    <w:p w14:paraId="50E83309" w14:textId="3C2DCED1" w:rsidR="00C44FFB" w:rsidRPr="00D67505" w:rsidRDefault="005F59DA" w:rsidP="005A281A">
      <w:pPr>
        <w:pStyle w:val="Title4"/>
      </w:pPr>
      <w:r w:rsidRPr="00D67505">
        <w:t>Часть</w:t>
      </w:r>
      <w:r w:rsidR="00C44FFB" w:rsidRPr="00D67505">
        <w:t xml:space="preserve"> 2 – </w:t>
      </w:r>
      <w:r w:rsidRPr="00D67505">
        <w:t>Полоса частот</w:t>
      </w:r>
      <w:r w:rsidR="00C44FFB" w:rsidRPr="00D67505">
        <w:t xml:space="preserve"> 31,8−33,4 ГГц</w:t>
      </w:r>
    </w:p>
    <w:p w14:paraId="76FAC6C5" w14:textId="600732E8" w:rsidR="00C44FFB" w:rsidRPr="00D67505" w:rsidRDefault="005F59DA" w:rsidP="00C44FFB">
      <w:pPr>
        <w:pStyle w:val="Headingb"/>
        <w:rPr>
          <w:lang w:val="ru-RU"/>
        </w:rPr>
      </w:pPr>
      <w:r w:rsidRPr="00D67505">
        <w:rPr>
          <w:lang w:val="ru-RU"/>
        </w:rPr>
        <w:t>Введение</w:t>
      </w:r>
    </w:p>
    <w:p w14:paraId="0DA85FFE" w14:textId="27A81A17" w:rsidR="00C44FFB" w:rsidRPr="00D67505" w:rsidRDefault="005F59DA" w:rsidP="00C44FFB">
      <w:r w:rsidRPr="00D67505">
        <w:t>Настоящий документ представляет Общее предложение европейских стран в отношении полосы частот 31,8−33,4 ГГц в соответствии с пунктом 1.13 повестки дня ВКР-19</w:t>
      </w:r>
      <w:r w:rsidR="00C44FFB" w:rsidRPr="00D67505">
        <w:t>.</w:t>
      </w:r>
    </w:p>
    <w:p w14:paraId="0F774075" w14:textId="6301797C" w:rsidR="00C44FFB" w:rsidRPr="00D67505" w:rsidRDefault="005152C2" w:rsidP="00C44FFB">
      <w:r w:rsidRPr="00D67505">
        <w:t xml:space="preserve">Эта полоса частот распределена радионавигационной службе на </w:t>
      </w:r>
      <w:r w:rsidR="005F59DA" w:rsidRPr="00D67505">
        <w:t>всемир</w:t>
      </w:r>
      <w:r w:rsidRPr="00D67505">
        <w:t>ной основе</w:t>
      </w:r>
      <w:r w:rsidR="005F59DA" w:rsidRPr="00D67505">
        <w:t xml:space="preserve"> и используется в ряде стран для РЛС средств контроля наземного движения в аэропорту (ASDE)</w:t>
      </w:r>
      <w:r w:rsidR="00C44FFB" w:rsidRPr="00D67505">
        <w:t>,</w:t>
      </w:r>
      <w:r w:rsidR="005F59DA" w:rsidRPr="00D67505">
        <w:t xml:space="preserve"> в основном для</w:t>
      </w:r>
      <w:r w:rsidR="00C44FFB" w:rsidRPr="00D67505">
        <w:t xml:space="preserve"> </w:t>
      </w:r>
      <w:r w:rsidR="005F59DA" w:rsidRPr="00D67505">
        <w:t>слежения за движением в аэропортах</w:t>
      </w:r>
      <w:r w:rsidR="00693C99" w:rsidRPr="00D67505">
        <w:t>, а также</w:t>
      </w:r>
      <w:r w:rsidR="005F59DA" w:rsidRPr="00D67505">
        <w:t xml:space="preserve"> бортовыми РЛС для обзора поверхности земли, прогнозирования неблагоприятных погодных условий, калибровки бортовых навигационных систем воздушных судов</w:t>
      </w:r>
      <w:r w:rsidR="00C44FFB" w:rsidRPr="00D67505">
        <w:t xml:space="preserve">, </w:t>
      </w:r>
      <w:r w:rsidR="005F59DA" w:rsidRPr="00D67505">
        <w:t>для обеспечения точности воздушных перевозок в неблагоприятных погодных условиях, а также для</w:t>
      </w:r>
      <w:r w:rsidR="00C44FFB" w:rsidRPr="00D67505">
        <w:t xml:space="preserve"> </w:t>
      </w:r>
      <w:r w:rsidR="005F59DA" w:rsidRPr="00D67505">
        <w:t xml:space="preserve">системы технического зрения с расширенными возможностями визуализации </w:t>
      </w:r>
      <w:r w:rsidR="00C44FFB" w:rsidRPr="00D67505">
        <w:t xml:space="preserve">(EFVS). </w:t>
      </w:r>
    </w:p>
    <w:p w14:paraId="6CF09048" w14:textId="2728D777" w:rsidR="00C44FFB" w:rsidRPr="00D67505" w:rsidRDefault="007074EA" w:rsidP="00C44FFB">
      <w:r w:rsidRPr="00D67505">
        <w:t xml:space="preserve">Система </w:t>
      </w:r>
      <w:r w:rsidR="00C44FFB" w:rsidRPr="00D67505">
        <w:t xml:space="preserve">EFVS </w:t>
      </w:r>
      <w:r w:rsidRPr="00D67505">
        <w:t>генерирует навигационную информацию и</w:t>
      </w:r>
      <w:r w:rsidR="00C44FFB" w:rsidRPr="00D67505">
        <w:t xml:space="preserve"> </w:t>
      </w:r>
      <w:r w:rsidRPr="00D67505">
        <w:t>компьютерную графику</w:t>
      </w:r>
      <w:r w:rsidR="00C44FFB" w:rsidRPr="00D67505">
        <w:t xml:space="preserve"> </w:t>
      </w:r>
      <w:r w:rsidRPr="00D67505">
        <w:t>внешней обстановки для кабины пилотов с основной целью позволить посадку в условиях плохой видимости</w:t>
      </w:r>
      <w:r w:rsidR="00C44FFB" w:rsidRPr="00D67505">
        <w:t>, (</w:t>
      </w:r>
      <w:r w:rsidRPr="00D67505">
        <w:t>предоставляя дополнительные возможности во время</w:t>
      </w:r>
      <w:r w:rsidR="00C44FFB" w:rsidRPr="00D67505">
        <w:t xml:space="preserve"> </w:t>
      </w:r>
      <w:r w:rsidRPr="00D67505">
        <w:t>рулежки</w:t>
      </w:r>
      <w:r w:rsidR="00C44FFB" w:rsidRPr="00D67505">
        <w:t xml:space="preserve">), </w:t>
      </w:r>
      <w:r w:rsidRPr="00D67505">
        <w:t>в случая когда в противном случае посадка</w:t>
      </w:r>
      <w:r w:rsidR="00C44FFB" w:rsidRPr="00D67505">
        <w:t xml:space="preserve"> </w:t>
      </w:r>
      <w:r w:rsidR="005A281A" w:rsidRPr="00D67505">
        <w:t xml:space="preserve">была </w:t>
      </w:r>
      <w:r w:rsidR="00693C99" w:rsidRPr="00D67505">
        <w:t>бы небезопасной</w:t>
      </w:r>
      <w:r w:rsidR="00C44FFB" w:rsidRPr="00D67505">
        <w:t xml:space="preserve"> (</w:t>
      </w:r>
      <w:r w:rsidR="00693C99" w:rsidRPr="00D67505">
        <w:t>особенно, если аэропорт не оборудован</w:t>
      </w:r>
      <w:r w:rsidR="00C44FFB" w:rsidRPr="00D67505">
        <w:t xml:space="preserve"> </w:t>
      </w:r>
      <w:r w:rsidR="00693C99" w:rsidRPr="00D67505">
        <w:t>наземными системами посадки, такими как</w:t>
      </w:r>
      <w:r w:rsidR="00C44FFB" w:rsidRPr="00D67505">
        <w:t xml:space="preserve"> ILS). </w:t>
      </w:r>
    </w:p>
    <w:p w14:paraId="63DC1ACE" w14:textId="4D09759B" w:rsidR="00C44FFB" w:rsidRPr="00D67505" w:rsidRDefault="00C44FFB" w:rsidP="00C44FFB">
      <w:r w:rsidRPr="00D67505">
        <w:t>Данная полоса обеспечивает хороший компромисс между разрешающей способностью и глубиной зондирования атмосферы в плохих погодных условиях.</w:t>
      </w:r>
    </w:p>
    <w:p w14:paraId="0DFD4C65" w14:textId="0F94742A" w:rsidR="00C44FFB" w:rsidRPr="00D67505" w:rsidRDefault="00693C99" w:rsidP="00C44FFB">
      <w:r w:rsidRPr="00D67505">
        <w:t xml:space="preserve">Результаты всех технических исследований, представленные </w:t>
      </w:r>
      <w:r w:rsidR="00B578ED" w:rsidRPr="00D67505">
        <w:t xml:space="preserve">в рамках </w:t>
      </w:r>
      <w:r w:rsidRPr="00D67505">
        <w:t xml:space="preserve">ЦГ </w:t>
      </w:r>
      <w:r w:rsidR="00C44FFB" w:rsidRPr="00D67505">
        <w:t xml:space="preserve">5/1 </w:t>
      </w:r>
      <w:r w:rsidRPr="00D67505">
        <w:t>МСЭ-R показали, что</w:t>
      </w:r>
      <w:r w:rsidR="00C44FFB" w:rsidRPr="00D67505">
        <w:t xml:space="preserve"> IMT</w:t>
      </w:r>
      <w:r w:rsidRPr="00D67505">
        <w:t xml:space="preserve"> несовместима с радионавигационной службой в полосе частот</w:t>
      </w:r>
      <w:r w:rsidR="00C44FFB" w:rsidRPr="00D67505">
        <w:t xml:space="preserve"> 31,8−33,4 ГГц, </w:t>
      </w:r>
      <w:r w:rsidR="00B578ED" w:rsidRPr="00D67505">
        <w:t xml:space="preserve">в </w:t>
      </w:r>
      <w:r w:rsidRPr="00D67505">
        <w:t xml:space="preserve">частности, в </w:t>
      </w:r>
      <w:r w:rsidR="005152C2" w:rsidRPr="00D67505">
        <w:t xml:space="preserve">случае </w:t>
      </w:r>
      <w:r w:rsidRPr="00D67505">
        <w:t>радаров воздушных судов</w:t>
      </w:r>
      <w:r w:rsidR="00B578ED" w:rsidRPr="00D67505">
        <w:t>,</w:t>
      </w:r>
      <w:r w:rsidRPr="00D67505">
        <w:t xml:space="preserve"> для которых в радиусе до 100 км вокруг любого небольшого аэропорта</w:t>
      </w:r>
      <w:r w:rsidR="00B578ED" w:rsidRPr="00D67505">
        <w:t xml:space="preserve"> невозможно предусмотреть создание</w:t>
      </w:r>
      <w:r w:rsidR="00C44FFB" w:rsidRPr="00D67505">
        <w:t xml:space="preserve"> </w:t>
      </w:r>
      <w:r w:rsidR="00B578ED" w:rsidRPr="00D67505">
        <w:t>координаци</w:t>
      </w:r>
      <w:r w:rsidR="005152C2" w:rsidRPr="00D67505">
        <w:t>онных</w:t>
      </w:r>
      <w:r w:rsidR="00C44FFB" w:rsidRPr="00D67505">
        <w:t>/</w:t>
      </w:r>
      <w:r w:rsidR="00B578ED" w:rsidRPr="00D67505">
        <w:t>запретн</w:t>
      </w:r>
      <w:r w:rsidR="005152C2" w:rsidRPr="00D67505">
        <w:t>ых</w:t>
      </w:r>
      <w:r w:rsidR="00C44FFB" w:rsidRPr="00D67505">
        <w:t xml:space="preserve"> </w:t>
      </w:r>
      <w:r w:rsidR="00B578ED" w:rsidRPr="00D67505">
        <w:t>зон</w:t>
      </w:r>
      <w:r w:rsidR="00C44FFB" w:rsidRPr="00D67505">
        <w:t>.</w:t>
      </w:r>
    </w:p>
    <w:p w14:paraId="76C5A5BC" w14:textId="0B05904A" w:rsidR="0003535B" w:rsidRPr="00D67505" w:rsidRDefault="005F59DA" w:rsidP="00C44FFB">
      <w:pPr>
        <w:pStyle w:val="Headingb"/>
        <w:rPr>
          <w:lang w:val="ru-RU"/>
        </w:rPr>
      </w:pPr>
      <w:r w:rsidRPr="00D67505">
        <w:rPr>
          <w:lang w:val="ru-RU"/>
        </w:rPr>
        <w:t>Предложение</w:t>
      </w:r>
    </w:p>
    <w:p w14:paraId="17740B85" w14:textId="77777777" w:rsidR="009B5CC2" w:rsidRPr="00D67505" w:rsidRDefault="009B5CC2" w:rsidP="00C44FFB">
      <w:r w:rsidRPr="00D67505">
        <w:br w:type="page"/>
      </w:r>
    </w:p>
    <w:p w14:paraId="59EAA849" w14:textId="77777777" w:rsidR="000C3ACF" w:rsidRPr="00D67505" w:rsidRDefault="00E4136E" w:rsidP="00C44FFB">
      <w:pPr>
        <w:pStyle w:val="ArtNo"/>
      </w:pPr>
      <w:bookmarkStart w:id="7" w:name="_Toc331607681"/>
      <w:bookmarkStart w:id="8" w:name="_Toc456189604"/>
      <w:r w:rsidRPr="00D67505">
        <w:lastRenderedPageBreak/>
        <w:t xml:space="preserve">СТАТЬЯ </w:t>
      </w:r>
      <w:r w:rsidRPr="00D67505">
        <w:rPr>
          <w:rStyle w:val="href"/>
        </w:rPr>
        <w:t>5</w:t>
      </w:r>
      <w:bookmarkEnd w:id="7"/>
      <w:bookmarkEnd w:id="8"/>
    </w:p>
    <w:p w14:paraId="1A46D07D" w14:textId="77777777" w:rsidR="000C3ACF" w:rsidRPr="00D67505" w:rsidRDefault="00E4136E" w:rsidP="00450154">
      <w:pPr>
        <w:pStyle w:val="Arttitle"/>
      </w:pPr>
      <w:bookmarkStart w:id="9" w:name="_Toc331607682"/>
      <w:bookmarkStart w:id="10" w:name="_Toc456189605"/>
      <w:r w:rsidRPr="00D67505">
        <w:t>Распределение частот</w:t>
      </w:r>
      <w:bookmarkEnd w:id="9"/>
      <w:bookmarkEnd w:id="10"/>
    </w:p>
    <w:p w14:paraId="29B90854" w14:textId="77777777" w:rsidR="000C3ACF" w:rsidRPr="00D67505" w:rsidRDefault="00E4136E" w:rsidP="00450154">
      <w:pPr>
        <w:pStyle w:val="Section1"/>
      </w:pPr>
      <w:bookmarkStart w:id="11" w:name="_Toc331607687"/>
      <w:r w:rsidRPr="00D67505">
        <w:t>Раздел IV  –  Таблица распределения частот</w:t>
      </w:r>
      <w:r w:rsidRPr="00D67505">
        <w:br/>
      </w:r>
      <w:r w:rsidRPr="00D67505">
        <w:rPr>
          <w:b w:val="0"/>
          <w:bCs/>
        </w:rPr>
        <w:t>(См. п.</w:t>
      </w:r>
      <w:r w:rsidRPr="00D67505">
        <w:t xml:space="preserve"> 2.1</w:t>
      </w:r>
      <w:r w:rsidRPr="00D67505">
        <w:rPr>
          <w:b w:val="0"/>
          <w:bCs/>
        </w:rPr>
        <w:t>)</w:t>
      </w:r>
      <w:bookmarkEnd w:id="11"/>
    </w:p>
    <w:p w14:paraId="3A814BD8" w14:textId="77777777" w:rsidR="00336A0A" w:rsidRPr="00D67505" w:rsidRDefault="00E4136E">
      <w:pPr>
        <w:pStyle w:val="Proposal"/>
      </w:pPr>
      <w:r w:rsidRPr="00D67505">
        <w:rPr>
          <w:u w:val="single"/>
        </w:rPr>
        <w:t>NOC</w:t>
      </w:r>
      <w:r w:rsidRPr="00D67505">
        <w:tab/>
        <w:t>EUR/16A13A2/1</w:t>
      </w:r>
    </w:p>
    <w:p w14:paraId="0D476255" w14:textId="77777777" w:rsidR="000C3ACF" w:rsidRPr="00D67505" w:rsidRDefault="00E4136E" w:rsidP="00450154">
      <w:pPr>
        <w:pStyle w:val="Tabletitle"/>
        <w:keepNext w:val="0"/>
        <w:keepLines w:val="0"/>
      </w:pPr>
      <w:r w:rsidRPr="00D67505">
        <w:t>29,9–34,2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C3ACF" w:rsidRPr="00D67505" w14:paraId="77F3BB83" w14:textId="77777777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0796" w14:textId="77777777" w:rsidR="000C3ACF" w:rsidRPr="00D67505" w:rsidRDefault="00E4136E" w:rsidP="00450154">
            <w:pPr>
              <w:pStyle w:val="Tablehead"/>
              <w:rPr>
                <w:lang w:val="ru-RU"/>
              </w:rPr>
            </w:pPr>
            <w:r w:rsidRPr="00D67505">
              <w:rPr>
                <w:lang w:val="ru-RU"/>
              </w:rPr>
              <w:t>Распределение по службам</w:t>
            </w:r>
          </w:p>
        </w:tc>
      </w:tr>
      <w:tr w:rsidR="000C3ACF" w:rsidRPr="00D67505" w14:paraId="5A16B3DC" w14:textId="77777777" w:rsidTr="002A7127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F5E" w14:textId="77777777" w:rsidR="000C3ACF" w:rsidRPr="00D67505" w:rsidRDefault="00E4136E" w:rsidP="00450154">
            <w:pPr>
              <w:pStyle w:val="Tablehead"/>
              <w:rPr>
                <w:lang w:val="ru-RU"/>
              </w:rPr>
            </w:pPr>
            <w:r w:rsidRPr="00D67505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FDF" w14:textId="77777777" w:rsidR="000C3ACF" w:rsidRPr="00D67505" w:rsidRDefault="00E4136E" w:rsidP="00450154">
            <w:pPr>
              <w:pStyle w:val="Tablehead"/>
              <w:rPr>
                <w:lang w:val="ru-RU"/>
              </w:rPr>
            </w:pPr>
            <w:r w:rsidRPr="00D67505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F57" w14:textId="77777777" w:rsidR="000C3ACF" w:rsidRPr="00D67505" w:rsidRDefault="00E4136E" w:rsidP="00450154">
            <w:pPr>
              <w:pStyle w:val="Tablehead"/>
              <w:rPr>
                <w:lang w:val="ru-RU"/>
              </w:rPr>
            </w:pPr>
            <w:r w:rsidRPr="00D67505">
              <w:rPr>
                <w:lang w:val="ru-RU"/>
              </w:rPr>
              <w:t>Район 3</w:t>
            </w:r>
          </w:p>
        </w:tc>
      </w:tr>
      <w:tr w:rsidR="000C3ACF" w:rsidRPr="00D67505" w14:paraId="681A4F87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F0A5E" w14:textId="77777777" w:rsidR="000C3ACF" w:rsidRPr="00D67505" w:rsidRDefault="00E4136E" w:rsidP="00450154">
            <w:pPr>
              <w:spacing w:before="40" w:after="40"/>
              <w:rPr>
                <w:rStyle w:val="Tablefreq"/>
              </w:rPr>
            </w:pPr>
            <w:r w:rsidRPr="00D67505">
              <w:rPr>
                <w:rStyle w:val="Tablefreq"/>
              </w:rPr>
              <w:t>31,8–32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676E" w14:textId="77777777" w:rsidR="000C3ACF" w:rsidRPr="00D67505" w:rsidRDefault="00E4136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67505">
              <w:rPr>
                <w:lang w:val="ru-RU"/>
              </w:rPr>
              <w:t>ФИКСИРОВАННАЯ</w:t>
            </w:r>
            <w:r w:rsidRPr="00D67505">
              <w:rPr>
                <w:rStyle w:val="Artref"/>
                <w:lang w:val="ru-RU"/>
              </w:rPr>
              <w:t xml:space="preserve">  5.547A</w:t>
            </w:r>
          </w:p>
          <w:p w14:paraId="6B35B209" w14:textId="77777777" w:rsidR="000C3ACF" w:rsidRPr="00D67505" w:rsidRDefault="00E4136E" w:rsidP="00450154">
            <w:pPr>
              <w:pStyle w:val="TableTextS5"/>
              <w:ind w:hanging="255"/>
              <w:rPr>
                <w:lang w:val="ru-RU"/>
              </w:rPr>
            </w:pPr>
            <w:r w:rsidRPr="00D67505">
              <w:rPr>
                <w:lang w:val="ru-RU"/>
              </w:rPr>
              <w:t xml:space="preserve">РАДИОНАВИГАЦИОННАЯ </w:t>
            </w:r>
          </w:p>
          <w:p w14:paraId="05FC03A0" w14:textId="77777777" w:rsidR="000C3ACF" w:rsidRPr="00D67505" w:rsidRDefault="00E4136E" w:rsidP="00450154">
            <w:pPr>
              <w:pStyle w:val="TableTextS5"/>
              <w:ind w:hanging="255"/>
              <w:rPr>
                <w:lang w:val="ru-RU"/>
              </w:rPr>
            </w:pPr>
            <w:r w:rsidRPr="00D67505">
              <w:rPr>
                <w:lang w:val="ru-RU"/>
              </w:rPr>
              <w:t xml:space="preserve">СЛУЖБА КОСМИЧЕСКИХ ИССЛЕДОВАНИЙ (дальний космос) </w:t>
            </w:r>
            <w:r w:rsidRPr="00D67505">
              <w:rPr>
                <w:lang w:val="ru-RU"/>
              </w:rPr>
              <w:br/>
              <w:t xml:space="preserve">(космос-Земля) </w:t>
            </w:r>
          </w:p>
          <w:p w14:paraId="3023CA72" w14:textId="77777777" w:rsidR="000C3ACF" w:rsidRPr="00D67505" w:rsidRDefault="00E4136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67505">
              <w:rPr>
                <w:rStyle w:val="Artref"/>
                <w:lang w:val="ru-RU"/>
              </w:rPr>
              <w:t>5.547  5.547B  5.548</w:t>
            </w:r>
          </w:p>
        </w:tc>
      </w:tr>
      <w:tr w:rsidR="000C3ACF" w:rsidRPr="00D67505" w14:paraId="1A97EDEF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9DF42" w14:textId="77777777" w:rsidR="000C3ACF" w:rsidRPr="00D67505" w:rsidRDefault="00E4136E" w:rsidP="00450154">
            <w:pPr>
              <w:spacing w:before="40" w:after="40"/>
              <w:rPr>
                <w:rStyle w:val="Tablefreq"/>
              </w:rPr>
            </w:pPr>
            <w:r w:rsidRPr="00D67505">
              <w:rPr>
                <w:rStyle w:val="Tablefreq"/>
              </w:rPr>
              <w:t>32–32,3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D26C" w14:textId="77777777" w:rsidR="000C3ACF" w:rsidRPr="00D67505" w:rsidRDefault="00E4136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67505">
              <w:rPr>
                <w:lang w:val="ru-RU"/>
              </w:rPr>
              <w:t xml:space="preserve">ФИКСИРОВАННАЯ  </w:t>
            </w:r>
            <w:r w:rsidRPr="00D67505">
              <w:rPr>
                <w:rStyle w:val="Artref"/>
                <w:lang w:val="ru-RU"/>
              </w:rPr>
              <w:t>5.547A</w:t>
            </w:r>
          </w:p>
          <w:p w14:paraId="26E36535" w14:textId="77777777" w:rsidR="000C3ACF" w:rsidRPr="00D67505" w:rsidRDefault="00E4136E" w:rsidP="00450154">
            <w:pPr>
              <w:pStyle w:val="TableTextS5"/>
              <w:ind w:hanging="255"/>
              <w:rPr>
                <w:lang w:val="ru-RU"/>
              </w:rPr>
            </w:pPr>
            <w:r w:rsidRPr="00D67505">
              <w:rPr>
                <w:lang w:val="ru-RU"/>
              </w:rPr>
              <w:t xml:space="preserve">РАДИОНАВИГАЦИОННАЯ </w:t>
            </w:r>
          </w:p>
          <w:p w14:paraId="7CAE7259" w14:textId="77777777" w:rsidR="000C3ACF" w:rsidRPr="00D67505" w:rsidRDefault="00E4136E" w:rsidP="00450154">
            <w:pPr>
              <w:pStyle w:val="TableTextS5"/>
              <w:ind w:hanging="255"/>
              <w:rPr>
                <w:lang w:val="ru-RU"/>
              </w:rPr>
            </w:pPr>
            <w:r w:rsidRPr="00D67505">
              <w:rPr>
                <w:lang w:val="ru-RU"/>
              </w:rPr>
              <w:t xml:space="preserve">СЛУЖБА КОСМИЧЕСКИХ ИССЛЕДОВАНИЙ (дальний космос) </w:t>
            </w:r>
            <w:r w:rsidRPr="00D67505">
              <w:rPr>
                <w:lang w:val="ru-RU"/>
              </w:rPr>
              <w:br/>
              <w:t xml:space="preserve">(космос-Земля) </w:t>
            </w:r>
          </w:p>
          <w:p w14:paraId="4B65C734" w14:textId="77777777" w:rsidR="000C3ACF" w:rsidRPr="00D67505" w:rsidRDefault="00E4136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67505">
              <w:rPr>
                <w:rStyle w:val="Artref"/>
                <w:lang w:val="ru-RU"/>
              </w:rPr>
              <w:t>5.547  5.547C  5.548</w:t>
            </w:r>
          </w:p>
        </w:tc>
      </w:tr>
      <w:tr w:rsidR="000C3ACF" w:rsidRPr="00D67505" w14:paraId="3DA65DCD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8FADB5" w14:textId="77777777" w:rsidR="000C3ACF" w:rsidRPr="00D67505" w:rsidRDefault="00E4136E" w:rsidP="00450154">
            <w:pPr>
              <w:spacing w:before="40" w:after="40"/>
              <w:rPr>
                <w:rStyle w:val="Tablefreq"/>
              </w:rPr>
            </w:pPr>
            <w:r w:rsidRPr="00D67505">
              <w:rPr>
                <w:rStyle w:val="Tablefreq"/>
              </w:rPr>
              <w:t>32,3–33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E853" w14:textId="77777777" w:rsidR="000C3ACF" w:rsidRPr="00D67505" w:rsidRDefault="00E4136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67505">
              <w:rPr>
                <w:lang w:val="ru-RU"/>
              </w:rPr>
              <w:t xml:space="preserve">ФИКСИРОВАННАЯ  </w:t>
            </w:r>
            <w:r w:rsidRPr="00D67505">
              <w:rPr>
                <w:rStyle w:val="Artref"/>
                <w:lang w:val="ru-RU"/>
              </w:rPr>
              <w:t>5.547A</w:t>
            </w:r>
          </w:p>
          <w:p w14:paraId="1A687D64" w14:textId="77777777" w:rsidR="000C3ACF" w:rsidRPr="00D67505" w:rsidRDefault="00E4136E" w:rsidP="00450154">
            <w:pPr>
              <w:pStyle w:val="TableTextS5"/>
              <w:ind w:hanging="255"/>
              <w:rPr>
                <w:lang w:val="ru-RU"/>
              </w:rPr>
            </w:pPr>
            <w:r w:rsidRPr="00D67505">
              <w:rPr>
                <w:lang w:val="ru-RU"/>
              </w:rPr>
              <w:t xml:space="preserve">МЕЖСПУТНИКОВАЯ </w:t>
            </w:r>
          </w:p>
          <w:p w14:paraId="359F1283" w14:textId="77777777" w:rsidR="000C3ACF" w:rsidRPr="00D67505" w:rsidRDefault="00E4136E" w:rsidP="00450154">
            <w:pPr>
              <w:pStyle w:val="TableTextS5"/>
              <w:ind w:hanging="255"/>
              <w:rPr>
                <w:lang w:val="ru-RU"/>
              </w:rPr>
            </w:pPr>
            <w:r w:rsidRPr="00D67505">
              <w:rPr>
                <w:lang w:val="ru-RU"/>
              </w:rPr>
              <w:t xml:space="preserve">РАДИОНАВИГАЦИОННАЯ </w:t>
            </w:r>
          </w:p>
          <w:p w14:paraId="3295F35F" w14:textId="77777777" w:rsidR="000C3ACF" w:rsidRPr="00D67505" w:rsidRDefault="00E4136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67505">
              <w:rPr>
                <w:rStyle w:val="Artref"/>
                <w:lang w:val="ru-RU"/>
              </w:rPr>
              <w:t>5.547  5.547D  5.548</w:t>
            </w:r>
          </w:p>
        </w:tc>
      </w:tr>
      <w:tr w:rsidR="000C3ACF" w:rsidRPr="00D67505" w14:paraId="1C800AC4" w14:textId="77777777" w:rsidTr="00F86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695698" w14:textId="77777777" w:rsidR="000C3ACF" w:rsidRPr="00D67505" w:rsidRDefault="00E4136E" w:rsidP="00450154">
            <w:pPr>
              <w:spacing w:before="40" w:after="40"/>
              <w:rPr>
                <w:rStyle w:val="Tablefreq"/>
              </w:rPr>
            </w:pPr>
            <w:r w:rsidRPr="00D67505">
              <w:rPr>
                <w:rStyle w:val="Tablefreq"/>
              </w:rPr>
              <w:t>33–33,4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C5E3" w14:textId="77777777" w:rsidR="000C3ACF" w:rsidRPr="00D67505" w:rsidRDefault="00E4136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67505">
              <w:rPr>
                <w:lang w:val="ru-RU"/>
              </w:rPr>
              <w:t xml:space="preserve">ФИКСИРОВАННАЯ  </w:t>
            </w:r>
            <w:r w:rsidRPr="00D67505">
              <w:rPr>
                <w:rStyle w:val="Artref"/>
                <w:lang w:val="ru-RU"/>
              </w:rPr>
              <w:t>5.547A</w:t>
            </w:r>
          </w:p>
          <w:p w14:paraId="40533F93" w14:textId="77777777" w:rsidR="000C3ACF" w:rsidRPr="00D67505" w:rsidRDefault="00E4136E" w:rsidP="00450154">
            <w:pPr>
              <w:pStyle w:val="TableTextS5"/>
              <w:ind w:hanging="255"/>
              <w:rPr>
                <w:lang w:val="ru-RU"/>
              </w:rPr>
            </w:pPr>
            <w:r w:rsidRPr="00D67505">
              <w:rPr>
                <w:lang w:val="ru-RU"/>
              </w:rPr>
              <w:t>РАДИОНАВИГАЦИОННАЯ</w:t>
            </w:r>
          </w:p>
          <w:p w14:paraId="54BAC763" w14:textId="77777777" w:rsidR="000C3ACF" w:rsidRPr="00D67505" w:rsidRDefault="00E4136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67505">
              <w:rPr>
                <w:rStyle w:val="Artref"/>
                <w:lang w:val="ru-RU"/>
              </w:rPr>
              <w:t>5.547  5.547E</w:t>
            </w:r>
          </w:p>
        </w:tc>
      </w:tr>
    </w:tbl>
    <w:p w14:paraId="6DA5E1D1" w14:textId="5A75C116" w:rsidR="00576EC2" w:rsidRPr="00D67505" w:rsidRDefault="00E4136E" w:rsidP="005A281A">
      <w:pPr>
        <w:pStyle w:val="Reasons"/>
      </w:pPr>
      <w:r w:rsidRPr="00D67505">
        <w:rPr>
          <w:b/>
        </w:rPr>
        <w:t>Основания</w:t>
      </w:r>
      <w:r w:rsidRPr="00D67505">
        <w:t>:</w:t>
      </w:r>
      <w:r w:rsidRPr="00D67505">
        <w:tab/>
      </w:r>
      <w:r w:rsidR="00B578ED" w:rsidRPr="00D67505">
        <w:t>СЕПТ отмечает, что</w:t>
      </w:r>
      <w:r w:rsidRPr="00D67505">
        <w:t xml:space="preserve"> </w:t>
      </w:r>
      <w:r w:rsidR="00B578ED" w:rsidRPr="00D67505">
        <w:t xml:space="preserve">исследования показали, что </w:t>
      </w:r>
      <w:r w:rsidR="000231A8" w:rsidRPr="00D67505">
        <w:t>существуют</w:t>
      </w:r>
      <w:r w:rsidR="00B578ED" w:rsidRPr="00D67505">
        <w:t xml:space="preserve"> сложности для достижения сосуществования</w:t>
      </w:r>
      <w:r w:rsidRPr="00D67505">
        <w:t xml:space="preserve"> IMT </w:t>
      </w:r>
      <w:r w:rsidR="00B578ED" w:rsidRPr="00D67505">
        <w:t>и других действующих систем</w:t>
      </w:r>
      <w:r w:rsidRPr="00D67505">
        <w:t>,</w:t>
      </w:r>
      <w:r w:rsidR="000231A8" w:rsidRPr="00D67505">
        <w:t xml:space="preserve"> в частности радионавигационных систем</w:t>
      </w:r>
      <w:r w:rsidRPr="00D67505">
        <w:t xml:space="preserve">. </w:t>
      </w:r>
      <w:r w:rsidR="000231A8" w:rsidRPr="00D67505">
        <w:t xml:space="preserve">Результаты всех технических исследований показали, что IMT несовместима с радионавигационной службой в полосе частот 31,8−33,4 ГГц, в частности, в </w:t>
      </w:r>
      <w:r w:rsidR="005152C2" w:rsidRPr="00D67505">
        <w:t>случае</w:t>
      </w:r>
      <w:r w:rsidR="000231A8" w:rsidRPr="00D67505">
        <w:t xml:space="preserve"> радаров воздушных судов, для кот</w:t>
      </w:r>
      <w:bookmarkStart w:id="12" w:name="_GoBack"/>
      <w:bookmarkEnd w:id="12"/>
      <w:r w:rsidR="000231A8" w:rsidRPr="00D67505">
        <w:t>орых в радиусе до 100 км вокруг любого небольшого аэропорта невозможно предусмотреть создание координаци</w:t>
      </w:r>
      <w:r w:rsidR="005152C2" w:rsidRPr="00D67505">
        <w:t>онных</w:t>
      </w:r>
      <w:r w:rsidR="000231A8" w:rsidRPr="00D67505">
        <w:t>/запретн</w:t>
      </w:r>
      <w:r w:rsidR="005152C2" w:rsidRPr="00D67505">
        <w:t>ых</w:t>
      </w:r>
      <w:r w:rsidR="000231A8" w:rsidRPr="00D67505">
        <w:t xml:space="preserve"> зон.</w:t>
      </w:r>
      <w:r w:rsidRPr="00D67505">
        <w:t xml:space="preserve"> </w:t>
      </w:r>
      <w:r w:rsidR="000231A8" w:rsidRPr="00D67505">
        <w:t>В связи с этим, единственный вариант, предусмотренный в Отчете ПСК для этой полосы частот</w:t>
      </w:r>
      <w:r w:rsidR="00576EC2" w:rsidRPr="00D67505">
        <w:t xml:space="preserve"> состоит в том, чтобы </w:t>
      </w:r>
      <w:r w:rsidR="000231A8" w:rsidRPr="00D67505">
        <w:t>не вносить изменений в Регламент радиосвязи.</w:t>
      </w:r>
      <w:r w:rsidRPr="00D67505">
        <w:t xml:space="preserve"> </w:t>
      </w:r>
      <w:r w:rsidR="00576EC2" w:rsidRPr="00D67505">
        <w:t>Поэтому</w:t>
      </w:r>
      <w:r w:rsidRPr="00D67505">
        <w:t xml:space="preserve">, </w:t>
      </w:r>
      <w:r w:rsidR="00576EC2" w:rsidRPr="00D67505">
        <w:t>СЕПТ поддерживает отсутствие изменений в Регламенте радиосвязи в этой полосе частот.</w:t>
      </w:r>
    </w:p>
    <w:p w14:paraId="1BACECB9" w14:textId="199B15F4" w:rsidR="00336A0A" w:rsidRPr="00D67505" w:rsidRDefault="00E4136E" w:rsidP="005A281A">
      <w:pPr>
        <w:spacing w:before="720"/>
        <w:jc w:val="center"/>
      </w:pPr>
      <w:r w:rsidRPr="00D67505">
        <w:t>______________</w:t>
      </w:r>
    </w:p>
    <w:sectPr w:rsidR="00336A0A" w:rsidRPr="00D67505"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46D3C" w14:textId="77777777" w:rsidR="00F1578A" w:rsidRDefault="00F1578A">
      <w:r>
        <w:separator/>
      </w:r>
    </w:p>
  </w:endnote>
  <w:endnote w:type="continuationSeparator" w:id="0">
    <w:p w14:paraId="75BD62DF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57451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AAC1401" w14:textId="1AF8EC1E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73831">
      <w:rPr>
        <w:noProof/>
        <w:lang w:val="fr-FR"/>
      </w:rPr>
      <w:t>P:\R\ITU-R\CONF-R\CMR19\000\016ADD13ADD02R.docx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67505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3831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6A89E" w14:textId="18D7AE7E" w:rsidR="00567276" w:rsidRPr="00C44FFB" w:rsidRDefault="00C44FFB" w:rsidP="00C44FFB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A281A">
      <w:rPr>
        <w:lang w:val="fr-FR"/>
      </w:rPr>
      <w:t>P:\RUS\ITU-R\CONF-R\CMR19\000\016ADD13ADD02R.docx</w:t>
    </w:r>
    <w:r>
      <w:fldChar w:fldCharType="end"/>
    </w:r>
    <w:r>
      <w:t xml:space="preserve"> (462007)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8EAE7" w14:textId="79A14241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A281A">
      <w:rPr>
        <w:lang w:val="fr-FR"/>
      </w:rPr>
      <w:t>P:\RUS\ITU-R\CONF-R\CMR19\000\016ADD13ADD02R.docx</w:t>
    </w:r>
    <w:r>
      <w:fldChar w:fldCharType="end"/>
    </w:r>
    <w:r w:rsidR="00C44FFB">
      <w:t xml:space="preserve"> (462007)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BBDA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7105E68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CD559" w14:textId="09B5308A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67505">
      <w:rPr>
        <w:noProof/>
      </w:rPr>
      <w:t>2</w:t>
    </w:r>
    <w:r>
      <w:fldChar w:fldCharType="end"/>
    </w:r>
  </w:p>
  <w:p w14:paraId="72F18661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16(Add.13)(Add.2)-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31A8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73409"/>
    <w:rsid w:val="001A5585"/>
    <w:rsid w:val="001E5FB4"/>
    <w:rsid w:val="001F178E"/>
    <w:rsid w:val="00202CA0"/>
    <w:rsid w:val="00230582"/>
    <w:rsid w:val="002449AA"/>
    <w:rsid w:val="00245A1F"/>
    <w:rsid w:val="00290C74"/>
    <w:rsid w:val="002A2D3F"/>
    <w:rsid w:val="00300F84"/>
    <w:rsid w:val="003258F2"/>
    <w:rsid w:val="00336A0A"/>
    <w:rsid w:val="00344EB8"/>
    <w:rsid w:val="00346BEC"/>
    <w:rsid w:val="00371E4B"/>
    <w:rsid w:val="003C583C"/>
    <w:rsid w:val="003F0078"/>
    <w:rsid w:val="00401DF4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152C2"/>
    <w:rsid w:val="00521B1D"/>
    <w:rsid w:val="005305D5"/>
    <w:rsid w:val="00540D1E"/>
    <w:rsid w:val="005651C9"/>
    <w:rsid w:val="00567276"/>
    <w:rsid w:val="005755E2"/>
    <w:rsid w:val="00576EC2"/>
    <w:rsid w:val="00597005"/>
    <w:rsid w:val="005A281A"/>
    <w:rsid w:val="005A295E"/>
    <w:rsid w:val="005D1879"/>
    <w:rsid w:val="005D79A3"/>
    <w:rsid w:val="005E61DD"/>
    <w:rsid w:val="005F59DA"/>
    <w:rsid w:val="006023DF"/>
    <w:rsid w:val="006115BE"/>
    <w:rsid w:val="00614771"/>
    <w:rsid w:val="00620DD7"/>
    <w:rsid w:val="00657DE0"/>
    <w:rsid w:val="00692C06"/>
    <w:rsid w:val="00693C99"/>
    <w:rsid w:val="006A6E9B"/>
    <w:rsid w:val="007074EA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578ED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44FFB"/>
    <w:rsid w:val="00C56E7A"/>
    <w:rsid w:val="00C73831"/>
    <w:rsid w:val="00C779CE"/>
    <w:rsid w:val="00C916AF"/>
    <w:rsid w:val="00CC47C6"/>
    <w:rsid w:val="00CC4DE6"/>
    <w:rsid w:val="00CE5E47"/>
    <w:rsid w:val="00CF020F"/>
    <w:rsid w:val="00D008F2"/>
    <w:rsid w:val="00D53715"/>
    <w:rsid w:val="00D67505"/>
    <w:rsid w:val="00DE2EBA"/>
    <w:rsid w:val="00E2253F"/>
    <w:rsid w:val="00E4136E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ECE60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F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R16-WRC19-C-0016!A13-A2!MSW-R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018D-3D3F-46E3-A8DF-1E6AE618B6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52F2FF-4594-441D-A7F9-AB2925B75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8BE33-B3F8-440B-8E83-4826C3B3B7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C4D85F-66D3-42D0-88A9-C8342BE9E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2ABAF1-1F09-4232-942B-6A338E7B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440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R16-WRC19-C-0016!A13-A2!MSW-R</vt:lpstr>
    </vt:vector>
  </TitlesOfParts>
  <Manager>General Secretariat - Pool</Manager>
  <Company>International Telecommunication Union (ITU)</Company>
  <LinksUpToDate>false</LinksUpToDate>
  <CharactersWithSpaces>3552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R16-WRC19-C-0016!A13-A2!MSW-R</dc:title>
  <dc:subject>World Radiocommunication Conference - 2019</dc:subject>
  <dc:creator>Documents Proposals Manager (DPM)</dc:creator>
  <cp:keywords>DPM_v2019.10.8.1_prod</cp:keywords>
  <dc:description/>
  <cp:lastModifiedBy>Berdyeva, Elena</cp:lastModifiedBy>
  <cp:revision>7</cp:revision>
  <cp:lastPrinted>2019-10-19T15:03:00Z</cp:lastPrinted>
  <dcterms:created xsi:type="dcterms:W3CDTF">2019-10-19T15:03:00Z</dcterms:created>
  <dcterms:modified xsi:type="dcterms:W3CDTF">2019-10-20T17:37:00Z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