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7CDEA6CE" w14:textId="77777777" w:rsidTr="00A973C0">
        <w:trPr>
          <w:cantSplit/>
          <w:trHeight w:val="20"/>
        </w:trPr>
        <w:tc>
          <w:tcPr>
            <w:tcW w:w="6620" w:type="dxa"/>
          </w:tcPr>
          <w:p w14:paraId="62655C12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658A11ED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38D835B3" wp14:editId="5990D524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31CBBD76" w14:textId="77777777" w:rsidTr="00A973C0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04B23AC1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4484B2CA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048A81E2" w14:textId="77777777" w:rsidTr="00A973C0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703015AE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7FBCAECA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973C0" w:rsidRPr="00F545E4" w14:paraId="05619075" w14:textId="77777777" w:rsidTr="00A973C0">
        <w:trPr>
          <w:cantSplit/>
        </w:trPr>
        <w:tc>
          <w:tcPr>
            <w:tcW w:w="6620" w:type="dxa"/>
          </w:tcPr>
          <w:p w14:paraId="50A57060" w14:textId="77777777" w:rsidR="00A973C0" w:rsidRPr="00F545E4" w:rsidRDefault="00A973C0" w:rsidP="00A973C0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75D4F255" w14:textId="7D35440A" w:rsidR="00A973C0" w:rsidRPr="00B004E6" w:rsidRDefault="00A973C0" w:rsidP="00A973C0">
            <w:pPr>
              <w:pStyle w:val="Adress"/>
              <w:framePr w:hSpace="0" w:wrap="auto" w:xAlign="left" w:yAlign="inline"/>
              <w:spacing w:before="0"/>
              <w:rPr>
                <w:rFonts w:ascii="Traditional Arabic" w:hAnsi="Traditional Arabic"/>
                <w:sz w:val="30"/>
                <w:rtl/>
              </w:rPr>
            </w:pPr>
            <w:proofErr w:type="spellStart"/>
            <w:r w:rsidRPr="00B004E6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B004E6">
              <w:rPr>
                <w:rFonts w:ascii="Traditional Arabic" w:hAnsi="Traditional Arabic" w:hint="cs"/>
                <w:sz w:val="30"/>
              </w:rPr>
              <w:t xml:space="preserve"> </w:t>
            </w:r>
            <w:r w:rsidRPr="00B004E6">
              <w:rPr>
                <w:rFonts w:ascii="Verdana" w:hAnsi="Verdana"/>
                <w:szCs w:val="19"/>
              </w:rPr>
              <w:t>2</w:t>
            </w:r>
            <w:r w:rsidRPr="00B004E6">
              <w:rPr>
                <w:rFonts w:ascii="Traditional Arabic" w:hAnsi="Traditional Arabic" w:hint="cs"/>
                <w:sz w:val="30"/>
              </w:rPr>
              <w:br/>
            </w:r>
            <w:r w:rsidRPr="00B004E6">
              <w:rPr>
                <w:rFonts w:ascii="Verdana" w:eastAsia="SimSun" w:hAnsi="Verdana"/>
                <w:szCs w:val="19"/>
              </w:rPr>
              <w:t>16(Add.13)-A</w:t>
            </w:r>
            <w:r w:rsidRPr="00B004E6">
              <w:rPr>
                <w:rFonts w:ascii="Traditional Arabic" w:hAnsi="Traditional Arabic" w:hint="cs"/>
                <w:sz w:val="30"/>
              </w:rPr>
              <w:t xml:space="preserve"> </w:t>
            </w:r>
            <w:proofErr w:type="spellStart"/>
            <w:r w:rsidRPr="00B004E6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A973C0" w:rsidRPr="00F545E4" w14:paraId="782CB3AA" w14:textId="77777777" w:rsidTr="00A973C0">
        <w:trPr>
          <w:cantSplit/>
        </w:trPr>
        <w:tc>
          <w:tcPr>
            <w:tcW w:w="6620" w:type="dxa"/>
          </w:tcPr>
          <w:p w14:paraId="0AEF8970" w14:textId="77777777" w:rsidR="00A973C0" w:rsidRPr="00F545E4" w:rsidRDefault="00A973C0" w:rsidP="00A973C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22783241" w14:textId="7591F522" w:rsidR="00A973C0" w:rsidRPr="00F545E4" w:rsidRDefault="002B3E5C" w:rsidP="00A973C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4</w:t>
            </w:r>
            <w:r w:rsidR="00A973C0"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="00A973C0" w:rsidRPr="003B4967">
              <w:rPr>
                <w:rFonts w:ascii="Verdana" w:eastAsia="SimSun" w:hAnsi="Verdana"/>
              </w:rPr>
              <w:t>2019</w:t>
            </w:r>
          </w:p>
        </w:tc>
      </w:tr>
      <w:tr w:rsidR="00A973C0" w:rsidRPr="00F545E4" w14:paraId="29F7BD4D" w14:textId="77777777" w:rsidTr="00A973C0">
        <w:trPr>
          <w:cantSplit/>
        </w:trPr>
        <w:tc>
          <w:tcPr>
            <w:tcW w:w="6620" w:type="dxa"/>
          </w:tcPr>
          <w:p w14:paraId="65F5689B" w14:textId="77777777" w:rsidR="00A973C0" w:rsidRPr="00F545E4" w:rsidRDefault="00A973C0" w:rsidP="00A973C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12BAF939" w14:textId="4875D178" w:rsidR="00A973C0" w:rsidRPr="00F545E4" w:rsidRDefault="00A973C0" w:rsidP="00A973C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6ACCC703" w14:textId="77777777" w:rsidTr="00A973C0">
        <w:trPr>
          <w:cantSplit/>
        </w:trPr>
        <w:tc>
          <w:tcPr>
            <w:tcW w:w="9674" w:type="dxa"/>
            <w:gridSpan w:val="2"/>
          </w:tcPr>
          <w:p w14:paraId="2025F24A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70D713F5" w14:textId="77777777" w:rsidTr="00A973C0">
        <w:trPr>
          <w:cantSplit/>
        </w:trPr>
        <w:tc>
          <w:tcPr>
            <w:tcW w:w="9674" w:type="dxa"/>
            <w:gridSpan w:val="2"/>
          </w:tcPr>
          <w:p w14:paraId="4CFBBEE4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683C76BA" w14:textId="77777777" w:rsidTr="00A973C0">
        <w:trPr>
          <w:cantSplit/>
        </w:trPr>
        <w:tc>
          <w:tcPr>
            <w:tcW w:w="9674" w:type="dxa"/>
            <w:gridSpan w:val="2"/>
          </w:tcPr>
          <w:p w14:paraId="062583C3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0A83F6D8" w14:textId="77777777" w:rsidTr="00A973C0">
        <w:trPr>
          <w:cantSplit/>
        </w:trPr>
        <w:tc>
          <w:tcPr>
            <w:tcW w:w="9674" w:type="dxa"/>
            <w:gridSpan w:val="2"/>
          </w:tcPr>
          <w:p w14:paraId="72A3A1D2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63A6A4B4" w14:textId="77777777" w:rsidTr="00A973C0">
        <w:trPr>
          <w:cantSplit/>
        </w:trPr>
        <w:tc>
          <w:tcPr>
            <w:tcW w:w="9674" w:type="dxa"/>
            <w:gridSpan w:val="2"/>
          </w:tcPr>
          <w:p w14:paraId="03A17232" w14:textId="2816AF1B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A46A76">
              <w:rPr>
                <w:rFonts w:hint="cs"/>
                <w:rtl/>
                <w:lang w:val="en-US"/>
              </w:rPr>
              <w:t xml:space="preserve"> </w:t>
            </w:r>
            <w:r w:rsidR="00A46A76">
              <w:rPr>
                <w:lang w:val="en-US"/>
              </w:rPr>
              <w:t>13.1</w:t>
            </w:r>
          </w:p>
        </w:tc>
      </w:tr>
    </w:tbl>
    <w:p w14:paraId="0B09849B" w14:textId="77777777" w:rsidR="001D597A" w:rsidRPr="008213CF" w:rsidRDefault="00B54B2B" w:rsidP="008213CF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</w:r>
      <w:proofErr w:type="gramStart"/>
      <w:r w:rsidRPr="002E6F3B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0730E16A" w14:textId="28C9ACCE" w:rsidR="002F3E46" w:rsidRDefault="002B3E5C" w:rsidP="002E0F64">
      <w:pPr>
        <w:pStyle w:val="Title4"/>
      </w:pPr>
      <w:r>
        <w:rPr>
          <w:rFonts w:hint="cs"/>
          <w:rtl/>
          <w:lang w:bidi="ar-SA"/>
        </w:rPr>
        <w:t xml:space="preserve">الجزء </w:t>
      </w:r>
      <w:r>
        <w:rPr>
          <w:lang w:val="fr-FR" w:bidi="ar-SA"/>
        </w:rPr>
        <w:t>2</w:t>
      </w:r>
      <w:r w:rsidR="00B54B2B">
        <w:rPr>
          <w:rFonts w:hint="cs"/>
          <w:rtl/>
        </w:rPr>
        <w:t xml:space="preserve">- نطاق التردد </w:t>
      </w:r>
      <w:r w:rsidR="00B54B2B">
        <w:t>GHz 33,4-31,8</w:t>
      </w:r>
    </w:p>
    <w:p w14:paraId="43571F4F" w14:textId="10EE09CE" w:rsidR="00B54B2B" w:rsidRDefault="00B54B2B" w:rsidP="00B54B2B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3ED77354" w14:textId="4231067D" w:rsidR="002B3E5C" w:rsidRPr="002B3E5C" w:rsidRDefault="002B3E5C" w:rsidP="002B3E5C">
      <w:pPr>
        <w:rPr>
          <w:rtl/>
        </w:rPr>
      </w:pPr>
      <w:r w:rsidRPr="002B3E5C">
        <w:rPr>
          <w:rFonts w:hint="cs"/>
          <w:rtl/>
          <w:lang w:bidi="ar"/>
        </w:rPr>
        <w:t xml:space="preserve">تعرض هذه الوثيقة </w:t>
      </w:r>
      <w:r>
        <w:rPr>
          <w:rFonts w:hint="cs"/>
          <w:rtl/>
        </w:rPr>
        <w:t>المقترح</w:t>
      </w:r>
      <w:r w:rsidRPr="002B3E5C">
        <w:rPr>
          <w:rFonts w:hint="cs"/>
          <w:rtl/>
          <w:lang w:bidi="ar"/>
        </w:rPr>
        <w:t xml:space="preserve"> الأوروبي المشترك </w:t>
      </w:r>
      <w:r>
        <w:rPr>
          <w:rFonts w:hint="cs"/>
          <w:rtl/>
          <w:lang w:bidi="ar"/>
        </w:rPr>
        <w:t>بشأن ال</w:t>
      </w:r>
      <w:r w:rsidRPr="002B3E5C">
        <w:rPr>
          <w:rFonts w:hint="cs"/>
          <w:rtl/>
          <w:lang w:bidi="ar"/>
        </w:rPr>
        <w:t xml:space="preserve">نطاق </w:t>
      </w:r>
      <w:r w:rsidRPr="002B3E5C">
        <w:rPr>
          <w:rFonts w:hint="cs"/>
          <w:lang w:val="en-GB"/>
        </w:rPr>
        <w:t>GHz 33</w:t>
      </w:r>
      <w:r>
        <w:rPr>
          <w:lang w:val="en-GB"/>
        </w:rPr>
        <w:t>,</w:t>
      </w:r>
      <w:r w:rsidRPr="002B3E5C">
        <w:rPr>
          <w:rFonts w:hint="cs"/>
          <w:lang w:val="en-GB"/>
        </w:rPr>
        <w:t>4-31</w:t>
      </w:r>
      <w:r>
        <w:rPr>
          <w:lang w:val="en-GB"/>
        </w:rPr>
        <w:t>,</w:t>
      </w:r>
      <w:r w:rsidRPr="002B3E5C">
        <w:rPr>
          <w:rFonts w:hint="cs"/>
          <w:lang w:val="en-GB"/>
        </w:rPr>
        <w:t>8</w:t>
      </w:r>
      <w:r w:rsidRPr="002B3E5C">
        <w:rPr>
          <w:rFonts w:hint="cs"/>
          <w:rtl/>
          <w:lang w:bidi="ar"/>
        </w:rPr>
        <w:t xml:space="preserve"> في إطار </w:t>
      </w:r>
      <w:r>
        <w:rPr>
          <w:rtl/>
        </w:rPr>
        <w:t>بند جدول الأعمال</w:t>
      </w:r>
      <w:r>
        <w:rPr>
          <w:rFonts w:hint="cs"/>
          <w:rtl/>
        </w:rPr>
        <w:t xml:space="preserve"> </w:t>
      </w:r>
      <w:r>
        <w:t>13.1</w:t>
      </w:r>
      <w:r w:rsidRPr="002B3E5C">
        <w:rPr>
          <w:rFonts w:hint="cs"/>
          <w:rtl/>
          <w:lang w:bidi="ar"/>
        </w:rPr>
        <w:t xml:space="preserve"> </w:t>
      </w:r>
      <w:r>
        <w:rPr>
          <w:rFonts w:hint="cs"/>
          <w:rtl/>
        </w:rPr>
        <w:t xml:space="preserve">للمؤتمر العالمي للاتصالات الراديوية لعام </w:t>
      </w:r>
      <w:r>
        <w:rPr>
          <w:lang w:val="fr-FR"/>
        </w:rPr>
        <w:t>2019</w:t>
      </w:r>
      <w:r w:rsidRPr="002B3E5C">
        <w:rPr>
          <w:rFonts w:hint="cs"/>
          <w:rtl/>
          <w:lang w:bidi="ar"/>
        </w:rPr>
        <w:t xml:space="preserve"> </w:t>
      </w:r>
      <w:r>
        <w:rPr>
          <w:lang w:bidi="ar"/>
        </w:rPr>
        <w:t>(</w:t>
      </w:r>
      <w:r w:rsidRPr="002B3E5C">
        <w:rPr>
          <w:rFonts w:hint="cs"/>
          <w:lang w:val="en-GB"/>
        </w:rPr>
        <w:t>WRC</w:t>
      </w:r>
      <w:r>
        <w:rPr>
          <w:lang w:val="en-GB"/>
        </w:rPr>
        <w:t>-</w:t>
      </w:r>
      <w:r w:rsidRPr="002B3E5C">
        <w:rPr>
          <w:rFonts w:hint="cs"/>
          <w:lang w:val="en-GB"/>
        </w:rPr>
        <w:t>19</w:t>
      </w:r>
      <w:r>
        <w:rPr>
          <w:lang w:bidi="ar"/>
        </w:rPr>
        <w:t>)</w:t>
      </w:r>
      <w:r>
        <w:rPr>
          <w:rFonts w:hint="cs"/>
          <w:rtl/>
        </w:rPr>
        <w:t>.</w:t>
      </w:r>
    </w:p>
    <w:p w14:paraId="6A7037CD" w14:textId="453513EB" w:rsidR="002B3E5C" w:rsidRPr="002B3E5C" w:rsidRDefault="002B3E5C" w:rsidP="00F447A4">
      <w:pPr>
        <w:rPr>
          <w:rtl/>
          <w:lang w:bidi="ar"/>
        </w:rPr>
      </w:pPr>
      <w:r>
        <w:rPr>
          <w:rFonts w:hint="cs"/>
          <w:rtl/>
          <w:lang w:bidi="ar"/>
        </w:rPr>
        <w:t>و</w:t>
      </w:r>
      <w:r w:rsidRPr="002B3E5C">
        <w:rPr>
          <w:rFonts w:hint="cs"/>
          <w:rtl/>
          <w:lang w:bidi="ar"/>
        </w:rPr>
        <w:t>ت</w:t>
      </w:r>
      <w:r>
        <w:rPr>
          <w:rFonts w:hint="cs"/>
          <w:rtl/>
          <w:lang w:bidi="ar"/>
        </w:rPr>
        <w:t>ُوزع</w:t>
      </w:r>
      <w:r w:rsidRPr="002B3E5C">
        <w:rPr>
          <w:rFonts w:hint="cs"/>
          <w:rtl/>
          <w:lang w:bidi="ar"/>
        </w:rPr>
        <w:t xml:space="preserve"> خدمة الملاحة الراديوية على أساس عالمي في نطاق التردد</w:t>
      </w:r>
      <w:r>
        <w:rPr>
          <w:rFonts w:hint="cs"/>
          <w:rtl/>
          <w:lang w:bidi="ar"/>
        </w:rPr>
        <w:t xml:space="preserve"> هذا،</w:t>
      </w:r>
      <w:r w:rsidRPr="002B3E5C">
        <w:rPr>
          <w:rFonts w:hint="cs"/>
          <w:rtl/>
          <w:lang w:bidi="ar"/>
        </w:rPr>
        <w:t xml:space="preserve"> وت</w:t>
      </w:r>
      <w:r>
        <w:rPr>
          <w:rFonts w:hint="cs"/>
          <w:rtl/>
          <w:lang w:bidi="ar"/>
        </w:rPr>
        <w:t>ُ</w:t>
      </w:r>
      <w:r w:rsidRPr="002B3E5C">
        <w:rPr>
          <w:rFonts w:hint="cs"/>
          <w:rtl/>
          <w:lang w:bidi="ar"/>
        </w:rPr>
        <w:t xml:space="preserve">ستخدم في عدد من البلدان لرادار </w:t>
      </w:r>
      <w:r w:rsidRPr="002B3E5C">
        <w:rPr>
          <w:rtl/>
        </w:rPr>
        <w:t>معدات الكشف على أرض المطار</w:t>
      </w:r>
      <w:r w:rsidRPr="002B3E5C">
        <w:rPr>
          <w:rFonts w:hint="cs"/>
          <w:rtl/>
          <w:lang w:bidi="ar"/>
        </w:rPr>
        <w:t xml:space="preserve"> </w:t>
      </w:r>
      <w:r w:rsidR="00AC469D">
        <w:rPr>
          <w:lang w:bidi="ar"/>
        </w:rPr>
        <w:t>(ASDE)</w:t>
      </w:r>
      <w:r w:rsidRPr="002B3E5C">
        <w:rPr>
          <w:rFonts w:hint="cs"/>
          <w:rtl/>
          <w:lang w:bidi="ar"/>
        </w:rPr>
        <w:t xml:space="preserve">، وذلك أساسًا لاكتشاف </w:t>
      </w:r>
      <w:r w:rsidR="00F447A4">
        <w:rPr>
          <w:rFonts w:hint="cs"/>
          <w:rtl/>
          <w:lang w:bidi="ar"/>
        </w:rPr>
        <w:t>ال</w:t>
      </w:r>
      <w:r w:rsidRPr="002B3E5C">
        <w:rPr>
          <w:rFonts w:hint="cs"/>
          <w:rtl/>
          <w:lang w:bidi="ar"/>
        </w:rPr>
        <w:t xml:space="preserve">حركة في المطارات </w:t>
      </w:r>
      <w:r w:rsidR="00F447A4">
        <w:rPr>
          <w:rFonts w:hint="cs"/>
          <w:rtl/>
          <w:lang w:bidi="ar"/>
        </w:rPr>
        <w:t>وتستعملها</w:t>
      </w:r>
      <w:r w:rsidRPr="002B3E5C">
        <w:rPr>
          <w:rFonts w:hint="cs"/>
          <w:rtl/>
          <w:lang w:bidi="ar"/>
        </w:rPr>
        <w:t xml:space="preserve"> رادارات الطائرات لرسم الخرائط الأرضية</w:t>
      </w:r>
      <w:r w:rsidR="00F447A4">
        <w:rPr>
          <w:rFonts w:hint="cs"/>
          <w:rtl/>
          <w:lang w:bidi="ar"/>
        </w:rPr>
        <w:t>،</w:t>
      </w:r>
      <w:r w:rsidRPr="002B3E5C">
        <w:rPr>
          <w:rFonts w:hint="cs"/>
          <w:rtl/>
          <w:lang w:bidi="ar"/>
        </w:rPr>
        <w:t xml:space="preserve"> </w:t>
      </w:r>
      <w:r w:rsidR="00F447A4" w:rsidRPr="00F447A4">
        <w:rPr>
          <w:rtl/>
        </w:rPr>
        <w:t>وتجنب المخاطر الجوية ومعايرة أنظمة الملاحة الموجودة على متن الطائرة من أجل دقة الإنزال الجوي في حالة الظروف الجوية السيئة</w:t>
      </w:r>
      <w:r w:rsidR="00F447A4">
        <w:rPr>
          <w:rFonts w:hint="cs"/>
          <w:rtl/>
        </w:rPr>
        <w:t>،</w:t>
      </w:r>
      <w:r w:rsidR="00F447A4" w:rsidRPr="00F447A4">
        <w:rPr>
          <w:rtl/>
        </w:rPr>
        <w:t> </w:t>
      </w:r>
      <w:r w:rsidRPr="002B3E5C">
        <w:rPr>
          <w:rFonts w:hint="cs"/>
          <w:rtl/>
          <w:lang w:bidi="ar"/>
        </w:rPr>
        <w:t>و</w:t>
      </w:r>
      <w:r w:rsidR="001D6B63">
        <w:rPr>
          <w:rFonts w:hint="cs"/>
          <w:rtl/>
          <w:lang w:bidi="ar"/>
        </w:rPr>
        <w:t xml:space="preserve">تستخدم </w:t>
      </w:r>
      <w:r w:rsidR="00F447A4">
        <w:rPr>
          <w:rFonts w:hint="cs"/>
          <w:rtl/>
          <w:lang w:bidi="ar"/>
        </w:rPr>
        <w:t xml:space="preserve">في </w:t>
      </w:r>
      <w:r w:rsidRPr="002B3E5C">
        <w:rPr>
          <w:rFonts w:hint="cs"/>
          <w:rtl/>
          <w:lang w:bidi="ar"/>
        </w:rPr>
        <w:t xml:space="preserve">أنظمة </w:t>
      </w:r>
      <w:r w:rsidR="00F447A4" w:rsidRPr="00F447A4">
        <w:rPr>
          <w:rtl/>
        </w:rPr>
        <w:t>تحسين الرؤية أثناء الطيران</w:t>
      </w:r>
      <w:r w:rsidR="002E0F64">
        <w:rPr>
          <w:rFonts w:hint="cs"/>
          <w:rtl/>
          <w:lang w:bidi="ar"/>
        </w:rPr>
        <w:t xml:space="preserve"> </w:t>
      </w:r>
      <w:r w:rsidR="00AC469D">
        <w:rPr>
          <w:lang w:bidi="ar"/>
        </w:rPr>
        <w:t>(EFVS)</w:t>
      </w:r>
      <w:r w:rsidRPr="002B3E5C">
        <w:rPr>
          <w:rFonts w:hint="cs"/>
          <w:rtl/>
          <w:lang w:bidi="ar"/>
        </w:rPr>
        <w:t>.</w:t>
      </w:r>
    </w:p>
    <w:p w14:paraId="6E19AEF4" w14:textId="36A235E5" w:rsidR="002B3E5C" w:rsidRPr="002B3E5C" w:rsidRDefault="00F447A4" w:rsidP="008C3E59">
      <w:pPr>
        <w:rPr>
          <w:rtl/>
          <w:lang w:bidi="ar"/>
        </w:rPr>
      </w:pPr>
      <w:r>
        <w:rPr>
          <w:rFonts w:hint="cs"/>
          <w:rtl/>
          <w:lang w:bidi="ar"/>
        </w:rPr>
        <w:t>و</w:t>
      </w:r>
      <w:r w:rsidR="002B3E5C" w:rsidRPr="002B3E5C">
        <w:rPr>
          <w:rFonts w:hint="cs"/>
          <w:rtl/>
          <w:lang w:bidi="ar"/>
        </w:rPr>
        <w:t xml:space="preserve">يولد نظام </w:t>
      </w:r>
      <w:r w:rsidRPr="00F447A4">
        <w:rPr>
          <w:rtl/>
        </w:rPr>
        <w:t>تحسين الرؤية أثناء الطيران</w:t>
      </w:r>
      <w:r w:rsidRPr="00F447A4">
        <w:rPr>
          <w:lang w:bidi="ar"/>
        </w:rPr>
        <w:t xml:space="preserve"> </w:t>
      </w:r>
      <w:r w:rsidR="002B3E5C" w:rsidRPr="002B3E5C">
        <w:rPr>
          <w:rFonts w:hint="cs"/>
          <w:rtl/>
          <w:lang w:bidi="ar"/>
        </w:rPr>
        <w:t xml:space="preserve">معلومات </w:t>
      </w:r>
      <w:r>
        <w:rPr>
          <w:rFonts w:hint="cs"/>
          <w:rtl/>
          <w:lang w:bidi="ar"/>
        </w:rPr>
        <w:t>متعلقة ب</w:t>
      </w:r>
      <w:r w:rsidR="002B3E5C" w:rsidRPr="002B3E5C">
        <w:rPr>
          <w:rFonts w:hint="cs"/>
          <w:rtl/>
          <w:lang w:bidi="ar"/>
        </w:rPr>
        <w:t xml:space="preserve">الملاحة وصورة </w:t>
      </w:r>
      <w:r>
        <w:rPr>
          <w:rFonts w:hint="cs"/>
          <w:rtl/>
          <w:lang w:bidi="ar"/>
        </w:rPr>
        <w:t>تركيبية</w:t>
      </w:r>
      <w:r w:rsidR="002B3E5C" w:rsidRPr="002B3E5C">
        <w:rPr>
          <w:rFonts w:hint="cs"/>
          <w:rtl/>
          <w:lang w:bidi="ar"/>
        </w:rPr>
        <w:t xml:space="preserve"> للمشهد الخارجي في </w:t>
      </w:r>
      <w:r>
        <w:rPr>
          <w:rFonts w:hint="cs"/>
          <w:rtl/>
          <w:lang w:bidi="ar"/>
        </w:rPr>
        <w:t>مقصورة</w:t>
      </w:r>
      <w:r w:rsidR="002B3E5C" w:rsidRPr="002B3E5C">
        <w:rPr>
          <w:rFonts w:hint="cs"/>
          <w:rtl/>
          <w:lang w:bidi="ar"/>
        </w:rPr>
        <w:t xml:space="preserve"> القيادة</w:t>
      </w:r>
      <w:r>
        <w:rPr>
          <w:rFonts w:hint="cs"/>
          <w:rtl/>
          <w:lang w:bidi="ar"/>
        </w:rPr>
        <w:t>، و</w:t>
      </w:r>
      <w:r w:rsidR="002B3E5C" w:rsidRPr="002B3E5C">
        <w:rPr>
          <w:rFonts w:hint="cs"/>
          <w:rtl/>
          <w:lang w:bidi="ar"/>
        </w:rPr>
        <w:t xml:space="preserve">الغرض الرئيسي </w:t>
      </w:r>
      <w:r>
        <w:rPr>
          <w:rFonts w:hint="cs"/>
          <w:rtl/>
          <w:lang w:bidi="ar"/>
        </w:rPr>
        <w:t>من ذلك هو ال</w:t>
      </w:r>
      <w:r w:rsidR="002B3E5C" w:rsidRPr="002B3E5C">
        <w:rPr>
          <w:rFonts w:hint="cs"/>
          <w:rtl/>
          <w:lang w:bidi="ar"/>
        </w:rPr>
        <w:t>سماح</w:t>
      </w:r>
      <w:r w:rsidR="001D6B63">
        <w:rPr>
          <w:rFonts w:hint="cs"/>
          <w:rtl/>
          <w:lang w:bidi="ar"/>
        </w:rPr>
        <w:t xml:space="preserve"> </w:t>
      </w:r>
      <w:r w:rsidR="001D6B63" w:rsidRPr="002B3E5C">
        <w:rPr>
          <w:rFonts w:hint="cs"/>
          <w:rtl/>
          <w:lang w:bidi="ar"/>
        </w:rPr>
        <w:t xml:space="preserve">بالهبوط </w:t>
      </w:r>
      <w:r w:rsidR="002B3E5C" w:rsidRPr="002B3E5C">
        <w:rPr>
          <w:rFonts w:hint="cs"/>
          <w:rtl/>
          <w:lang w:bidi="ar"/>
        </w:rPr>
        <w:t>في ظل ظروف رؤية سيئة</w:t>
      </w:r>
      <w:r w:rsidR="001D6B63">
        <w:rPr>
          <w:rFonts w:hint="cs"/>
          <w:rtl/>
          <w:lang w:bidi="ar"/>
        </w:rPr>
        <w:t>،</w:t>
      </w:r>
      <w:r w:rsidR="002B3E5C" w:rsidRPr="002B3E5C">
        <w:rPr>
          <w:rFonts w:hint="cs"/>
          <w:rtl/>
          <w:lang w:bidi="ar"/>
        </w:rPr>
        <w:t xml:space="preserve"> (وربما </w:t>
      </w:r>
      <w:r>
        <w:rPr>
          <w:rFonts w:hint="cs"/>
          <w:rtl/>
          <w:lang w:bidi="ar"/>
        </w:rPr>
        <w:t>تقديم</w:t>
      </w:r>
      <w:r w:rsidR="002B3E5C" w:rsidRPr="002B3E5C">
        <w:rPr>
          <w:rFonts w:hint="cs"/>
          <w:rtl/>
          <w:lang w:bidi="ar"/>
        </w:rPr>
        <w:t xml:space="preserve"> المساعدة </w:t>
      </w:r>
      <w:proofErr w:type="spellStart"/>
      <w:r>
        <w:rPr>
          <w:rFonts w:hint="cs"/>
          <w:rtl/>
          <w:lang w:bidi="ar"/>
        </w:rPr>
        <w:t>لل</w:t>
      </w:r>
      <w:proofErr w:type="spellEnd"/>
      <w:r w:rsidRPr="00F447A4">
        <w:rPr>
          <w:rtl/>
        </w:rPr>
        <w:t>سير على الممرات الأرضية</w:t>
      </w:r>
      <w:r w:rsidR="002B3E5C" w:rsidRPr="002B3E5C">
        <w:rPr>
          <w:rFonts w:hint="cs"/>
          <w:rtl/>
          <w:lang w:bidi="ar"/>
        </w:rPr>
        <w:t xml:space="preserve">)، </w:t>
      </w:r>
      <w:r w:rsidR="008C3E59">
        <w:rPr>
          <w:rFonts w:hint="cs"/>
          <w:rtl/>
          <w:lang w:bidi="ar"/>
        </w:rPr>
        <w:t>أين</w:t>
      </w:r>
      <w:r w:rsidR="002B3E5C" w:rsidRPr="002B3E5C">
        <w:rPr>
          <w:rFonts w:hint="cs"/>
          <w:rtl/>
          <w:lang w:bidi="ar"/>
        </w:rPr>
        <w:t xml:space="preserve"> يكون الهبوط </w:t>
      </w:r>
      <w:r w:rsidR="008C3E59">
        <w:rPr>
          <w:rFonts w:hint="cs"/>
          <w:rtl/>
          <w:lang w:bidi="ar"/>
        </w:rPr>
        <w:t xml:space="preserve">غير </w:t>
      </w:r>
      <w:r w:rsidR="002B3E5C" w:rsidRPr="002B3E5C">
        <w:rPr>
          <w:rFonts w:hint="cs"/>
          <w:rtl/>
          <w:lang w:bidi="ar"/>
        </w:rPr>
        <w:t>آمن (خاصة بالنسبة للمطار</w:t>
      </w:r>
      <w:r w:rsidR="008C3E59">
        <w:rPr>
          <w:rFonts w:hint="cs"/>
          <w:rtl/>
          <w:lang w:bidi="ar"/>
        </w:rPr>
        <w:t>ات</w:t>
      </w:r>
      <w:r w:rsidR="002B3E5C" w:rsidRPr="002B3E5C">
        <w:rPr>
          <w:rFonts w:hint="cs"/>
          <w:rtl/>
          <w:lang w:bidi="ar"/>
        </w:rPr>
        <w:t xml:space="preserve"> غير </w:t>
      </w:r>
      <w:r w:rsidR="008C3E59">
        <w:rPr>
          <w:rFonts w:hint="cs"/>
          <w:rtl/>
          <w:lang w:bidi="ar"/>
        </w:rPr>
        <w:t>ال</w:t>
      </w:r>
      <w:r w:rsidR="002B3E5C" w:rsidRPr="002B3E5C">
        <w:rPr>
          <w:rFonts w:hint="cs"/>
          <w:rtl/>
          <w:lang w:bidi="ar"/>
        </w:rPr>
        <w:t>مجهز</w:t>
      </w:r>
      <w:r w:rsidR="008C3E59">
        <w:rPr>
          <w:rFonts w:hint="cs"/>
          <w:rtl/>
          <w:lang w:bidi="ar"/>
        </w:rPr>
        <w:t>ة</w:t>
      </w:r>
      <w:r w:rsidR="002B3E5C" w:rsidRPr="002B3E5C">
        <w:rPr>
          <w:rFonts w:hint="cs"/>
          <w:rtl/>
          <w:lang w:bidi="ar"/>
        </w:rPr>
        <w:t xml:space="preserve"> بأنظمة </w:t>
      </w:r>
      <w:r w:rsidR="008C3E59">
        <w:rPr>
          <w:rFonts w:hint="cs"/>
          <w:rtl/>
          <w:lang w:bidi="ar"/>
        </w:rPr>
        <w:t>ال</w:t>
      </w:r>
      <w:r w:rsidR="002B3E5C" w:rsidRPr="002B3E5C">
        <w:rPr>
          <w:rFonts w:hint="cs"/>
          <w:rtl/>
          <w:lang w:bidi="ar"/>
        </w:rPr>
        <w:t xml:space="preserve">مساعدة </w:t>
      </w:r>
      <w:r w:rsidR="008C3E59">
        <w:rPr>
          <w:rFonts w:hint="cs"/>
          <w:rtl/>
          <w:lang w:bidi="ar"/>
        </w:rPr>
        <w:t xml:space="preserve">على </w:t>
      </w:r>
      <w:r w:rsidR="002B3E5C" w:rsidRPr="002B3E5C">
        <w:rPr>
          <w:rFonts w:hint="cs"/>
          <w:rtl/>
          <w:lang w:bidi="ar"/>
        </w:rPr>
        <w:t xml:space="preserve">الهبوط مثل </w:t>
      </w:r>
      <w:r w:rsidR="008C3E59" w:rsidRPr="008C3E59">
        <w:rPr>
          <w:rtl/>
          <w:lang w:val="en-GB"/>
        </w:rPr>
        <w:t>نظام الهبوط بالأجهزة</w:t>
      </w:r>
      <w:r w:rsidR="008C3E59">
        <w:rPr>
          <w:rFonts w:hint="cs"/>
          <w:rtl/>
          <w:lang w:val="en-GB"/>
        </w:rPr>
        <w:t>).</w:t>
      </w:r>
    </w:p>
    <w:p w14:paraId="1B544656" w14:textId="07FA6B36" w:rsidR="008C3E59" w:rsidRPr="00B54B2B" w:rsidRDefault="008C3E59" w:rsidP="008C3E59">
      <w:pPr>
        <w:rPr>
          <w:rtl/>
        </w:rPr>
      </w:pPr>
      <w:r w:rsidRPr="008C3E59">
        <w:rPr>
          <w:rFonts w:hint="cs"/>
          <w:rtl/>
          <w:lang w:bidi="ar"/>
        </w:rPr>
        <w:t xml:space="preserve">ويتيح نطاق </w:t>
      </w:r>
      <w:r w:rsidR="00E3210E">
        <w:rPr>
          <w:rFonts w:hint="cs"/>
          <w:rtl/>
          <w:lang w:bidi="ar"/>
        </w:rPr>
        <w:t>التردد هذا</w:t>
      </w:r>
      <w:r w:rsidR="001D6B63">
        <w:rPr>
          <w:rFonts w:hint="cs"/>
          <w:rtl/>
          <w:lang w:bidi="ar"/>
        </w:rPr>
        <w:t xml:space="preserve"> </w:t>
      </w:r>
      <w:r w:rsidRPr="008C3E59">
        <w:rPr>
          <w:rtl/>
          <w:lang w:bidi="ar"/>
        </w:rPr>
        <w:t>حلا</w:t>
      </w:r>
      <w:r w:rsidRPr="008C3E59">
        <w:rPr>
          <w:rFonts w:hint="cs"/>
          <w:rtl/>
          <w:lang w:bidi="ar"/>
        </w:rPr>
        <w:t>ً</w:t>
      </w:r>
      <w:r w:rsidRPr="008C3E59">
        <w:rPr>
          <w:rtl/>
          <w:lang w:bidi="ar"/>
        </w:rPr>
        <w:t xml:space="preserve"> وسطا</w:t>
      </w:r>
      <w:r w:rsidRPr="008C3E59">
        <w:rPr>
          <w:rFonts w:hint="cs"/>
          <w:rtl/>
          <w:lang w:bidi="ar"/>
        </w:rPr>
        <w:t>ً</w:t>
      </w:r>
      <w:r w:rsidRPr="008C3E59">
        <w:rPr>
          <w:rtl/>
          <w:lang w:bidi="ar"/>
        </w:rPr>
        <w:t xml:space="preserve"> جيدا</w:t>
      </w:r>
      <w:r w:rsidRPr="008C3E59">
        <w:rPr>
          <w:rFonts w:hint="cs"/>
          <w:rtl/>
          <w:lang w:bidi="ar"/>
        </w:rPr>
        <w:t>ً</w:t>
      </w:r>
      <w:r w:rsidRPr="008C3E59">
        <w:rPr>
          <w:rtl/>
          <w:lang w:bidi="ar"/>
        </w:rPr>
        <w:t xml:space="preserve"> بين </w:t>
      </w:r>
      <w:r w:rsidRPr="008C3E59">
        <w:rPr>
          <w:rFonts w:hint="cs"/>
          <w:rtl/>
          <w:lang w:bidi="ar"/>
        </w:rPr>
        <w:t xml:space="preserve">الدقة </w:t>
      </w:r>
      <w:r w:rsidRPr="008C3E59">
        <w:rPr>
          <w:rtl/>
          <w:lang w:bidi="ar"/>
        </w:rPr>
        <w:t xml:space="preserve">واختراق الغلاف الجوي </w:t>
      </w:r>
      <w:r w:rsidRPr="008C3E59">
        <w:rPr>
          <w:rFonts w:hint="cs"/>
          <w:rtl/>
          <w:lang w:bidi="ar"/>
        </w:rPr>
        <w:t xml:space="preserve">عندما تسوء الأحوال </w:t>
      </w:r>
      <w:r w:rsidRPr="008C3E59">
        <w:rPr>
          <w:rtl/>
          <w:lang w:bidi="ar"/>
        </w:rPr>
        <w:t>الجوية.</w:t>
      </w:r>
    </w:p>
    <w:p w14:paraId="0D6849AC" w14:textId="1A11438A" w:rsidR="002B3E5C" w:rsidRPr="002B3E5C" w:rsidRDefault="008C3E59" w:rsidP="00E3210E">
      <w:pPr>
        <w:rPr>
          <w:lang w:val="en-GB"/>
        </w:rPr>
      </w:pPr>
      <w:r>
        <w:rPr>
          <w:rFonts w:hint="cs"/>
          <w:rtl/>
        </w:rPr>
        <w:lastRenderedPageBreak/>
        <w:t>و</w:t>
      </w:r>
      <w:r w:rsidR="002B3E5C" w:rsidRPr="002B3E5C">
        <w:rPr>
          <w:rFonts w:hint="cs"/>
          <w:rtl/>
          <w:lang w:bidi="ar"/>
        </w:rPr>
        <w:t>أظهرت جميع الدراسات التقنية المقدمة في</w:t>
      </w:r>
      <w:r>
        <w:rPr>
          <w:rFonts w:hint="cs"/>
          <w:rtl/>
          <w:lang w:bidi="ar"/>
        </w:rPr>
        <w:t xml:space="preserve"> إطار </w:t>
      </w:r>
      <w:r w:rsidR="00E3210E" w:rsidRPr="00E3210E">
        <w:rPr>
          <w:rtl/>
        </w:rPr>
        <w:t xml:space="preserve">فريق المهام </w:t>
      </w:r>
      <w:r w:rsidR="00E3210E" w:rsidRPr="00E3210E">
        <w:rPr>
          <w:rFonts w:asciiTheme="majorBidi" w:hAnsiTheme="majorBidi" w:cstheme="majorBidi"/>
          <w:sz w:val="16"/>
          <w:szCs w:val="22"/>
          <w:rtl/>
        </w:rPr>
        <w:t xml:space="preserve">1/5 </w:t>
      </w:r>
      <w:r w:rsidR="00E3210E">
        <w:rPr>
          <w:rFonts w:hint="cs"/>
          <w:rtl/>
        </w:rPr>
        <w:t>ل</w:t>
      </w:r>
      <w:r w:rsidR="00E3210E" w:rsidRPr="00E3210E">
        <w:rPr>
          <w:rtl/>
        </w:rPr>
        <w:t>قطاع الاتصالات الراديوية</w:t>
      </w:r>
      <w:r w:rsidR="002B3E5C" w:rsidRPr="002B3E5C">
        <w:rPr>
          <w:rFonts w:hint="cs"/>
          <w:rtl/>
          <w:lang w:bidi="ar"/>
        </w:rPr>
        <w:t xml:space="preserve"> عدم التوافق بين الاتصالات المتنقلة الدولية وخدمة الملاحة الراديوية في نطاق التردد </w:t>
      </w:r>
      <w:r w:rsidR="002B3E5C" w:rsidRPr="002B3E5C">
        <w:rPr>
          <w:rFonts w:hint="cs"/>
          <w:lang w:val="en-GB"/>
        </w:rPr>
        <w:t>GHz 33</w:t>
      </w:r>
      <w:r w:rsidR="00E3210E">
        <w:rPr>
          <w:lang w:val="en-GB"/>
        </w:rPr>
        <w:t>,</w:t>
      </w:r>
      <w:r w:rsidR="002B3E5C" w:rsidRPr="002B3E5C">
        <w:rPr>
          <w:rFonts w:hint="cs"/>
          <w:lang w:val="en-GB"/>
        </w:rPr>
        <w:t>4-31</w:t>
      </w:r>
      <w:r w:rsidR="00E3210E">
        <w:rPr>
          <w:lang w:val="en-GB"/>
        </w:rPr>
        <w:t>,</w:t>
      </w:r>
      <w:r w:rsidR="002B3E5C" w:rsidRPr="002B3E5C">
        <w:rPr>
          <w:rFonts w:hint="cs"/>
          <w:lang w:val="en-GB"/>
        </w:rPr>
        <w:t>8</w:t>
      </w:r>
      <w:r w:rsidR="002B3E5C" w:rsidRPr="002B3E5C">
        <w:rPr>
          <w:rFonts w:hint="cs"/>
          <w:rtl/>
          <w:lang w:bidi="ar"/>
        </w:rPr>
        <w:t xml:space="preserve">، لا سيما في حالة رادارات الطائرات التي </w:t>
      </w:r>
      <w:r w:rsidR="00E3210E">
        <w:rPr>
          <w:rFonts w:hint="cs"/>
          <w:rtl/>
          <w:lang w:bidi="ar"/>
        </w:rPr>
        <w:t>لا يمكن فيها تصور</w:t>
      </w:r>
      <w:r w:rsidR="002B3E5C" w:rsidRPr="002B3E5C">
        <w:rPr>
          <w:rFonts w:hint="cs"/>
          <w:rtl/>
          <w:lang w:bidi="ar"/>
        </w:rPr>
        <w:t xml:space="preserve"> مناطق التنسيق/ </w:t>
      </w:r>
      <w:r w:rsidR="00E3210E">
        <w:rPr>
          <w:rFonts w:hint="cs"/>
          <w:rtl/>
        </w:rPr>
        <w:t>الحظر القريبة من مسافة</w:t>
      </w:r>
      <w:r w:rsidR="002B3E5C" w:rsidRPr="002B3E5C">
        <w:rPr>
          <w:rFonts w:hint="cs"/>
          <w:rtl/>
          <w:lang w:bidi="ar"/>
        </w:rPr>
        <w:t xml:space="preserve"> </w:t>
      </w:r>
      <w:r w:rsidR="00AC469D" w:rsidRPr="00AC469D">
        <w:rPr>
          <w:rFonts w:asciiTheme="majorBidi" w:hAnsiTheme="majorBidi" w:cstheme="majorBidi"/>
          <w:szCs w:val="28"/>
          <w:lang w:bidi="ar"/>
        </w:rPr>
        <w:t>km 100</w:t>
      </w:r>
      <w:r w:rsidR="002B3E5C" w:rsidRPr="002B3E5C">
        <w:rPr>
          <w:rFonts w:hint="cs"/>
          <w:rtl/>
          <w:lang w:bidi="ar"/>
        </w:rPr>
        <w:t xml:space="preserve"> </w:t>
      </w:r>
      <w:r w:rsidR="00E3210E">
        <w:rPr>
          <w:rFonts w:hint="cs"/>
          <w:rtl/>
          <w:lang w:bidi="ar"/>
        </w:rPr>
        <w:t>من محيط أي مطار صغير</w:t>
      </w:r>
      <w:r w:rsidR="002B3E5C" w:rsidRPr="002B3E5C">
        <w:rPr>
          <w:rFonts w:hint="cs"/>
          <w:rtl/>
          <w:lang w:bidi="ar"/>
        </w:rPr>
        <w:t>.</w:t>
      </w:r>
    </w:p>
    <w:p w14:paraId="63082C53" w14:textId="77777777" w:rsidR="00AC469D" w:rsidRDefault="00AC469D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Fonts w:ascii="Times New Roman Bold" w:hAnsi="Times New Roman Bold"/>
          <w:b/>
          <w:bCs/>
          <w:kern w:val="14"/>
          <w:rtl/>
          <w:lang w:bidi="ar-EG"/>
        </w:rPr>
      </w:pPr>
      <w:r>
        <w:rPr>
          <w:rtl/>
        </w:rPr>
        <w:br w:type="page"/>
      </w:r>
    </w:p>
    <w:p w14:paraId="79444E56" w14:textId="7FCFAEF0" w:rsidR="0012545F" w:rsidRDefault="00B54B2B" w:rsidP="00AC469D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</w:t>
      </w:r>
    </w:p>
    <w:p w14:paraId="24D43927" w14:textId="77777777" w:rsidR="00632DB3" w:rsidRDefault="00B54B2B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1"/>
    </w:p>
    <w:p w14:paraId="7CA1543C" w14:textId="77777777" w:rsidR="00632DB3" w:rsidRDefault="00B54B2B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542979CB" w14:textId="5D4D2413" w:rsidR="00632DB3" w:rsidRDefault="00B54B2B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>
        <w:rPr>
          <w:b w:val="0"/>
          <w:bCs w:val="0"/>
          <w:sz w:val="22"/>
          <w:szCs w:val="30"/>
          <w:rtl/>
        </w:rPr>
        <w:br/>
      </w:r>
      <w:r>
        <w:rPr>
          <w:b w:val="0"/>
          <w:bCs w:val="0"/>
          <w:sz w:val="22"/>
          <w:szCs w:val="30"/>
          <w:rtl/>
        </w:rPr>
        <w:br/>
      </w:r>
    </w:p>
    <w:p w14:paraId="563249DF" w14:textId="77777777" w:rsidR="00E64875" w:rsidRDefault="00B54B2B">
      <w:pPr>
        <w:pStyle w:val="Proposal"/>
      </w:pPr>
      <w:r>
        <w:rPr>
          <w:u w:val="single"/>
        </w:rPr>
        <w:t>NOC</w:t>
      </w:r>
      <w:r>
        <w:tab/>
        <w:t>EUR/16A13A2/1</w:t>
      </w:r>
    </w:p>
    <w:p w14:paraId="6248C3C8" w14:textId="77777777" w:rsidR="006444B7" w:rsidRDefault="00B54B2B">
      <w:pPr>
        <w:pStyle w:val="Tabletitle"/>
        <w:rPr>
          <w:rtl/>
        </w:rPr>
      </w:pPr>
      <w:r>
        <w:t>GHz 34,2-29,9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14:paraId="355F79E5" w14:textId="77777777" w:rsidTr="00B54B2B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AC58" w14:textId="77777777" w:rsidR="00632DB3" w:rsidRDefault="00B54B2B" w:rsidP="0043366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14:paraId="0DA11207" w14:textId="77777777" w:rsidTr="00B54B2B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1C6F" w14:textId="77777777" w:rsidR="00632DB3" w:rsidRDefault="00B54B2B" w:rsidP="0043366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AACA" w14:textId="77777777" w:rsidR="00632DB3" w:rsidRDefault="00B54B2B" w:rsidP="0043366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C067" w14:textId="77777777" w:rsidR="00632DB3" w:rsidRDefault="00B54B2B" w:rsidP="0043366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632DB3" w14:paraId="330749C2" w14:textId="77777777" w:rsidTr="00B54B2B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7BBC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</w:rPr>
            </w:pPr>
            <w:r>
              <w:rPr>
                <w:rStyle w:val="Tablefreq"/>
              </w:rPr>
              <w:t>32-31,8</w:t>
            </w:r>
            <w:r>
              <w:rPr>
                <w:b/>
                <w:bCs/>
                <w:rtl/>
              </w:rPr>
              <w:tab/>
              <w:t xml:space="preserve">ثابتة  </w:t>
            </w:r>
            <w:r>
              <w:rPr>
                <w:rStyle w:val="Artref"/>
              </w:rPr>
              <w:t xml:space="preserve"> 547A.5</w:t>
            </w:r>
          </w:p>
          <w:p w14:paraId="3772E564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rtl/>
              </w:rPr>
              <w:tab/>
              <w:t>ملاحة راديوية</w:t>
            </w:r>
          </w:p>
          <w:p w14:paraId="4DD6FE2D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(فضاء سحيق) (فضاء-أرض)</w:t>
            </w:r>
          </w:p>
          <w:p w14:paraId="4BE1DDD0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548.5  547B.5</w:t>
            </w:r>
            <w:proofErr w:type="gramEnd"/>
            <w:r>
              <w:rPr>
                <w:rStyle w:val="Artref"/>
              </w:rPr>
              <w:t xml:space="preserve">  547.5</w:t>
            </w:r>
          </w:p>
        </w:tc>
      </w:tr>
      <w:tr w:rsidR="00632DB3" w14:paraId="60F0FA29" w14:textId="77777777" w:rsidTr="00B54B2B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5F1C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32,3-32</w:t>
            </w:r>
            <w:r>
              <w:rPr>
                <w:b/>
                <w:bCs/>
                <w:rtl/>
              </w:rPr>
              <w:tab/>
              <w:t xml:space="preserve">ثابتة  </w:t>
            </w:r>
            <w:r>
              <w:rPr>
                <w:rFonts w:hint="cs"/>
              </w:rPr>
              <w:t xml:space="preserve"> </w:t>
            </w:r>
            <w:r>
              <w:rPr>
                <w:rStyle w:val="Artref"/>
              </w:rPr>
              <w:t>547A.5</w:t>
            </w:r>
          </w:p>
          <w:p w14:paraId="183E8187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ملاحة راديوية</w:t>
            </w:r>
          </w:p>
          <w:p w14:paraId="30FBCF0B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(فضاء سحيق) (فضاء-أرض)</w:t>
            </w:r>
          </w:p>
          <w:p w14:paraId="474298E9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548.5  547C.5</w:t>
            </w:r>
            <w:proofErr w:type="gramEnd"/>
            <w:r>
              <w:rPr>
                <w:rStyle w:val="Artref"/>
              </w:rPr>
              <w:t xml:space="preserve">  547.5</w:t>
            </w:r>
          </w:p>
        </w:tc>
      </w:tr>
      <w:tr w:rsidR="00632DB3" w14:paraId="69C6A9B3" w14:textId="77777777" w:rsidTr="00B54B2B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D6BB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33-32,3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 xml:space="preserve">ثابتة  </w:t>
            </w:r>
            <w:r>
              <w:rPr>
                <w:rFonts w:hint="cs"/>
              </w:rPr>
              <w:t xml:space="preserve"> </w:t>
            </w:r>
            <w:r>
              <w:rPr>
                <w:rStyle w:val="Artref"/>
              </w:rPr>
              <w:t>547A.5</w:t>
            </w:r>
          </w:p>
          <w:p w14:paraId="4F6F839F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 xml:space="preserve">بين </w:t>
            </w:r>
            <w:proofErr w:type="spellStart"/>
            <w:r>
              <w:rPr>
                <w:b/>
                <w:bCs/>
                <w:rtl/>
              </w:rPr>
              <w:t>السواتل</w:t>
            </w:r>
            <w:proofErr w:type="spellEnd"/>
          </w:p>
          <w:p w14:paraId="041953BE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ملاحة راديوية</w:t>
            </w:r>
          </w:p>
          <w:p w14:paraId="5AAE3F7E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548.5  547D.5</w:t>
            </w:r>
            <w:proofErr w:type="gramEnd"/>
            <w:r>
              <w:rPr>
                <w:rStyle w:val="Artref"/>
              </w:rPr>
              <w:t xml:space="preserve">  547.5</w:t>
            </w:r>
          </w:p>
        </w:tc>
      </w:tr>
      <w:tr w:rsidR="00632DB3" w14:paraId="14697A7D" w14:textId="77777777" w:rsidTr="00B54B2B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2B92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33,4-33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 xml:space="preserve">ثابتة  </w:t>
            </w:r>
            <w:r>
              <w:rPr>
                <w:rStyle w:val="Artref"/>
              </w:rPr>
              <w:t xml:space="preserve"> 547A.5</w:t>
            </w:r>
          </w:p>
          <w:p w14:paraId="2EB936F6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ملاحة راديوية</w:t>
            </w:r>
          </w:p>
          <w:p w14:paraId="127E5AAE" w14:textId="77777777" w:rsidR="00632DB3" w:rsidRDefault="00B54B2B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547E.5  547</w:t>
            </w:r>
            <w:proofErr w:type="gramEnd"/>
            <w:r>
              <w:rPr>
                <w:rStyle w:val="Artref"/>
              </w:rPr>
              <w:t>.5</w:t>
            </w:r>
          </w:p>
        </w:tc>
      </w:tr>
    </w:tbl>
    <w:p w14:paraId="5D2B82EB" w14:textId="513F9BBA" w:rsidR="004437E9" w:rsidRPr="00AC469D" w:rsidRDefault="00B54B2B" w:rsidP="00AC469D">
      <w:pPr>
        <w:pStyle w:val="Reasons"/>
        <w:rPr>
          <w:b w:val="0"/>
          <w:bCs w:val="0"/>
          <w:lang w:val="en-GB"/>
        </w:rPr>
      </w:pPr>
      <w:r w:rsidRPr="00AC469D">
        <w:rPr>
          <w:rtl/>
        </w:rPr>
        <w:t>الأسباب:</w:t>
      </w:r>
      <w:r w:rsidRPr="00AC469D">
        <w:rPr>
          <w:b w:val="0"/>
          <w:bCs w:val="0"/>
        </w:rPr>
        <w:tab/>
      </w:r>
      <w:r w:rsidR="004437E9" w:rsidRPr="00AC469D">
        <w:rPr>
          <w:rFonts w:hint="cs"/>
          <w:b w:val="0"/>
          <w:bCs w:val="0"/>
          <w:rtl/>
          <w:lang w:bidi="ar"/>
        </w:rPr>
        <w:t>ت</w:t>
      </w:r>
      <w:r w:rsidR="00E3210E" w:rsidRPr="00AC469D">
        <w:rPr>
          <w:rFonts w:hint="cs"/>
          <w:b w:val="0"/>
          <w:bCs w:val="0"/>
          <w:rtl/>
          <w:lang w:bidi="ar"/>
        </w:rPr>
        <w:t xml:space="preserve">لاحظ </w:t>
      </w:r>
      <w:r w:rsidR="004437E9" w:rsidRPr="00AC469D">
        <w:rPr>
          <w:b w:val="0"/>
          <w:bCs w:val="0"/>
          <w:rtl/>
        </w:rPr>
        <w:t>بلدان المؤتمر الأوروبي لإدارات البريد والاتصالا</w:t>
      </w:r>
      <w:r w:rsidR="004437E9" w:rsidRPr="00AC469D">
        <w:rPr>
          <w:rFonts w:hint="cs"/>
          <w:b w:val="0"/>
          <w:bCs w:val="0"/>
          <w:rtl/>
        </w:rPr>
        <w:t xml:space="preserve">ت </w:t>
      </w:r>
      <w:r w:rsidR="004437E9" w:rsidRPr="00AC469D">
        <w:rPr>
          <w:rFonts w:ascii="Times New Roman" w:hAnsi="Times New Roman"/>
          <w:b w:val="0"/>
          <w:bCs w:val="0"/>
          <w:lang w:bidi="ar"/>
        </w:rPr>
        <w:t>(CEPT)</w:t>
      </w:r>
      <w:r w:rsidR="002E0F64">
        <w:rPr>
          <w:rFonts w:ascii="Times New Roman" w:hAnsi="Times New Roman" w:hint="cs"/>
          <w:b w:val="0"/>
          <w:bCs w:val="0"/>
          <w:rtl/>
          <w:lang w:bidi="ar"/>
        </w:rPr>
        <w:t xml:space="preserve"> </w:t>
      </w:r>
      <w:r w:rsidR="00E3210E" w:rsidRPr="00AC469D">
        <w:rPr>
          <w:rFonts w:hint="cs"/>
          <w:b w:val="0"/>
          <w:bCs w:val="0"/>
          <w:rtl/>
          <w:lang w:bidi="ar"/>
        </w:rPr>
        <w:t xml:space="preserve">أن الدراسات </w:t>
      </w:r>
      <w:r w:rsidR="004437E9" w:rsidRPr="00AC469D">
        <w:rPr>
          <w:rFonts w:hint="cs"/>
          <w:b w:val="0"/>
          <w:bCs w:val="0"/>
          <w:rtl/>
          <w:lang w:bidi="ar"/>
        </w:rPr>
        <w:t xml:space="preserve">قد </w:t>
      </w:r>
      <w:r w:rsidR="00E3210E" w:rsidRPr="00AC469D">
        <w:rPr>
          <w:rFonts w:hint="cs"/>
          <w:b w:val="0"/>
          <w:bCs w:val="0"/>
          <w:rtl/>
          <w:lang w:bidi="ar"/>
        </w:rPr>
        <w:t>أظهرت صعوبات في تحقيق التعايش بين الاتصالات المتنقلة الدولية وغيرها من الخدمات القائمة</w:t>
      </w:r>
      <w:r w:rsidR="004437E9" w:rsidRPr="00AC469D">
        <w:rPr>
          <w:rFonts w:hint="cs"/>
          <w:b w:val="0"/>
          <w:bCs w:val="0"/>
          <w:rtl/>
          <w:lang w:bidi="ar"/>
        </w:rPr>
        <w:t xml:space="preserve"> التي تبين عدم توافقها</w:t>
      </w:r>
      <w:r w:rsidR="00E3210E" w:rsidRPr="00AC469D">
        <w:rPr>
          <w:rFonts w:hint="cs"/>
          <w:b w:val="0"/>
          <w:bCs w:val="0"/>
          <w:rtl/>
          <w:lang w:bidi="ar"/>
        </w:rPr>
        <w:t xml:space="preserve">، ولا سيما أنظمة الملاحة الراديوية. </w:t>
      </w:r>
      <w:r w:rsidR="004437E9" w:rsidRPr="00AC469D">
        <w:rPr>
          <w:rFonts w:hint="cs"/>
          <w:b w:val="0"/>
          <w:bCs w:val="0"/>
          <w:rtl/>
          <w:lang w:bidi="ar"/>
        </w:rPr>
        <w:t xml:space="preserve">وأظهرت جميع الدراسات التقنية المقدمة في إطار </w:t>
      </w:r>
      <w:r w:rsidR="004437E9" w:rsidRPr="00AC469D">
        <w:rPr>
          <w:b w:val="0"/>
          <w:bCs w:val="0"/>
          <w:rtl/>
        </w:rPr>
        <w:t>ف</w:t>
      </w:r>
      <w:bookmarkStart w:id="4" w:name="_GoBack"/>
      <w:bookmarkEnd w:id="4"/>
      <w:r w:rsidR="004437E9" w:rsidRPr="00AC469D">
        <w:rPr>
          <w:b w:val="0"/>
          <w:bCs w:val="0"/>
          <w:rtl/>
        </w:rPr>
        <w:t xml:space="preserve">ريق المهام </w:t>
      </w:r>
      <w:r w:rsidR="004437E9" w:rsidRPr="00AC469D">
        <w:rPr>
          <w:rFonts w:asciiTheme="majorBidi" w:hAnsiTheme="majorBidi" w:cstheme="majorBidi"/>
          <w:b w:val="0"/>
          <w:bCs w:val="0"/>
          <w:sz w:val="16"/>
          <w:szCs w:val="22"/>
          <w:rtl/>
        </w:rPr>
        <w:t xml:space="preserve">1/5 </w:t>
      </w:r>
      <w:r w:rsidR="004437E9" w:rsidRPr="00AC469D">
        <w:rPr>
          <w:rFonts w:hint="cs"/>
          <w:b w:val="0"/>
          <w:bCs w:val="0"/>
          <w:rtl/>
        </w:rPr>
        <w:t>ل</w:t>
      </w:r>
      <w:r w:rsidR="004437E9" w:rsidRPr="00AC469D">
        <w:rPr>
          <w:b w:val="0"/>
          <w:bCs w:val="0"/>
          <w:rtl/>
        </w:rPr>
        <w:t>قطاع الاتصالات الراديوية</w:t>
      </w:r>
      <w:r w:rsidR="004437E9" w:rsidRPr="00AC469D">
        <w:rPr>
          <w:rFonts w:hint="cs"/>
          <w:b w:val="0"/>
          <w:bCs w:val="0"/>
          <w:rtl/>
          <w:lang w:bidi="ar"/>
        </w:rPr>
        <w:t xml:space="preserve"> عدم التوافق بين الاتصالات المتنقلة الدولية وخدمة الملاحة الراديوية في نطاق التردد </w:t>
      </w:r>
      <w:r w:rsidR="004437E9" w:rsidRPr="00AC469D">
        <w:rPr>
          <w:rFonts w:ascii="Times New Roman" w:hAnsi="Times New Roman" w:hint="cs"/>
          <w:b w:val="0"/>
          <w:bCs w:val="0"/>
          <w:lang w:val="en-GB"/>
        </w:rPr>
        <w:t>GHz 33</w:t>
      </w:r>
      <w:r w:rsidR="004437E9" w:rsidRPr="00AC469D">
        <w:rPr>
          <w:rFonts w:ascii="Times New Roman" w:hAnsi="Times New Roman"/>
          <w:b w:val="0"/>
          <w:bCs w:val="0"/>
          <w:lang w:val="en-GB"/>
        </w:rPr>
        <w:t>,</w:t>
      </w:r>
      <w:r w:rsidR="004437E9" w:rsidRPr="00AC469D">
        <w:rPr>
          <w:rFonts w:ascii="Times New Roman" w:hAnsi="Times New Roman" w:hint="cs"/>
          <w:b w:val="0"/>
          <w:bCs w:val="0"/>
          <w:lang w:val="en-GB"/>
        </w:rPr>
        <w:t>4-31</w:t>
      </w:r>
      <w:r w:rsidR="004437E9" w:rsidRPr="00AC469D">
        <w:rPr>
          <w:rFonts w:ascii="Times New Roman" w:hAnsi="Times New Roman"/>
          <w:b w:val="0"/>
          <w:bCs w:val="0"/>
          <w:lang w:val="en-GB"/>
        </w:rPr>
        <w:t>,</w:t>
      </w:r>
      <w:r w:rsidR="004437E9" w:rsidRPr="00AC469D">
        <w:rPr>
          <w:rFonts w:ascii="Times New Roman" w:hAnsi="Times New Roman" w:hint="cs"/>
          <w:b w:val="0"/>
          <w:bCs w:val="0"/>
          <w:lang w:val="en-GB"/>
        </w:rPr>
        <w:t>8</w:t>
      </w:r>
      <w:r w:rsidR="004437E9" w:rsidRPr="00AC469D">
        <w:rPr>
          <w:rFonts w:hint="cs"/>
          <w:b w:val="0"/>
          <w:bCs w:val="0"/>
          <w:rtl/>
          <w:lang w:bidi="ar"/>
        </w:rPr>
        <w:t xml:space="preserve">، لا سيما في حالة رادارات الطائرات التي لا يمكن فيها تصور مناطق التنسيق/ </w:t>
      </w:r>
      <w:r w:rsidR="004437E9" w:rsidRPr="00AC469D">
        <w:rPr>
          <w:rFonts w:hint="cs"/>
          <w:b w:val="0"/>
          <w:bCs w:val="0"/>
          <w:rtl/>
        </w:rPr>
        <w:t>الحظر القريبة من مسافة</w:t>
      </w:r>
      <w:r w:rsidR="004437E9" w:rsidRPr="00AC469D">
        <w:rPr>
          <w:rFonts w:hint="cs"/>
          <w:b w:val="0"/>
          <w:bCs w:val="0"/>
          <w:rtl/>
          <w:lang w:bidi="ar"/>
        </w:rPr>
        <w:t xml:space="preserve"> </w:t>
      </w:r>
      <w:r w:rsidR="004437E9" w:rsidRPr="00AC469D">
        <w:rPr>
          <w:rFonts w:asciiTheme="majorBidi" w:hAnsiTheme="majorBidi" w:cstheme="majorBidi" w:hint="cs"/>
          <w:b w:val="0"/>
          <w:bCs w:val="0"/>
          <w:sz w:val="16"/>
          <w:szCs w:val="22"/>
          <w:rtl/>
        </w:rPr>
        <w:t>100</w:t>
      </w:r>
      <w:r w:rsidR="004437E9" w:rsidRPr="00AC469D">
        <w:rPr>
          <w:rFonts w:hint="cs"/>
          <w:b w:val="0"/>
          <w:bCs w:val="0"/>
          <w:rtl/>
          <w:lang w:bidi="ar"/>
        </w:rPr>
        <w:t xml:space="preserve"> </w:t>
      </w:r>
      <w:r w:rsidR="004437E9" w:rsidRPr="00AC469D">
        <w:rPr>
          <w:rFonts w:ascii="Times New Roman" w:hAnsi="Times New Roman" w:hint="cs"/>
          <w:b w:val="0"/>
          <w:bCs w:val="0"/>
          <w:lang w:val="en-GB"/>
        </w:rPr>
        <w:t>km</w:t>
      </w:r>
      <w:r w:rsidR="004437E9" w:rsidRPr="00AC469D">
        <w:rPr>
          <w:rFonts w:ascii="Times New Roman" w:hAnsi="Times New Roman" w:hint="cs"/>
          <w:b w:val="0"/>
          <w:bCs w:val="0"/>
          <w:rtl/>
          <w:lang w:bidi="ar"/>
        </w:rPr>
        <w:t xml:space="preserve"> </w:t>
      </w:r>
      <w:r w:rsidR="004437E9" w:rsidRPr="00AC469D">
        <w:rPr>
          <w:rFonts w:hint="cs"/>
          <w:b w:val="0"/>
          <w:bCs w:val="0"/>
          <w:rtl/>
          <w:lang w:bidi="ar"/>
        </w:rPr>
        <w:t>من محيط أي مطار صغير.</w:t>
      </w:r>
      <w:r w:rsidR="001D6B63" w:rsidRPr="00AC469D">
        <w:rPr>
          <w:rFonts w:hint="cs"/>
          <w:b w:val="0"/>
          <w:bCs w:val="0"/>
          <w:rtl/>
          <w:lang w:val="en-GB"/>
        </w:rPr>
        <w:t xml:space="preserve"> </w:t>
      </w:r>
      <w:r w:rsidR="004437E9" w:rsidRPr="00AC469D">
        <w:rPr>
          <w:rFonts w:hint="cs"/>
          <w:b w:val="0"/>
          <w:bCs w:val="0"/>
          <w:rtl/>
          <w:lang w:bidi="ar"/>
        </w:rPr>
        <w:t xml:space="preserve">وعلاوة على ذلك، فإن الخيار الوحيد </w:t>
      </w:r>
      <w:r w:rsidR="009D48A1" w:rsidRPr="00AC469D">
        <w:rPr>
          <w:rFonts w:hint="cs"/>
          <w:b w:val="0"/>
          <w:bCs w:val="0"/>
          <w:rtl/>
          <w:lang w:bidi="ar"/>
        </w:rPr>
        <w:t xml:space="preserve">الوارد </w:t>
      </w:r>
      <w:r w:rsidR="004437E9" w:rsidRPr="00AC469D">
        <w:rPr>
          <w:rFonts w:hint="cs"/>
          <w:b w:val="0"/>
          <w:bCs w:val="0"/>
          <w:rtl/>
          <w:lang w:bidi="ar"/>
        </w:rPr>
        <w:t>في تقرير الاجتماع التحضيري للمؤتمر لنطاق التردد هذا هو "لا تغيير" في لوائح الراديو. و</w:t>
      </w:r>
      <w:r w:rsidR="009D48A1" w:rsidRPr="00AC469D">
        <w:rPr>
          <w:rFonts w:hint="cs"/>
          <w:b w:val="0"/>
          <w:bCs w:val="0"/>
          <w:rtl/>
          <w:lang w:bidi="ar"/>
        </w:rPr>
        <w:t>عليه</w:t>
      </w:r>
      <w:r w:rsidR="004437E9" w:rsidRPr="00AC469D">
        <w:rPr>
          <w:rFonts w:hint="cs"/>
          <w:b w:val="0"/>
          <w:bCs w:val="0"/>
          <w:rtl/>
          <w:lang w:bidi="ar"/>
        </w:rPr>
        <w:t xml:space="preserve">، لا تؤيد </w:t>
      </w:r>
      <w:r w:rsidR="004437E9" w:rsidRPr="00AC469D">
        <w:rPr>
          <w:b w:val="0"/>
          <w:bCs w:val="0"/>
          <w:rtl/>
        </w:rPr>
        <w:t>بلدان المؤتمر الأوروبي لإدارات البريد والاتصالا</w:t>
      </w:r>
      <w:r w:rsidR="004437E9" w:rsidRPr="00AC469D">
        <w:rPr>
          <w:rFonts w:hint="cs"/>
          <w:b w:val="0"/>
          <w:bCs w:val="0"/>
          <w:rtl/>
        </w:rPr>
        <w:t xml:space="preserve">ت </w:t>
      </w:r>
      <w:r w:rsidR="004437E9" w:rsidRPr="00AC469D">
        <w:rPr>
          <w:rFonts w:hint="cs"/>
          <w:b w:val="0"/>
          <w:bCs w:val="0"/>
          <w:rtl/>
          <w:lang w:bidi="ar"/>
        </w:rPr>
        <w:t xml:space="preserve">إجراء أي تغيير </w:t>
      </w:r>
      <w:r w:rsidR="001D6B63" w:rsidRPr="00AC469D">
        <w:rPr>
          <w:rFonts w:hint="cs"/>
          <w:b w:val="0"/>
          <w:bCs w:val="0"/>
          <w:rtl/>
          <w:lang w:bidi="ar"/>
        </w:rPr>
        <w:t xml:space="preserve">لنطاق التردد هذا </w:t>
      </w:r>
      <w:r w:rsidR="004437E9" w:rsidRPr="00AC469D">
        <w:rPr>
          <w:rFonts w:hint="cs"/>
          <w:b w:val="0"/>
          <w:bCs w:val="0"/>
          <w:rtl/>
          <w:lang w:bidi="ar"/>
        </w:rPr>
        <w:t>في لوائح الراديو.</w:t>
      </w:r>
    </w:p>
    <w:p w14:paraId="5C34B35B" w14:textId="77777777" w:rsidR="00A46A76" w:rsidRPr="009B2C10" w:rsidRDefault="00A46A76" w:rsidP="002E0F64">
      <w:pPr>
        <w:spacing w:before="600"/>
        <w:jc w:val="center"/>
        <w:rPr>
          <w:lang w:bidi="ar-EG"/>
        </w:rPr>
      </w:pPr>
      <w:bookmarkStart w:id="5" w:name="_Hlk21615169"/>
      <w:r w:rsidRPr="009B2C10">
        <w:rPr>
          <w:rFonts w:hint="cs"/>
          <w:rtl/>
          <w:lang w:bidi="ar-EG"/>
        </w:rPr>
        <w:t>___________</w:t>
      </w:r>
      <w:bookmarkEnd w:id="5"/>
    </w:p>
    <w:sectPr w:rsidR="00A46A76" w:rsidRPr="009B2C10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453B4" w14:textId="77777777" w:rsidR="00EA5D25" w:rsidRDefault="00EA5D25" w:rsidP="002919E1">
      <w:r>
        <w:separator/>
      </w:r>
    </w:p>
    <w:p w14:paraId="391BFEF3" w14:textId="77777777" w:rsidR="00EA5D25" w:rsidRDefault="00EA5D25" w:rsidP="002919E1"/>
    <w:p w14:paraId="021092F6" w14:textId="77777777" w:rsidR="00EA5D25" w:rsidRDefault="00EA5D25" w:rsidP="002919E1"/>
    <w:p w14:paraId="50E2A34F" w14:textId="77777777" w:rsidR="00EA5D25" w:rsidRDefault="00EA5D25"/>
  </w:endnote>
  <w:endnote w:type="continuationSeparator" w:id="0">
    <w:p w14:paraId="104E6D1E" w14:textId="77777777" w:rsidR="00EA5D25" w:rsidRDefault="00EA5D25" w:rsidP="002919E1">
      <w:r>
        <w:continuationSeparator/>
      </w:r>
    </w:p>
    <w:p w14:paraId="2BBCE108" w14:textId="77777777" w:rsidR="00EA5D25" w:rsidRDefault="00EA5D25" w:rsidP="002919E1"/>
    <w:p w14:paraId="0811AE2D" w14:textId="77777777" w:rsidR="00EA5D25" w:rsidRDefault="00EA5D25" w:rsidP="002919E1"/>
    <w:p w14:paraId="2953A5A7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F99C0" w14:textId="31013E1C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927FF">
      <w:rPr>
        <w:noProof/>
      </w:rPr>
      <w:t>P:\ARA\ITU-R\CONF-R\CMR19\000\016ADD13ADD02A.docx</w:t>
    </w:r>
    <w:r>
      <w:fldChar w:fldCharType="end"/>
    </w:r>
    <w:proofErr w:type="gramStart"/>
    <w:r w:rsidRPr="00A809E8">
      <w:t xml:space="preserve">   (</w:t>
    </w:r>
    <w:proofErr w:type="gramEnd"/>
    <w:r w:rsidR="00A973C0">
      <w:t>462007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D3213" w14:textId="1B0639F6" w:rsidR="00281F5F" w:rsidRPr="00A973C0" w:rsidRDefault="00A973C0" w:rsidP="00A973C0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5927FF">
      <w:rPr>
        <w:noProof/>
      </w:rPr>
      <w:t>P:\ARA\ITU-R\CONF-R\CMR19\000\016ADD13ADD02A.docx</w:t>
    </w:r>
    <w:r>
      <w:fldChar w:fldCharType="end"/>
    </w:r>
    <w:proofErr w:type="gramStart"/>
    <w:r w:rsidRPr="00A809E8">
      <w:t xml:space="preserve">   (</w:t>
    </w:r>
    <w:proofErr w:type="gramEnd"/>
    <w:r>
      <w:t>462007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9A00" w14:textId="77777777" w:rsidR="00EA5D25" w:rsidRDefault="00EA5D25" w:rsidP="002919E1">
      <w:r>
        <w:t>___________________</w:t>
      </w:r>
    </w:p>
  </w:footnote>
  <w:footnote w:type="continuationSeparator" w:id="0">
    <w:p w14:paraId="0571EE07" w14:textId="77777777" w:rsidR="00EA5D25" w:rsidRDefault="00EA5D25" w:rsidP="002919E1">
      <w:r>
        <w:continuationSeparator/>
      </w:r>
    </w:p>
    <w:p w14:paraId="7EC5332B" w14:textId="77777777" w:rsidR="00EA5D25" w:rsidRDefault="00EA5D25" w:rsidP="002919E1"/>
    <w:p w14:paraId="6E48F466" w14:textId="77777777" w:rsidR="00EA5D25" w:rsidRDefault="00EA5D25" w:rsidP="002919E1"/>
    <w:p w14:paraId="7FD4EFF3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D19B6" w14:textId="77777777" w:rsidR="00281F5F" w:rsidRDefault="00281F5F" w:rsidP="002919E1"/>
  <w:p w14:paraId="573044D7" w14:textId="77777777" w:rsidR="00281F5F" w:rsidRDefault="00281F5F" w:rsidP="002919E1"/>
  <w:p w14:paraId="71CDD142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F1773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13)(</w:t>
    </w:r>
    <w:proofErr w:type="gramEnd"/>
    <w:r>
      <w:rPr>
        <w:rStyle w:val="PageNumber"/>
      </w:rPr>
      <w:t>Add.2)-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8842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74F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DE97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20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6B6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B3E5C"/>
    <w:rsid w:val="002D5F64"/>
    <w:rsid w:val="002D6BB4"/>
    <w:rsid w:val="002D6FBF"/>
    <w:rsid w:val="002E0F64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437E9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27FF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C3E59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48A1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46A76"/>
    <w:rsid w:val="00A66D2B"/>
    <w:rsid w:val="00A809E8"/>
    <w:rsid w:val="00A870AD"/>
    <w:rsid w:val="00A90843"/>
    <w:rsid w:val="00A9645C"/>
    <w:rsid w:val="00A973C0"/>
    <w:rsid w:val="00AB2A33"/>
    <w:rsid w:val="00AC1275"/>
    <w:rsid w:val="00AC469D"/>
    <w:rsid w:val="00AC7395"/>
    <w:rsid w:val="00AD162B"/>
    <w:rsid w:val="00AD690F"/>
    <w:rsid w:val="00AD69DD"/>
    <w:rsid w:val="00AE6B26"/>
    <w:rsid w:val="00AF3EFA"/>
    <w:rsid w:val="00AF41D1"/>
    <w:rsid w:val="00B004E6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54B2B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210E"/>
    <w:rsid w:val="00E343A3"/>
    <w:rsid w:val="00E51BFA"/>
    <w:rsid w:val="00E611F1"/>
    <w:rsid w:val="00E621A3"/>
    <w:rsid w:val="00E64875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7A4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214469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styleId="HTMLPreformatted">
    <w:name w:val="HTML Preformatted"/>
    <w:basedOn w:val="Normal"/>
    <w:link w:val="HTMLPreformattedChar"/>
    <w:semiHidden/>
    <w:unhideWhenUsed/>
    <w:rsid w:val="00E3210E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3210E"/>
    <w:rPr>
      <w:rFonts w:ascii="Consolas" w:hAnsi="Consolas" w:cs="Traditional Arab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R16-WRC19-C-0016!A13-A2!MSW-A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5B0D-9D54-4D5D-8A8B-60A42EDF2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49576-BDCC-4F03-9441-C5F6C904BBD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BDED86-06ED-421F-B2F5-9891F9642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FBAFD-D0EB-4FEC-94F0-2229A5A473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08EB89-2310-43D7-8D2A-D5D5B288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476</Words>
  <Characters>2536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R16-WRC19-C-0016!A13-A2!MSW-A</vt:lpstr>
    </vt:vector>
  </TitlesOfParts>
  <Manager>General Secretariat - Pool</Manager>
  <Company>International Telecommunication Union (ITU)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R16-WRC19-C-0016!A13-A2!MSW-A</dc:title>
  <dc:creator>Documents Proposals Manager (DPM)</dc:creator>
  <cp:keywords>DPM_v2019.10.8.1_prod</cp:keywords>
  <cp:lastModifiedBy>Riz, Imad</cp:lastModifiedBy>
  <cp:revision>5</cp:revision>
  <cp:lastPrinted>2019-10-25T09:48:00Z</cp:lastPrinted>
  <dcterms:created xsi:type="dcterms:W3CDTF">2019-10-23T22:31:00Z</dcterms:created>
  <dcterms:modified xsi:type="dcterms:W3CDTF">2019-10-25T09:48:00Z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